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84C44" w14:textId="77777777" w:rsidR="001B6E90" w:rsidRDefault="001B6E90" w:rsidP="001B6E90">
      <w:pPr>
        <w:tabs>
          <w:tab w:val="left" w:pos="720"/>
        </w:tabs>
        <w:spacing w:after="0" w:line="240" w:lineRule="auto"/>
        <w:ind w:left="567" w:right="567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</w:pPr>
    </w:p>
    <w:p w14:paraId="6BE7DF79" w14:textId="04B9893F" w:rsidR="001B6E90" w:rsidRDefault="001B6E90" w:rsidP="001B6E90">
      <w:pPr>
        <w:tabs>
          <w:tab w:val="left" w:pos="720"/>
        </w:tabs>
        <w:spacing w:after="0" w:line="240" w:lineRule="auto"/>
        <w:ind w:left="567" w:right="567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Figure 1:</w:t>
      </w:r>
    </w:p>
    <w:p w14:paraId="5CFA34D5" w14:textId="77777777" w:rsidR="001B6E90" w:rsidRDefault="001B6E90" w:rsidP="001B6E90">
      <w:pPr>
        <w:tabs>
          <w:tab w:val="left" w:pos="720"/>
        </w:tabs>
        <w:spacing w:after="0" w:line="240" w:lineRule="auto"/>
        <w:ind w:left="567" w:right="567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</w:pPr>
    </w:p>
    <w:p w14:paraId="720B054E" w14:textId="53A48CF7" w:rsidR="001B6E90" w:rsidRDefault="001B6E90" w:rsidP="001B6E90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GB"/>
        </w:rPr>
      </w:pPr>
      <w:r>
        <w:rPr>
          <w:i/>
          <w:noProof/>
        </w:rPr>
        <w:drawing>
          <wp:inline distT="0" distB="0" distL="0" distR="0" wp14:anchorId="7EF7E4D5" wp14:editId="7E7B1A15">
            <wp:extent cx="6029325" cy="2876550"/>
            <wp:effectExtent l="0" t="0" r="952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BD77DDE" w14:textId="77777777" w:rsidR="001B6E90" w:rsidRDefault="001B6E90" w:rsidP="001B6E90">
      <w:pPr>
        <w:tabs>
          <w:tab w:val="left" w:pos="720"/>
        </w:tabs>
        <w:spacing w:after="0" w:line="240" w:lineRule="auto"/>
        <w:ind w:right="567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Figure 1.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GB"/>
        </w:rPr>
        <w:t>Open Unemployment Rate Bengkulu City 2018–2021</w:t>
      </w:r>
    </w:p>
    <w:p w14:paraId="0504834C" w14:textId="3903053A" w:rsidR="001B6E90" w:rsidRDefault="001B6E90" w:rsidP="001B6E90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ource: Central Bureau of Statistics, 2021</w:t>
      </w:r>
    </w:p>
    <w:p w14:paraId="43EC6739" w14:textId="70A75DC4" w:rsidR="001B6E90" w:rsidRDefault="001B6E90" w:rsidP="001B6E90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</w:pPr>
    </w:p>
    <w:p w14:paraId="5FC51FA3" w14:textId="44FC71B0" w:rsidR="001B6E90" w:rsidRDefault="001B6E90" w:rsidP="001B6E90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</w:pPr>
    </w:p>
    <w:p w14:paraId="23A255D7" w14:textId="52AB5633" w:rsidR="001B6E90" w:rsidRDefault="001B6E90" w:rsidP="001B6E90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Figure 2:</w:t>
      </w:r>
    </w:p>
    <w:p w14:paraId="1AF34155" w14:textId="77777777" w:rsidR="001B6E90" w:rsidRDefault="001B6E90" w:rsidP="001B6E90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</w:pPr>
    </w:p>
    <w:p w14:paraId="0B66098A" w14:textId="60BC9ACB" w:rsidR="001B6E90" w:rsidRDefault="001B6E90" w:rsidP="001B6E90">
      <w:pPr>
        <w:pStyle w:val="Heading1"/>
        <w:tabs>
          <w:tab w:val="left" w:pos="8789"/>
        </w:tabs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bookmarkStart w:id="0" w:name="_Hlk93871843"/>
      <w:r>
        <w:rPr>
          <w:i/>
          <w:noProof/>
        </w:rPr>
        <w:drawing>
          <wp:inline distT="0" distB="0" distL="0" distR="0" wp14:anchorId="6E121416" wp14:editId="2573A639">
            <wp:extent cx="4962525" cy="2838450"/>
            <wp:effectExtent l="0" t="0" r="9525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bookmarkEnd w:id="0"/>
    <w:p w14:paraId="6488A854" w14:textId="77777777" w:rsidR="001B6E90" w:rsidRDefault="001B6E90" w:rsidP="001B6E90">
      <w:pPr>
        <w:tabs>
          <w:tab w:val="left" w:pos="400"/>
          <w:tab w:val="left" w:pos="2260"/>
          <w:tab w:val="left" w:pos="3660"/>
        </w:tabs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Figure 2. Allocation of Funds and Number of SMEs 2018–2021</w:t>
      </w:r>
    </w:p>
    <w:p w14:paraId="69AE9D5E" w14:textId="77777777" w:rsidR="001B6E90" w:rsidRDefault="001B6E90" w:rsidP="001B6E90">
      <w:pPr>
        <w:tabs>
          <w:tab w:val="left" w:pos="400"/>
          <w:tab w:val="left" w:pos="2260"/>
          <w:tab w:val="left" w:pos="3660"/>
        </w:tabs>
        <w:spacing w:after="0" w:line="240" w:lineRule="auto"/>
        <w:ind w:left="567" w:right="567" w:firstLine="709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4CF1787B" w14:textId="023460AF" w:rsidR="001B6E90" w:rsidRDefault="001B6E90" w:rsidP="001B6E90">
      <w:pPr>
        <w:spacing w:after="0" w:line="240" w:lineRule="auto"/>
        <w:ind w:left="567" w:right="567"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lastRenderedPageBreak/>
        <w:t>F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igure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3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: </w:t>
      </w:r>
    </w:p>
    <w:p w14:paraId="66A7EF95" w14:textId="77777777" w:rsidR="001B6E90" w:rsidRDefault="001B6E90" w:rsidP="001B6E90">
      <w:pPr>
        <w:spacing w:after="0" w:line="240" w:lineRule="auto"/>
        <w:ind w:left="567" w:right="567"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539F0C5B" w14:textId="3C4DB7F1" w:rsidR="001B6E90" w:rsidRDefault="001B6E90" w:rsidP="001B6E90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  <w:lang w:val="en-GB"/>
        </w:rPr>
      </w:pPr>
      <w:r>
        <w:rPr>
          <w:i/>
          <w:noProof/>
          <w:color w:val="FF0000"/>
          <w:shd w:val="clear" w:color="auto" w:fill="FFFFFF" w:themeFill="background1"/>
        </w:rPr>
        <w:drawing>
          <wp:inline distT="0" distB="0" distL="0" distR="0" wp14:anchorId="4BAD2857" wp14:editId="298DB461">
            <wp:extent cx="5305425" cy="3028950"/>
            <wp:effectExtent l="0" t="0" r="952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6070165" w14:textId="77777777" w:rsidR="001B6E90" w:rsidRDefault="001B6E90" w:rsidP="001B6E90">
      <w:pPr>
        <w:tabs>
          <w:tab w:val="left" w:pos="400"/>
          <w:tab w:val="left" w:pos="2260"/>
          <w:tab w:val="left" w:pos="3660"/>
        </w:tabs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17A9E81C" w14:textId="2E6DD166" w:rsidR="001B6E90" w:rsidRDefault="001B6E90" w:rsidP="001B6E90">
      <w:pPr>
        <w:tabs>
          <w:tab w:val="left" w:pos="400"/>
          <w:tab w:val="left" w:pos="2260"/>
          <w:tab w:val="left" w:pos="3660"/>
        </w:tabs>
        <w:spacing w:line="24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Figure 3. Use of Samisake Funds </w:t>
      </w:r>
    </w:p>
    <w:p w14:paraId="0EF587D1" w14:textId="77777777" w:rsidR="001B6E90" w:rsidRDefault="001B6E90"/>
    <w:sectPr w:rsidR="001B6E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E90"/>
    <w:rsid w:val="001B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5694"/>
  <w15:chartTrackingRefBased/>
  <w15:docId w15:val="{DB00FA27-89F2-4001-81D8-258720FD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E90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B6E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4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sz="1800" b="0" i="0" baseline="0">
                <a:solidFill>
                  <a:sysClr val="windowText" lastClr="000000"/>
                </a:solidFill>
                <a:effectLst/>
              </a:rPr>
              <a:t>Open Unemployment Rate</a:t>
            </a:r>
          </a:p>
          <a:p>
            <a:pPr>
              <a:defRPr/>
            </a:pPr>
            <a:r>
              <a:rPr lang="en-ID" sz="1800" b="0" i="0" baseline="0">
                <a:solidFill>
                  <a:sysClr val="windowText" lastClr="000000"/>
                </a:solidFill>
                <a:effectLst/>
              </a:rPr>
              <a:t>Bengkulu City 2018  - 2021</a:t>
            </a:r>
          </a:p>
          <a:p>
            <a:pPr>
              <a:defRPr/>
            </a:pPr>
            <a:endParaRPr lang="en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Unemployment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Sheet1!$A$2:$A$5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4</c:v>
                </c:pt>
                <c:pt idx="1">
                  <c:v>11.5</c:v>
                </c:pt>
                <c:pt idx="2">
                  <c:v>3.5</c:v>
                </c:pt>
                <c:pt idx="3">
                  <c:v>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037-4A79-BFC2-EE471601326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New Business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numRef>
              <c:f>Sheet1!$A$2:$A$5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Sheet1!$C$2:$C$5</c:f>
              <c:numCache>
                <c:formatCode>General</c:formatCode>
                <c:ptCount val="4"/>
                <c:pt idx="0">
                  <c:v>15</c:v>
                </c:pt>
                <c:pt idx="1">
                  <c:v>21</c:v>
                </c:pt>
                <c:pt idx="2">
                  <c:v>2</c:v>
                </c:pt>
                <c:pt idx="3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037-4A79-BFC2-EE4716013268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Developing Business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cat>
            <c:numRef>
              <c:f>Sheet1!$A$2:$A$5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Sheet1!$D$2:$D$5</c:f>
              <c:numCache>
                <c:formatCode>General</c:formatCode>
                <c:ptCount val="4"/>
                <c:pt idx="0">
                  <c:v>19</c:v>
                </c:pt>
                <c:pt idx="1">
                  <c:v>10</c:v>
                </c:pt>
                <c:pt idx="2">
                  <c:v>7</c:v>
                </c:pt>
                <c:pt idx="3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037-4A79-BFC2-EE47160132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0398304"/>
        <c:axId val="630399288"/>
      </c:lineChart>
      <c:catAx>
        <c:axId val="630398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0399288"/>
        <c:crosses val="autoZero"/>
        <c:auto val="1"/>
        <c:lblAlgn val="ctr"/>
        <c:lblOffset val="100"/>
        <c:noMultiLvlLbl val="0"/>
      </c:catAx>
      <c:valAx>
        <c:axId val="630399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0398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208860759493672"/>
          <c:y val="0.92602017771034439"/>
          <c:w val="0.70569626713327505"/>
          <c:h val="7.39799297336344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b="1">
                <a:solidFill>
                  <a:sysClr val="windowText" lastClr="000000"/>
                </a:solidFill>
              </a:rPr>
              <a:t>Allocation of Funds and Number </a:t>
            </a:r>
            <a:r>
              <a:rPr lang="en-ID"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rPr>
              <a:t>SMEs</a:t>
            </a:r>
            <a:r>
              <a:rPr lang="en-ID" b="1">
                <a:solidFill>
                  <a:sysClr val="windowText" lastClr="000000"/>
                </a:solidFill>
              </a:rPr>
              <a:t> 2018 - 2021</a:t>
            </a:r>
          </a:p>
        </c:rich>
      </c:tx>
      <c:layout>
        <c:manualLayout>
          <c:xMode val="edge"/>
          <c:yMode val="edge"/>
          <c:x val="0.15346716238073385"/>
          <c:y val="3.8474825329932349E-2"/>
        </c:manualLayout>
      </c:layout>
      <c:overlay val="0"/>
      <c:spPr>
        <a:noFill/>
        <a:ln>
          <a:solidFill>
            <a:schemeClr val="bg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Fund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14</c:v>
                </c:pt>
                <c:pt idx="1">
                  <c:v>19</c:v>
                </c:pt>
                <c:pt idx="2">
                  <c:v>8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91-4699-8753-59E63173611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SMEs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Sheet1!$C$2:$C$5</c:f>
              <c:numCache>
                <c:formatCode>General</c:formatCode>
                <c:ptCount val="4"/>
                <c:pt idx="0">
                  <c:v>34</c:v>
                </c:pt>
                <c:pt idx="1">
                  <c:v>75</c:v>
                </c:pt>
                <c:pt idx="2">
                  <c:v>11</c:v>
                </c:pt>
                <c:pt idx="3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91-4699-8753-59E63173611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2291-4699-8753-59E6317361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26825344"/>
        <c:axId val="726825016"/>
      </c:barChart>
      <c:catAx>
        <c:axId val="726825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2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6825016"/>
        <c:crosses val="autoZero"/>
        <c:auto val="1"/>
        <c:lblAlgn val="ctr"/>
        <c:lblOffset val="100"/>
        <c:noMultiLvlLbl val="0"/>
      </c:catAx>
      <c:valAx>
        <c:axId val="726825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6825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32853880349827114"/>
          <c:y val="0.86636130849497472"/>
          <c:w val="0.3330821008997491"/>
          <c:h val="0.109248447602586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b="1" baseline="0"/>
              <a:t>Use of Samisake Funds</a:t>
            </a:r>
          </a:p>
          <a:p>
            <a:pPr algn="ctr">
              <a:defRPr/>
            </a:pPr>
            <a:r>
              <a:rPr lang="en-US" sz="1800" b="1" baseline="0"/>
              <a:t>2018 - 2021</a:t>
            </a:r>
            <a:endParaRPr lang="en-US" sz="1800" b="1"/>
          </a:p>
          <a:p>
            <a:pPr algn="ctr">
              <a:defRPr/>
            </a:pPr>
            <a:endParaRPr lang="en-US"/>
          </a:p>
        </c:rich>
      </c:tx>
      <c:layout>
        <c:manualLayout>
          <c:xMode val="edge"/>
          <c:yMode val="edge"/>
          <c:x val="0.35810292019121953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Realisasi</c:v>
                </c:pt>
              </c:strCache>
            </c:strRef>
          </c:tx>
          <c:spPr>
            <a:solidFill>
              <a:schemeClr val="tx1">
                <a:lumMod val="65000"/>
                <a:lumOff val="35000"/>
                <a:alpha val="86000"/>
              </a:schemeClr>
            </a:solidFill>
            <a:ln>
              <a:solidFill>
                <a:schemeClr val="tx1"/>
              </a:solidFill>
            </a:ln>
          </c:spPr>
          <c:dPt>
            <c:idx val="0"/>
            <c:bubble3D val="0"/>
            <c:spPr>
              <a:solidFill>
                <a:schemeClr val="accent2">
                  <a:alpha val="86000"/>
                </a:schemeClr>
              </a:solid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BEA-4353-9092-4F5364CB56DC}"/>
              </c:ext>
            </c:extLst>
          </c:dPt>
          <c:dPt>
            <c:idx val="1"/>
            <c:bubble3D val="0"/>
            <c:spPr>
              <a:solidFill>
                <a:schemeClr val="accent4">
                  <a:alpha val="86000"/>
                </a:schemeClr>
              </a:solid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BEA-4353-9092-4F5364CB56DC}"/>
              </c:ext>
            </c:extLst>
          </c:dPt>
          <c:dPt>
            <c:idx val="2"/>
            <c:bubble3D val="0"/>
            <c:spPr>
              <a:solidFill>
                <a:srgbClr val="00B050">
                  <a:alpha val="86000"/>
                </a:srgbClr>
              </a:solid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BEA-4353-9092-4F5364CB56DC}"/>
              </c:ext>
            </c:extLst>
          </c:dPt>
          <c:dPt>
            <c:idx val="3"/>
            <c:bubble3D val="0"/>
            <c:spPr>
              <a:solidFill>
                <a:schemeClr val="tx1">
                  <a:lumMod val="65000"/>
                  <a:lumOff val="35000"/>
                  <a:alpha val="86000"/>
                </a:schemeClr>
              </a:solidFill>
              <a:ln w="19050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BEA-4353-9092-4F5364CB56DC}"/>
              </c:ext>
            </c:extLst>
          </c:dPt>
          <c:dLbls>
            <c:dLbl>
              <c:idx val="0"/>
              <c:layout>
                <c:manualLayout>
                  <c:x val="-6.6397793307318806E-2"/>
                  <c:y val="-4.14481694942772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BEA-4353-9092-4F5364CB56DC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BEA-4353-9092-4F5364CB56DC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BEA-4353-9092-4F5364CB56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2000" b="1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Business</c:v>
                </c:pt>
                <c:pt idx="1">
                  <c:v>Consumtif</c:v>
                </c:pt>
                <c:pt idx="2">
                  <c:v>No Pay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70.13</c:v>
                </c:pt>
                <c:pt idx="1">
                  <c:v>10.02</c:v>
                </c:pt>
                <c:pt idx="2">
                  <c:v>19.850000000000001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BEA-4353-9092-4F5364CB56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2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2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legendEntry>
      <c:legendEntry>
        <c:idx val="3"/>
        <c:delete val="1"/>
      </c:legendEntry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2022-10-12T17:42:00Z</dcterms:created>
  <dcterms:modified xsi:type="dcterms:W3CDTF">2022-10-12T17:46:00Z</dcterms:modified>
</cp:coreProperties>
</file>