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25E1" w14:textId="29732B0E" w:rsidR="00E6424A" w:rsidRPr="005845EB" w:rsidRDefault="005E6F71">
      <w:pPr>
        <w:pStyle w:val="Standard"/>
        <w:rPr>
          <w:rFonts w:ascii="Times New Roman" w:hAnsi="Times New Roman" w:cs="Times New Roman"/>
        </w:rPr>
      </w:pPr>
      <w:bookmarkStart w:id="0" w:name="_Toc113644015"/>
      <w:bookmarkStart w:id="1" w:name="_Toc116159174"/>
      <w:r w:rsidRPr="005845EB">
        <w:rPr>
          <w:rFonts w:ascii="Times New Roman" w:hAnsi="Times New Roman" w:cs="Times New Roman"/>
          <w:b/>
          <w:bCs/>
        </w:rPr>
        <w:t>Quadro 4.</w:t>
      </w:r>
      <w:r w:rsidRPr="005845EB">
        <w:rPr>
          <w:rFonts w:ascii="Times New Roman" w:hAnsi="Times New Roman" w:cs="Times New Roman"/>
        </w:rPr>
        <w:t xml:space="preserve"> Estratégias </w:t>
      </w:r>
      <w:r w:rsidRPr="005845EB">
        <w:rPr>
          <w:rFonts w:ascii="Times New Roman" w:eastAsia="Arial" w:hAnsi="Times New Roman" w:cs="Times New Roman"/>
          <w:color w:val="000000"/>
        </w:rPr>
        <w:t xml:space="preserve">de enfrentamento adotadas para redução das dificuldades </w:t>
      </w:r>
      <w:r w:rsidR="00033001">
        <w:rPr>
          <w:rFonts w:ascii="Times New Roman" w:eastAsia="Arial" w:hAnsi="Times New Roman" w:cs="Times New Roman"/>
          <w:color w:val="000000"/>
        </w:rPr>
        <w:t xml:space="preserve">para garantia do direito humano à alimentação adequada </w:t>
      </w:r>
      <w:r w:rsidRPr="005845EB">
        <w:rPr>
          <w:rFonts w:ascii="Times New Roman" w:eastAsia="Arial" w:hAnsi="Times New Roman" w:cs="Times New Roman"/>
          <w:color w:val="000000"/>
        </w:rPr>
        <w:t>durante a pandemia da COVID-19</w:t>
      </w:r>
      <w:bookmarkEnd w:id="0"/>
      <w:bookmarkEnd w:id="1"/>
      <w:r w:rsidR="005845EB">
        <w:rPr>
          <w:rFonts w:ascii="Times New Roman" w:eastAsia="Arial" w:hAnsi="Times New Roman" w:cs="Times New Roman"/>
          <w:color w:val="000000"/>
        </w:rPr>
        <w:t>.</w:t>
      </w:r>
    </w:p>
    <w:p w14:paraId="04AEF039" w14:textId="77777777" w:rsidR="00E6424A" w:rsidRPr="005845EB" w:rsidRDefault="00E6424A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W w:w="9061" w:type="dxa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5"/>
        <w:gridCol w:w="5806"/>
      </w:tblGrid>
      <w:tr w:rsidR="00E6424A" w:rsidRPr="005845EB" w14:paraId="0F8F26D1" w14:textId="77777777">
        <w:trPr>
          <w:trHeight w:val="430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2791F" w14:textId="77777777" w:rsidR="00E6424A" w:rsidRPr="005845EB" w:rsidRDefault="005E6F7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845EB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CATEGORIAS DE ANÁLISE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D7FDC" w14:textId="77777777" w:rsidR="00E6424A" w:rsidRPr="005845EB" w:rsidRDefault="005E6F71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845EB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ESTRATÉGIAS PARA ENFRENTAMENTO</w:t>
            </w:r>
          </w:p>
        </w:tc>
      </w:tr>
      <w:tr w:rsidR="00E6424A" w:rsidRPr="005845EB" w14:paraId="26694F8B" w14:textId="77777777">
        <w:trPr>
          <w:trHeight w:val="11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D833" w14:textId="77777777" w:rsidR="00E6424A" w:rsidRPr="005845EB" w:rsidRDefault="005E6F71" w:rsidP="00602496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45EB">
              <w:rPr>
                <w:rFonts w:ascii="Times New Roman" w:hAnsi="Times New Roman" w:cs="Times New Roman"/>
                <w:kern w:val="0"/>
                <w:sz w:val="20"/>
                <w:szCs w:val="20"/>
              </w:rPr>
              <w:t>Assegurar a renda dos usuários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2DFD0" w14:textId="1AA8A237" w:rsidR="00E6424A" w:rsidRPr="005845EB" w:rsidRDefault="00713A5B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Auxílio</w:t>
            </w:r>
            <w:r w:rsidR="005E6F71"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 xml:space="preserve"> Emergencial - Lei nº 13.982, de 2 de abril de 2020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D510CC0" w14:textId="07BC3AB5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Tarifa Social de Energia Elétrica (TSEE) - Medida Provisória nº 950, de 8 abril de 2020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 xml:space="preserve">                                     </w:t>
            </w:r>
          </w:p>
          <w:p w14:paraId="6962F897" w14:textId="5B24F93C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 xml:space="preserve">Alteração na gestão do Programa Bolsa Família - Portaria </w:t>
            </w: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nº 387, de 15 de maio de 2020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14E7A6B4" w14:textId="347A5794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Alteração na gestão do Benefício de Prestação Continuada (BPC) – lei nº 13.982, de 2 de abril de 2020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15F305CF" w14:textId="547E8801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 xml:space="preserve">Programa Emergencial de Manutenção do Emprego e da Renda - </w:t>
            </w: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Lei nº 14.020, de 6 de julho de 2020</w:t>
            </w:r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27329571" w14:textId="153473E5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Concessão de aporte financeiro destinado a pequenas e médias empresas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5A9BCF37" w14:textId="184ED064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Liberação de linhas crédito destinada aos pequenos empreendedores, cooperativas e informais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  <w:tr w:rsidR="00E6424A" w:rsidRPr="005845EB" w14:paraId="60DE2F5F" w14:textId="77777777">
        <w:trPr>
          <w:trHeight w:val="621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D43D1" w14:textId="77777777" w:rsidR="00E6424A" w:rsidRPr="005845EB" w:rsidRDefault="005E6F71" w:rsidP="00602496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5845EB">
              <w:rPr>
                <w:rFonts w:ascii="Times New Roman" w:hAnsi="Times New Roman" w:cs="Times New Roman"/>
                <w:kern w:val="0"/>
                <w:sz w:val="20"/>
                <w:szCs w:val="20"/>
              </w:rPr>
              <w:t>Assegurar o abastecimento e o acesso aos alimentos</w:t>
            </w: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F64DE" w14:textId="229D48A6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232323"/>
                <w:kern w:val="0"/>
                <w:sz w:val="20"/>
                <w:szCs w:val="20"/>
              </w:rPr>
              <w:t>Repasse emergencial de recursos federais para a operacionalização de ações de incremento à segurança alimentar e nutricional aos usuários do Sistema Único de Assistência Social – SUAS</w:t>
            </w: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 xml:space="preserve"> - Portaria nº 385, de 13 de maio de 2020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2B8D7E7A" w14:textId="06F8C440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Mecanismos de monitoramento dos principais equipamentos de abastecimento de alimentos</w:t>
            </w:r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6E39E263" w14:textId="108D8AB8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Distribuição de cestas básicas a segmentos populacionais específicos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3DAEE886" w14:textId="210F628D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Distribuição de água</w:t>
            </w:r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7A1B408E" w14:textId="66448D6B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 xml:space="preserve">Estratégias para o fortalecimento do </w:t>
            </w: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Programa de Aquisição de Alimentos (PAA)</w:t>
            </w:r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02888CAA" w14:textId="6EF225AC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Adequação do Programa Nacional de Alimentação Escolar (PNAE)</w:t>
            </w:r>
            <w:bookmarkStart w:id="2" w:name="_Toc113689042"/>
            <w:bookmarkStart w:id="3" w:name="_Toc113644991"/>
            <w:bookmarkStart w:id="4" w:name="_Toc113643863"/>
            <w:bookmarkStart w:id="5" w:name="_Toc113643673"/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;</w:t>
            </w:r>
          </w:p>
          <w:p w14:paraId="4B88F9A6" w14:textId="065CD4C6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</w:rPr>
              <w:t xml:space="preserve">Reconfiguração do </w:t>
            </w: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Programa Restaurante Popular (PRP)</w:t>
            </w:r>
            <w:bookmarkEnd w:id="2"/>
            <w:bookmarkEnd w:id="3"/>
            <w:bookmarkEnd w:id="4"/>
            <w:bookmarkEnd w:id="5"/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.</w:t>
            </w:r>
          </w:p>
        </w:tc>
      </w:tr>
      <w:tr w:rsidR="00E6424A" w:rsidRPr="005845EB" w14:paraId="12376344" w14:textId="77777777">
        <w:trPr>
          <w:trHeight w:val="279"/>
        </w:trPr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C26BA" w14:textId="77777777" w:rsidR="00E6424A" w:rsidRPr="005845EB" w:rsidRDefault="005E6F71" w:rsidP="00602496">
            <w:pPr>
              <w:pStyle w:val="Heading1"/>
              <w:widowControl w:val="0"/>
              <w:spacing w:before="0" w:after="0"/>
              <w:ind w:left="-18"/>
              <w:jc w:val="center"/>
              <w:rPr>
                <w:rFonts w:ascii="Times New Roman" w:hAnsi="Times New Roman" w:cs="Times New Roman"/>
                <w:b w:val="0"/>
                <w:bCs/>
                <w:kern w:val="0"/>
                <w:sz w:val="20"/>
                <w:szCs w:val="20"/>
              </w:rPr>
            </w:pPr>
            <w:bookmarkStart w:id="6" w:name="_Toc113643865"/>
            <w:bookmarkStart w:id="7" w:name="_Toc113644993"/>
            <w:bookmarkStart w:id="8" w:name="_Toc113689044"/>
            <w:bookmarkStart w:id="9" w:name="_Toc116153804"/>
            <w:bookmarkStart w:id="10" w:name="_Toc116201944"/>
            <w:bookmarkStart w:id="11" w:name="_Toc113643675"/>
            <w:r w:rsidRPr="005845EB">
              <w:rPr>
                <w:rFonts w:ascii="Times New Roman" w:hAnsi="Times New Roman" w:cs="Times New Roman"/>
                <w:b w:val="0"/>
                <w:bCs/>
                <w:kern w:val="0"/>
                <w:sz w:val="20"/>
                <w:szCs w:val="20"/>
              </w:rPr>
              <w:t>Fomento a processos de educação alimentar e nutricional, e ações de alimentação e nutrição articulada com o campo da Saúde Pública</w:t>
            </w:r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697E5" w14:textId="35C0B04E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 xml:space="preserve">Publicação de materiais </w:t>
            </w:r>
            <w:r w:rsidRPr="005845EB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educativos por parte da Secretaria de Vigilância em Saúde e da Secretaria de Atenção Primária à Saúde, no contexto da pandemia</w:t>
            </w:r>
            <w:r w:rsidR="00DF5BB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;</w:t>
            </w:r>
          </w:p>
          <w:p w14:paraId="2F2DFC5E" w14:textId="72E4B703" w:rsidR="00E6424A" w:rsidRPr="005845EB" w:rsidRDefault="005E6F71" w:rsidP="00357E43">
            <w:pPr>
              <w:pStyle w:val="Standard"/>
              <w:spacing w:after="120"/>
              <w:ind w:left="30"/>
              <w:jc w:val="both"/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</w:pPr>
            <w:r w:rsidRPr="005845EB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Divulgação do Ofício Circular n° 3, que propôs recomendações da Coordenação-Geral de Alimentação e Nutrição – (CGAN)</w:t>
            </w:r>
            <w:r w:rsidR="00DF5BB9">
              <w:rPr>
                <w:rFonts w:ascii="Times New Roman" w:eastAsia="Calibri" w:hAnsi="Times New Roman" w:cs="Times New Roman"/>
                <w:color w:val="00000A"/>
                <w:kern w:val="0"/>
                <w:sz w:val="20"/>
                <w:szCs w:val="20"/>
              </w:rPr>
              <w:t>.</w:t>
            </w:r>
          </w:p>
        </w:tc>
      </w:tr>
    </w:tbl>
    <w:p w14:paraId="71E7D542" w14:textId="4AD560B5" w:rsidR="00E6424A" w:rsidRPr="005845EB" w:rsidRDefault="00E6424A">
      <w:pPr>
        <w:pStyle w:val="Standard"/>
        <w:rPr>
          <w:rFonts w:ascii="Times New Roman" w:hAnsi="Times New Roman" w:cs="Times New Roman"/>
          <w:sz w:val="20"/>
          <w:szCs w:val="20"/>
        </w:rPr>
      </w:pPr>
    </w:p>
    <w:p w14:paraId="65ED2F99" w14:textId="77777777" w:rsidR="00E6424A" w:rsidRPr="005E6F71" w:rsidRDefault="00E6424A">
      <w:pPr>
        <w:pStyle w:val="Standard"/>
        <w:rPr>
          <w:rFonts w:ascii="Times New Roman" w:hAnsi="Times New Roman" w:cs="Times New Roman"/>
        </w:rPr>
      </w:pPr>
    </w:p>
    <w:p w14:paraId="5747ECB4" w14:textId="77777777" w:rsidR="00E6424A" w:rsidRPr="005E6F71" w:rsidRDefault="00E6424A">
      <w:pPr>
        <w:pStyle w:val="Standard"/>
        <w:rPr>
          <w:rFonts w:ascii="Times New Roman" w:hAnsi="Times New Roman" w:cs="Times New Roman"/>
        </w:rPr>
      </w:pPr>
    </w:p>
    <w:sectPr w:rsidR="00E6424A" w:rsidRPr="005E6F71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67CC2" w14:textId="77777777" w:rsidR="00A57D04" w:rsidRDefault="00A57D04">
      <w:pPr>
        <w:rPr>
          <w:rFonts w:hint="eastAsia"/>
        </w:rPr>
      </w:pPr>
      <w:r>
        <w:separator/>
      </w:r>
    </w:p>
  </w:endnote>
  <w:endnote w:type="continuationSeparator" w:id="0">
    <w:p w14:paraId="21155E06" w14:textId="77777777" w:rsidR="00A57D04" w:rsidRDefault="00A57D0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09E6E" w14:textId="77777777" w:rsidR="00A57D04" w:rsidRDefault="00A57D0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F868487" w14:textId="77777777" w:rsidR="00A57D04" w:rsidRDefault="00A57D0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336E"/>
    <w:multiLevelType w:val="multilevel"/>
    <w:tmpl w:val="A69ACF64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6D45AD9"/>
    <w:multiLevelType w:val="multilevel"/>
    <w:tmpl w:val="04E0408E"/>
    <w:styleLink w:val="WWNum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5E70941"/>
    <w:multiLevelType w:val="multilevel"/>
    <w:tmpl w:val="4CD4C4F6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69586068">
    <w:abstractNumId w:val="2"/>
  </w:num>
  <w:num w:numId="2" w16cid:durableId="1994526988">
    <w:abstractNumId w:val="1"/>
  </w:num>
  <w:num w:numId="3" w16cid:durableId="1391228442">
    <w:abstractNumId w:val="0"/>
  </w:num>
  <w:num w:numId="4" w16cid:durableId="223416807">
    <w:abstractNumId w:val="2"/>
  </w:num>
  <w:num w:numId="5" w16cid:durableId="1122726335">
    <w:abstractNumId w:val="1"/>
  </w:num>
  <w:num w:numId="6" w16cid:durableId="335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d3566948-319c-46d5-be71-dc95e5ec03f9"/>
  </w:docVars>
  <w:rsids>
    <w:rsidRoot w:val="00E6424A"/>
    <w:rsid w:val="00033001"/>
    <w:rsid w:val="00357E43"/>
    <w:rsid w:val="005042D9"/>
    <w:rsid w:val="005845EB"/>
    <w:rsid w:val="005E6F71"/>
    <w:rsid w:val="00602496"/>
    <w:rsid w:val="006F4238"/>
    <w:rsid w:val="00713A5B"/>
    <w:rsid w:val="00954766"/>
    <w:rsid w:val="00A57D04"/>
    <w:rsid w:val="00AA68D1"/>
    <w:rsid w:val="00B771CC"/>
    <w:rsid w:val="00CA79F1"/>
    <w:rsid w:val="00CB4909"/>
    <w:rsid w:val="00DF5BB9"/>
    <w:rsid w:val="00E6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605F"/>
  <w15:docId w15:val="{407A1801-0758-45CC-BCAF-A015DEF5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Character20style">
    <w:name w:val="Character_20_style"/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2">
    <w:name w:val="WWNum12"/>
    <w:basedOn w:val="NoList"/>
    <w:pPr>
      <w:numPr>
        <w:numId w:val="1"/>
      </w:numPr>
    </w:pPr>
  </w:style>
  <w:style w:type="numbering" w:customStyle="1" w:styleId="WWNum24">
    <w:name w:val="WWNum24"/>
    <w:basedOn w:val="NoList"/>
    <w:pPr>
      <w:numPr>
        <w:numId w:val="2"/>
      </w:numPr>
    </w:pPr>
  </w:style>
  <w:style w:type="numbering" w:customStyle="1" w:styleId="WWNum25">
    <w:name w:val="WWNum25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1657</Characters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2023-08-21T23:05:00Z</dcterms:created>
  <dcterms:modified xsi:type="dcterms:W3CDTF">2023-09-05T19:02:00Z</dcterms:modified>
</cp:coreProperties>
</file>