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04AC7" w14:textId="6D86A679" w:rsidR="004225BC" w:rsidRPr="00AC542F" w:rsidRDefault="00A3034C" w:rsidP="00420929">
      <w:pPr>
        <w:jc w:val="center"/>
        <w:rPr>
          <w:rFonts w:ascii="Times New Roman" w:hAnsi="Times New Roman" w:cs="Times New Roman"/>
          <w:b/>
        </w:rPr>
      </w:pPr>
      <w:r w:rsidRPr="00AC542F">
        <w:rPr>
          <w:rFonts w:ascii="Times New Roman" w:hAnsi="Times New Roman" w:cs="Times New Roman"/>
          <w:b/>
        </w:rPr>
        <w:t>O PAPEL DA CORTE INTERAMERICANA DE DIREITOS HUMANOS</w:t>
      </w:r>
      <w:r w:rsidR="00D902E5" w:rsidRPr="00AC542F">
        <w:rPr>
          <w:rFonts w:ascii="Times New Roman" w:hAnsi="Times New Roman" w:cs="Times New Roman"/>
          <w:b/>
        </w:rPr>
        <w:t xml:space="preserve"> NA CONSTRUÇÃO DIALOGADA DO </w:t>
      </w:r>
      <w:r w:rsidR="00D902E5" w:rsidRPr="00AC542F">
        <w:rPr>
          <w:rFonts w:ascii="Times New Roman" w:hAnsi="Times New Roman" w:cs="Times New Roman"/>
          <w:b/>
          <w:i/>
        </w:rPr>
        <w:t>IUS CONSTITUTIONALE COMMUNE</w:t>
      </w:r>
      <w:r w:rsidR="00D902E5" w:rsidRPr="00AC542F">
        <w:rPr>
          <w:rFonts w:ascii="Times New Roman" w:hAnsi="Times New Roman" w:cs="Times New Roman"/>
          <w:b/>
        </w:rPr>
        <w:t xml:space="preserve"> NA AMÉRICA LATINA</w:t>
      </w:r>
    </w:p>
    <w:p w14:paraId="11715830" w14:textId="77777777" w:rsidR="00A3034C" w:rsidRDefault="00A3034C" w:rsidP="00420929">
      <w:pPr>
        <w:jc w:val="center"/>
        <w:rPr>
          <w:rFonts w:ascii="Times New Roman" w:hAnsi="Times New Roman" w:cs="Times New Roman"/>
        </w:rPr>
      </w:pPr>
    </w:p>
    <w:p w14:paraId="37CFA0E6" w14:textId="77777777" w:rsidR="008424AA" w:rsidRDefault="008424AA" w:rsidP="00420929">
      <w:pPr>
        <w:jc w:val="center"/>
        <w:rPr>
          <w:rFonts w:ascii="Times New Roman" w:hAnsi="Times New Roman" w:cs="Times New Roman"/>
        </w:rPr>
      </w:pPr>
    </w:p>
    <w:p w14:paraId="5BD40045" w14:textId="288DEAD3" w:rsidR="00A3034C" w:rsidRDefault="00A3034C" w:rsidP="00420929">
      <w:pPr>
        <w:jc w:val="both"/>
        <w:rPr>
          <w:rFonts w:ascii="Times New Roman" w:hAnsi="Times New Roman" w:cs="Times New Roman"/>
        </w:rPr>
      </w:pPr>
      <w:r w:rsidRPr="005B7285">
        <w:rPr>
          <w:rFonts w:ascii="Times New Roman" w:hAnsi="Times New Roman" w:cs="Times New Roman"/>
          <w:b/>
        </w:rPr>
        <w:t>RESUMO:</w:t>
      </w:r>
      <w:r w:rsidR="00DD3363">
        <w:rPr>
          <w:rFonts w:ascii="Times New Roman" w:hAnsi="Times New Roman" w:cs="Times New Roman"/>
        </w:rPr>
        <w:t xml:space="preserve"> Este artigo tem por objetivo </w:t>
      </w:r>
      <w:r w:rsidR="00815638">
        <w:rPr>
          <w:rFonts w:ascii="Times New Roman" w:hAnsi="Times New Roman" w:cs="Times New Roman"/>
        </w:rPr>
        <w:t>aquilatar o papel da</w:t>
      </w:r>
      <w:r w:rsidR="00DD3363">
        <w:rPr>
          <w:rFonts w:ascii="Times New Roman" w:hAnsi="Times New Roman" w:cs="Times New Roman"/>
        </w:rPr>
        <w:t xml:space="preserve"> Corte Interame</w:t>
      </w:r>
      <w:r w:rsidR="008B576F">
        <w:rPr>
          <w:rFonts w:ascii="Times New Roman" w:hAnsi="Times New Roman" w:cs="Times New Roman"/>
        </w:rPr>
        <w:t>ricana de Direitos Humanos n</w:t>
      </w:r>
      <w:r w:rsidR="00DD3363">
        <w:rPr>
          <w:rFonts w:ascii="Times New Roman" w:hAnsi="Times New Roman" w:cs="Times New Roman"/>
        </w:rPr>
        <w:t xml:space="preserve">a construção do </w:t>
      </w:r>
      <w:r w:rsidR="00DD3363" w:rsidRPr="00B402AA">
        <w:rPr>
          <w:rFonts w:ascii="Times New Roman" w:hAnsi="Times New Roman" w:cs="Times New Roman"/>
          <w:i/>
        </w:rPr>
        <w:t>Ius Constitutionale Commune</w:t>
      </w:r>
      <w:r w:rsidR="00DD3363">
        <w:rPr>
          <w:rFonts w:ascii="Times New Roman" w:hAnsi="Times New Roman" w:cs="Times New Roman"/>
        </w:rPr>
        <w:t xml:space="preserve"> na América Latina,</w:t>
      </w:r>
      <w:r w:rsidR="00815638">
        <w:rPr>
          <w:rFonts w:ascii="Times New Roman" w:hAnsi="Times New Roman" w:cs="Times New Roman"/>
        </w:rPr>
        <w:t xml:space="preserve"> mediante pesquisa bibliográfica doutrinária e jurisprudencial.</w:t>
      </w:r>
      <w:r w:rsidR="00B402AA">
        <w:rPr>
          <w:rFonts w:ascii="Times New Roman" w:hAnsi="Times New Roman" w:cs="Times New Roman"/>
        </w:rPr>
        <w:t xml:space="preserve"> </w:t>
      </w:r>
      <w:r w:rsidR="00411C2E">
        <w:rPr>
          <w:rFonts w:ascii="Times New Roman" w:hAnsi="Times New Roman" w:cs="Times New Roman"/>
        </w:rPr>
        <w:t xml:space="preserve">Para tanto, analisou-se o projeto jurídico de um direito comum </w:t>
      </w:r>
      <w:r w:rsidR="008B576F">
        <w:rPr>
          <w:rFonts w:ascii="Times New Roman" w:hAnsi="Times New Roman" w:cs="Times New Roman"/>
        </w:rPr>
        <w:t>formado</w:t>
      </w:r>
      <w:r w:rsidR="00500E7D">
        <w:rPr>
          <w:rFonts w:ascii="Times New Roman" w:hAnsi="Times New Roman" w:cs="Times New Roman"/>
        </w:rPr>
        <w:t xml:space="preserve"> a partir</w:t>
      </w:r>
      <w:r w:rsidR="00411C2E">
        <w:rPr>
          <w:rFonts w:ascii="Times New Roman" w:hAnsi="Times New Roman" w:cs="Times New Roman"/>
        </w:rPr>
        <w:t xml:space="preserve"> da interconexão de normas constitucionais e convencionais sobre direitos humanos</w:t>
      </w:r>
      <w:r w:rsidR="00500E7D">
        <w:rPr>
          <w:rFonts w:ascii="Times New Roman" w:hAnsi="Times New Roman" w:cs="Times New Roman"/>
        </w:rPr>
        <w:t>, a qual</w:t>
      </w:r>
      <w:r w:rsidR="005B7285">
        <w:rPr>
          <w:rFonts w:ascii="Times New Roman" w:hAnsi="Times New Roman" w:cs="Times New Roman"/>
        </w:rPr>
        <w:t xml:space="preserve"> fornece uma base jurídica para o constitucionalismo transformador, comprometido</w:t>
      </w:r>
      <w:r w:rsidR="001E26E2">
        <w:rPr>
          <w:rFonts w:ascii="Times New Roman" w:hAnsi="Times New Roman" w:cs="Times New Roman"/>
        </w:rPr>
        <w:t xml:space="preserve"> em ní</w:t>
      </w:r>
      <w:r w:rsidR="00815638">
        <w:rPr>
          <w:rFonts w:ascii="Times New Roman" w:hAnsi="Times New Roman" w:cs="Times New Roman"/>
        </w:rPr>
        <w:t>vel nacional e regional</w:t>
      </w:r>
      <w:r w:rsidR="005B7285">
        <w:rPr>
          <w:rFonts w:ascii="Times New Roman" w:hAnsi="Times New Roman" w:cs="Times New Roman"/>
        </w:rPr>
        <w:t xml:space="preserve"> com a</w:t>
      </w:r>
      <w:r w:rsidR="008B576F">
        <w:rPr>
          <w:rFonts w:ascii="Times New Roman" w:hAnsi="Times New Roman" w:cs="Times New Roman"/>
        </w:rPr>
        <w:t xml:space="preserve"> inclusão social e a</w:t>
      </w:r>
      <w:r w:rsidR="005B7285">
        <w:rPr>
          <w:rFonts w:ascii="Times New Roman" w:hAnsi="Times New Roman" w:cs="Times New Roman"/>
        </w:rPr>
        <w:t xml:space="preserve"> realização dos ideais </w:t>
      </w:r>
      <w:r w:rsidR="00411C2E">
        <w:rPr>
          <w:rFonts w:ascii="Times New Roman" w:hAnsi="Times New Roman" w:cs="Times New Roman"/>
        </w:rPr>
        <w:t xml:space="preserve">de respeito e promoção da democracia, direitos humanos e Estado de Direito. </w:t>
      </w:r>
      <w:r w:rsidR="005F5E17">
        <w:rPr>
          <w:rFonts w:ascii="Times New Roman" w:hAnsi="Times New Roman" w:cs="Times New Roman"/>
        </w:rPr>
        <w:t xml:space="preserve">O desenho institucional que </w:t>
      </w:r>
      <w:r w:rsidR="0048735B">
        <w:rPr>
          <w:rFonts w:ascii="Times New Roman" w:hAnsi="Times New Roman" w:cs="Times New Roman"/>
        </w:rPr>
        <w:t xml:space="preserve">se </w:t>
      </w:r>
      <w:r w:rsidR="005F5E17">
        <w:rPr>
          <w:rFonts w:ascii="Times New Roman" w:hAnsi="Times New Roman" w:cs="Times New Roman"/>
        </w:rPr>
        <w:t xml:space="preserve">erige dessa interação tem como pilar diálogos judiciais </w:t>
      </w:r>
      <w:r w:rsidR="0048735B">
        <w:rPr>
          <w:rFonts w:ascii="Times New Roman" w:hAnsi="Times New Roman" w:cs="Times New Roman"/>
        </w:rPr>
        <w:t xml:space="preserve">horizontais e principalmente verticais, em que a </w:t>
      </w:r>
      <w:bookmarkStart w:id="0" w:name="_GoBack"/>
      <w:bookmarkEnd w:id="0"/>
      <w:r w:rsidR="005F5E17">
        <w:rPr>
          <w:rFonts w:ascii="Times New Roman" w:hAnsi="Times New Roman" w:cs="Times New Roman"/>
        </w:rPr>
        <w:t>Corte Interamericana</w:t>
      </w:r>
      <w:r w:rsidR="0048735B">
        <w:rPr>
          <w:rFonts w:ascii="Times New Roman" w:hAnsi="Times New Roman" w:cs="Times New Roman"/>
        </w:rPr>
        <w:t xml:space="preserve"> atua como um vértice canalizador dos sentidos de direitos humanos e impulsionador de sua concretização. </w:t>
      </w:r>
      <w:r w:rsidR="00E2467E">
        <w:rPr>
          <w:rFonts w:ascii="Times New Roman" w:hAnsi="Times New Roman" w:cs="Times New Roman"/>
        </w:rPr>
        <w:t>C</w:t>
      </w:r>
      <w:r w:rsidR="00FD6F09">
        <w:rPr>
          <w:rFonts w:ascii="Times New Roman" w:hAnsi="Times New Roman" w:cs="Times New Roman"/>
        </w:rPr>
        <w:t xml:space="preserve">oncluiu-se </w:t>
      </w:r>
      <w:r w:rsidR="00815638">
        <w:rPr>
          <w:rFonts w:ascii="Times New Roman" w:hAnsi="Times New Roman" w:cs="Times New Roman"/>
        </w:rPr>
        <w:t xml:space="preserve">que a Corte, especialmente a partir do diálogo que mantém com cortes nacionais, exerce duas funções primordiais: (i) a harmonização do pluralismo jurídico multinível decorrente da </w:t>
      </w:r>
      <w:r w:rsidR="00E2467E">
        <w:rPr>
          <w:rFonts w:ascii="Times New Roman" w:hAnsi="Times New Roman" w:cs="Times New Roman"/>
        </w:rPr>
        <w:t>interconexão</w:t>
      </w:r>
      <w:r w:rsidR="00815638">
        <w:rPr>
          <w:rFonts w:ascii="Times New Roman" w:hAnsi="Times New Roman" w:cs="Times New Roman"/>
        </w:rPr>
        <w:t xml:space="preserve"> </w:t>
      </w:r>
      <w:r w:rsidR="00E2467E">
        <w:rPr>
          <w:rFonts w:ascii="Times New Roman" w:hAnsi="Times New Roman" w:cs="Times New Roman"/>
        </w:rPr>
        <w:t xml:space="preserve">entre os sistemas constitucionais e </w:t>
      </w:r>
      <w:r w:rsidR="00815638">
        <w:rPr>
          <w:rFonts w:ascii="Times New Roman" w:hAnsi="Times New Roman" w:cs="Times New Roman"/>
        </w:rPr>
        <w:t>o sistema regional</w:t>
      </w:r>
      <w:r w:rsidR="00E2467E">
        <w:rPr>
          <w:rFonts w:ascii="Times New Roman" w:hAnsi="Times New Roman" w:cs="Times New Roman"/>
        </w:rPr>
        <w:t>, voltada para a construção de standards comuns em direitos humanos</w:t>
      </w:r>
      <w:r w:rsidR="00815638">
        <w:rPr>
          <w:rFonts w:ascii="Times New Roman" w:hAnsi="Times New Roman" w:cs="Times New Roman"/>
        </w:rPr>
        <w:t>; e (ii) o impulsionamento de transformações sociais através de suas sentenças</w:t>
      </w:r>
      <w:r w:rsidR="00E2467E">
        <w:rPr>
          <w:rFonts w:ascii="Times New Roman" w:hAnsi="Times New Roman" w:cs="Times New Roman"/>
        </w:rPr>
        <w:t>, a fim de tornar efetivos os compromissos constitucionais e convencionais</w:t>
      </w:r>
      <w:r w:rsidR="00815638">
        <w:rPr>
          <w:rFonts w:ascii="Times New Roman" w:hAnsi="Times New Roman" w:cs="Times New Roman"/>
        </w:rPr>
        <w:t>.</w:t>
      </w:r>
      <w:r w:rsidR="008B576F">
        <w:rPr>
          <w:rFonts w:ascii="Times New Roman" w:hAnsi="Times New Roman" w:cs="Times New Roman"/>
        </w:rPr>
        <w:t xml:space="preserve"> </w:t>
      </w:r>
      <w:r w:rsidR="00E2467E">
        <w:rPr>
          <w:rFonts w:ascii="Times New Roman" w:hAnsi="Times New Roman" w:cs="Times New Roman"/>
        </w:rPr>
        <w:t xml:space="preserve">A partir da </w:t>
      </w:r>
      <w:r w:rsidR="008B576F">
        <w:rPr>
          <w:rFonts w:ascii="Times New Roman" w:hAnsi="Times New Roman" w:cs="Times New Roman"/>
        </w:rPr>
        <w:t>compreensão</w:t>
      </w:r>
      <w:r w:rsidR="00E2467E">
        <w:rPr>
          <w:rFonts w:ascii="Times New Roman" w:hAnsi="Times New Roman" w:cs="Times New Roman"/>
        </w:rPr>
        <w:t xml:space="preserve"> dessas funções,</w:t>
      </w:r>
      <w:r w:rsidR="008B576F">
        <w:rPr>
          <w:rFonts w:ascii="Times New Roman" w:hAnsi="Times New Roman" w:cs="Times New Roman"/>
        </w:rPr>
        <w:t xml:space="preserve"> pesquisadores e defensores de direitos humanos </w:t>
      </w:r>
      <w:r w:rsidR="00E2467E">
        <w:rPr>
          <w:rFonts w:ascii="Times New Roman" w:hAnsi="Times New Roman" w:cs="Times New Roman"/>
        </w:rPr>
        <w:t xml:space="preserve">têm um campo jurisdicional </w:t>
      </w:r>
      <w:r w:rsidR="008B576F">
        <w:rPr>
          <w:rFonts w:ascii="Times New Roman" w:hAnsi="Times New Roman" w:cs="Times New Roman"/>
        </w:rPr>
        <w:t xml:space="preserve">a explorar a fim de dar continuidade e consistência à realização desses direitos. </w:t>
      </w:r>
    </w:p>
    <w:p w14:paraId="6F1B4CC7" w14:textId="77777777" w:rsidR="00A3034C" w:rsidRDefault="00A3034C" w:rsidP="00420929">
      <w:pPr>
        <w:jc w:val="both"/>
        <w:rPr>
          <w:rFonts w:ascii="Times New Roman" w:hAnsi="Times New Roman" w:cs="Times New Roman"/>
        </w:rPr>
      </w:pPr>
    </w:p>
    <w:p w14:paraId="055D55D9" w14:textId="3672CDA7" w:rsidR="00A3034C" w:rsidRDefault="00A3034C" w:rsidP="00420929">
      <w:pPr>
        <w:jc w:val="both"/>
        <w:rPr>
          <w:rFonts w:ascii="Times New Roman" w:hAnsi="Times New Roman" w:cs="Times New Roman"/>
        </w:rPr>
      </w:pPr>
      <w:r w:rsidRPr="005B7285">
        <w:rPr>
          <w:rFonts w:ascii="Times New Roman" w:hAnsi="Times New Roman" w:cs="Times New Roman"/>
          <w:b/>
        </w:rPr>
        <w:t>PALAVRAS-CHAVE:</w:t>
      </w:r>
      <w:r w:rsidR="007E5596">
        <w:rPr>
          <w:rFonts w:ascii="Times New Roman" w:hAnsi="Times New Roman" w:cs="Times New Roman"/>
        </w:rPr>
        <w:t xml:space="preserve"> </w:t>
      </w:r>
      <w:r w:rsidR="007E5596" w:rsidRPr="007E5596">
        <w:rPr>
          <w:rFonts w:ascii="Times New Roman" w:hAnsi="Times New Roman" w:cs="Times New Roman"/>
          <w:i/>
        </w:rPr>
        <w:t>Ius Constitutionale Commune</w:t>
      </w:r>
      <w:r w:rsidR="007E5596">
        <w:rPr>
          <w:rFonts w:ascii="Times New Roman" w:hAnsi="Times New Roman" w:cs="Times New Roman"/>
        </w:rPr>
        <w:t xml:space="preserve">; Direitos Humanos; Corte Interamericana de Direitos Humanos; Diálogos Judiciais; Constitucionalismo Transformador. </w:t>
      </w:r>
    </w:p>
    <w:p w14:paraId="3A0CBB4D" w14:textId="77777777" w:rsidR="00A3034C" w:rsidRDefault="00A3034C" w:rsidP="00420929">
      <w:pPr>
        <w:jc w:val="both"/>
        <w:rPr>
          <w:rFonts w:ascii="Times New Roman" w:hAnsi="Times New Roman" w:cs="Times New Roman"/>
        </w:rPr>
      </w:pPr>
    </w:p>
    <w:p w14:paraId="157A5D28" w14:textId="77777777" w:rsidR="00A3034C" w:rsidRDefault="00A3034C" w:rsidP="00420929">
      <w:pPr>
        <w:jc w:val="both"/>
        <w:rPr>
          <w:rFonts w:ascii="Times New Roman" w:hAnsi="Times New Roman" w:cs="Times New Roman"/>
        </w:rPr>
      </w:pPr>
    </w:p>
    <w:p w14:paraId="12547564" w14:textId="77777777" w:rsidR="00A3034C" w:rsidRDefault="00A3034C" w:rsidP="00420929">
      <w:pPr>
        <w:jc w:val="both"/>
        <w:rPr>
          <w:rFonts w:ascii="Times New Roman" w:hAnsi="Times New Roman" w:cs="Times New Roman"/>
          <w:b/>
        </w:rPr>
      </w:pPr>
      <w:r w:rsidRPr="00A3034C">
        <w:rPr>
          <w:rFonts w:ascii="Times New Roman" w:hAnsi="Times New Roman" w:cs="Times New Roman"/>
          <w:b/>
        </w:rPr>
        <w:t>INTRODUÇÃO</w:t>
      </w:r>
    </w:p>
    <w:p w14:paraId="474DB3DF" w14:textId="77777777" w:rsidR="003734EB" w:rsidRDefault="003734EB" w:rsidP="00420929">
      <w:pPr>
        <w:jc w:val="both"/>
        <w:rPr>
          <w:rFonts w:ascii="Times New Roman" w:hAnsi="Times New Roman" w:cs="Times New Roman"/>
          <w:b/>
        </w:rPr>
      </w:pPr>
    </w:p>
    <w:p w14:paraId="01E81812" w14:textId="5BBB732B" w:rsidR="007B63EA" w:rsidRDefault="003724E2" w:rsidP="0076592F">
      <w:pPr>
        <w:ind w:firstLine="720"/>
        <w:jc w:val="both"/>
        <w:rPr>
          <w:rFonts w:ascii="Times New Roman" w:hAnsi="Times New Roman" w:cs="Times New Roman"/>
        </w:rPr>
      </w:pPr>
      <w:r>
        <w:rPr>
          <w:rFonts w:ascii="Times New Roman" w:hAnsi="Times New Roman" w:cs="Times New Roman"/>
        </w:rPr>
        <w:t>A história da América Latina foi marcada por regimes autoritários, graves violações de direitos humanos, profunda desigualdade econômica e social. Em meio a contextos diversos, e particularidade</w:t>
      </w:r>
      <w:r w:rsidR="00E873A3">
        <w:rPr>
          <w:rFonts w:ascii="Times New Roman" w:hAnsi="Times New Roman" w:cs="Times New Roman"/>
        </w:rPr>
        <w:t>s culturais,</w:t>
      </w:r>
      <w:r>
        <w:rPr>
          <w:rFonts w:ascii="Times New Roman" w:hAnsi="Times New Roman" w:cs="Times New Roman"/>
        </w:rPr>
        <w:t xml:space="preserve"> existe uma realidade comum que marca de forma emblemática seus Estados </w:t>
      </w:r>
      <w:r w:rsidR="00E873A3">
        <w:rPr>
          <w:rFonts w:ascii="Times New Roman" w:hAnsi="Times New Roman" w:cs="Times New Roman"/>
        </w:rPr>
        <w:t xml:space="preserve">e os convida a buscar soluções comuns. </w:t>
      </w:r>
      <w:r w:rsidR="0076592F">
        <w:rPr>
          <w:rFonts w:ascii="Times New Roman" w:hAnsi="Times New Roman" w:cs="Times New Roman"/>
        </w:rPr>
        <w:t>A partir de sua</w:t>
      </w:r>
      <w:r w:rsidR="00E873A3">
        <w:rPr>
          <w:rFonts w:ascii="Times New Roman" w:hAnsi="Times New Roman" w:cs="Times New Roman"/>
        </w:rPr>
        <w:t xml:space="preserve"> adesão ao sistema interamericano de direitos humanos, impulsionado</w:t>
      </w:r>
      <w:r w:rsidR="007B63EA">
        <w:rPr>
          <w:rFonts w:ascii="Times New Roman" w:hAnsi="Times New Roman" w:cs="Times New Roman"/>
        </w:rPr>
        <w:t xml:space="preserve">r de constantes diálogos entre a Corte Interamericana e as cortes nacionais, erigiu-se um </w:t>
      </w:r>
      <w:r w:rsidR="007B63EA" w:rsidRPr="001E26E2">
        <w:rPr>
          <w:rFonts w:ascii="Times New Roman" w:hAnsi="Times New Roman" w:cs="Times New Roman"/>
          <w:i/>
        </w:rPr>
        <w:t>Ius Constitutionale Commune</w:t>
      </w:r>
      <w:r w:rsidR="007B63EA">
        <w:rPr>
          <w:rFonts w:ascii="Times New Roman" w:hAnsi="Times New Roman" w:cs="Times New Roman"/>
        </w:rPr>
        <w:t xml:space="preserve"> Latino-Americano, comprometido com a democracia, o Estado de Direito e os direitos humanos.</w:t>
      </w:r>
    </w:p>
    <w:p w14:paraId="61C2B98A" w14:textId="6298588E" w:rsidR="00E81C9F" w:rsidRDefault="004E3507" w:rsidP="003724E2">
      <w:pPr>
        <w:ind w:firstLine="720"/>
        <w:jc w:val="both"/>
        <w:rPr>
          <w:rFonts w:ascii="Times New Roman" w:hAnsi="Times New Roman" w:cs="Times New Roman"/>
        </w:rPr>
      </w:pPr>
      <w:r>
        <w:rPr>
          <w:rFonts w:ascii="Times New Roman" w:hAnsi="Times New Roman" w:cs="Times New Roman"/>
        </w:rPr>
        <w:t xml:space="preserve">A concepção de um </w:t>
      </w:r>
      <w:r w:rsidRPr="001A0205">
        <w:rPr>
          <w:rFonts w:ascii="Times New Roman" w:hAnsi="Times New Roman" w:cs="Times New Roman"/>
          <w:i/>
        </w:rPr>
        <w:t>Ius Commune</w:t>
      </w:r>
      <w:r>
        <w:rPr>
          <w:rFonts w:ascii="Times New Roman" w:hAnsi="Times New Roman" w:cs="Times New Roman"/>
        </w:rPr>
        <w:t xml:space="preserve"> de matiz constitucional na América Latina</w:t>
      </w:r>
      <w:r w:rsidR="00927068">
        <w:rPr>
          <w:rFonts w:ascii="Times New Roman" w:hAnsi="Times New Roman" w:cs="Times New Roman"/>
        </w:rPr>
        <w:t xml:space="preserve">, nascida de um trabalho conjunto de </w:t>
      </w:r>
      <w:r>
        <w:rPr>
          <w:rFonts w:ascii="Times New Roman" w:hAnsi="Times New Roman" w:cs="Times New Roman"/>
        </w:rPr>
        <w:t>juízes do sistema interamericano e doutrinadores</w:t>
      </w:r>
      <w:r w:rsidR="00927068">
        <w:rPr>
          <w:rFonts w:ascii="Times New Roman" w:hAnsi="Times New Roman" w:cs="Times New Roman"/>
        </w:rPr>
        <w:t xml:space="preserve"> latino-amer</w:t>
      </w:r>
      <w:r w:rsidR="007B5068">
        <w:rPr>
          <w:rFonts w:ascii="Times New Roman" w:hAnsi="Times New Roman" w:cs="Times New Roman"/>
        </w:rPr>
        <w:t>icanos e europeus, fornece base</w:t>
      </w:r>
      <w:r w:rsidR="00927068">
        <w:rPr>
          <w:rFonts w:ascii="Times New Roman" w:hAnsi="Times New Roman" w:cs="Times New Roman"/>
        </w:rPr>
        <w:t xml:space="preserve"> para a profunda interligação entre </w:t>
      </w:r>
      <w:r>
        <w:rPr>
          <w:rFonts w:ascii="Times New Roman" w:hAnsi="Times New Roman" w:cs="Times New Roman"/>
        </w:rPr>
        <w:t>sistemas jurídicos nacionais</w:t>
      </w:r>
      <w:r w:rsidR="00927068">
        <w:rPr>
          <w:rFonts w:ascii="Times New Roman" w:hAnsi="Times New Roman" w:cs="Times New Roman"/>
        </w:rPr>
        <w:t xml:space="preserve"> e o plano interamericano</w:t>
      </w:r>
      <w:r w:rsidR="00E81C9F">
        <w:rPr>
          <w:rFonts w:ascii="Times New Roman" w:hAnsi="Times New Roman" w:cs="Times New Roman"/>
        </w:rPr>
        <w:t>. Ela</w:t>
      </w:r>
      <w:r w:rsidR="00927068">
        <w:rPr>
          <w:rFonts w:ascii="Times New Roman" w:hAnsi="Times New Roman" w:cs="Times New Roman"/>
        </w:rPr>
        <w:t xml:space="preserve"> tem como eixo </w:t>
      </w:r>
      <w:r>
        <w:rPr>
          <w:rFonts w:ascii="Times New Roman" w:hAnsi="Times New Roman" w:cs="Times New Roman"/>
        </w:rPr>
        <w:t>a Convenção Americana</w:t>
      </w:r>
      <w:r w:rsidR="00927068">
        <w:rPr>
          <w:rFonts w:ascii="Times New Roman" w:hAnsi="Times New Roman" w:cs="Times New Roman"/>
        </w:rPr>
        <w:t xml:space="preserve"> sobre Direitos Humanos, e propósito uma atuação vanguardista especialmente dos órgãos jurisdicionais a fim de tornar efetivas as normas de direitos humanos.</w:t>
      </w:r>
      <w:r>
        <w:rPr>
          <w:rFonts w:ascii="Times New Roman" w:hAnsi="Times New Roman" w:cs="Times New Roman"/>
        </w:rPr>
        <w:t xml:space="preserve"> </w:t>
      </w:r>
    </w:p>
    <w:p w14:paraId="0D82857A" w14:textId="53129A24" w:rsidR="00E81C9F" w:rsidRDefault="001A0205" w:rsidP="003724E2">
      <w:pPr>
        <w:ind w:firstLine="720"/>
        <w:jc w:val="both"/>
        <w:rPr>
          <w:rFonts w:ascii="Times New Roman" w:hAnsi="Times New Roman" w:cs="Times New Roman"/>
        </w:rPr>
      </w:pPr>
      <w:r>
        <w:rPr>
          <w:rFonts w:ascii="Times New Roman" w:hAnsi="Times New Roman" w:cs="Times New Roman"/>
        </w:rPr>
        <w:t xml:space="preserve">Os compromissos assumidos pelos Estados latino-americanos, como o Brasil, os impulsiona para esse projeto comum de interação sistêmica que encontra na Corte Interamericana um vértice a partir da qual são designadas obrigações, reconhecidos avanços e dificuldades, </w:t>
      </w:r>
      <w:r w:rsidR="00C92B2A">
        <w:rPr>
          <w:rFonts w:ascii="Times New Roman" w:hAnsi="Times New Roman" w:cs="Times New Roman"/>
        </w:rPr>
        <w:t>construídos padrões de proteção e ressaltadas identidades particulares.</w:t>
      </w:r>
      <w:r w:rsidR="00E81C9F">
        <w:rPr>
          <w:rFonts w:ascii="Times New Roman" w:hAnsi="Times New Roman" w:cs="Times New Roman"/>
        </w:rPr>
        <w:t xml:space="preserve"> Cumprir com as determinações fixadas em sentenças regionais exige dos Estados mais que o pagamento de indenizações por violações a direitos humanos: demanda seu reconhecimento </w:t>
      </w:r>
      <w:r w:rsidR="00E81C9F">
        <w:rPr>
          <w:rFonts w:ascii="Times New Roman" w:hAnsi="Times New Roman" w:cs="Times New Roman"/>
        </w:rPr>
        <w:lastRenderedPageBreak/>
        <w:t>como integrantes de um projeto comum em que cada grupo social, cada direito, cada esforço tem importância, de modo que as transformações sociais necessárias para a efetivação dos direitos se realizem em um ambiente de boa-fé política e brotem de relações dialógicas.</w:t>
      </w:r>
      <w:r w:rsidR="0030032F">
        <w:rPr>
          <w:rFonts w:ascii="Times New Roman" w:hAnsi="Times New Roman" w:cs="Times New Roman"/>
        </w:rPr>
        <w:t xml:space="preserve"> Em tempos em que Estados realizam uma leitura equivocada dos compromissos internacionais, reafirmar seus propósitos é indispensável.</w:t>
      </w:r>
    </w:p>
    <w:p w14:paraId="413E28A4" w14:textId="43380244" w:rsidR="0076592F" w:rsidRDefault="00E81C9F" w:rsidP="0079040C">
      <w:pPr>
        <w:ind w:firstLine="720"/>
        <w:jc w:val="both"/>
        <w:rPr>
          <w:rFonts w:ascii="Times New Roman" w:hAnsi="Times New Roman" w:cs="Times New Roman"/>
        </w:rPr>
      </w:pPr>
      <w:r>
        <w:rPr>
          <w:rFonts w:ascii="Times New Roman" w:hAnsi="Times New Roman" w:cs="Times New Roman"/>
        </w:rPr>
        <w:t xml:space="preserve">É nessa seara que </w:t>
      </w:r>
      <w:r w:rsidR="0076592F">
        <w:rPr>
          <w:rFonts w:ascii="Times New Roman" w:hAnsi="Times New Roman" w:cs="Times New Roman"/>
        </w:rPr>
        <w:t xml:space="preserve">o presente artigo tem por problema de pesquisa questionar qual seria </w:t>
      </w:r>
      <w:r>
        <w:rPr>
          <w:rFonts w:ascii="Times New Roman" w:hAnsi="Times New Roman" w:cs="Times New Roman"/>
        </w:rPr>
        <w:t>o papel</w:t>
      </w:r>
      <w:r w:rsidR="0076592F">
        <w:rPr>
          <w:rFonts w:ascii="Times New Roman" w:hAnsi="Times New Roman" w:cs="Times New Roman"/>
        </w:rPr>
        <w:t xml:space="preserve"> a ser</w:t>
      </w:r>
      <w:r>
        <w:rPr>
          <w:rFonts w:ascii="Times New Roman" w:hAnsi="Times New Roman" w:cs="Times New Roman"/>
        </w:rPr>
        <w:t xml:space="preserve"> desempenhado pela Corte Interamericana, não como protagonista isolada</w:t>
      </w:r>
      <w:r w:rsidR="0076592F">
        <w:rPr>
          <w:rFonts w:ascii="Times New Roman" w:hAnsi="Times New Roman" w:cs="Times New Roman"/>
        </w:rPr>
        <w:t xml:space="preserve"> do sistema interamericano,</w:t>
      </w:r>
      <w:r>
        <w:rPr>
          <w:rFonts w:ascii="Times New Roman" w:hAnsi="Times New Roman" w:cs="Times New Roman"/>
        </w:rPr>
        <w:t xml:space="preserve"> mas como </w:t>
      </w:r>
      <w:r w:rsidR="0030032F">
        <w:rPr>
          <w:rFonts w:ascii="Times New Roman" w:hAnsi="Times New Roman" w:cs="Times New Roman"/>
        </w:rPr>
        <w:t>agente intermediador das mudanças sociais</w:t>
      </w:r>
      <w:r w:rsidR="0076592F">
        <w:rPr>
          <w:rFonts w:ascii="Times New Roman" w:hAnsi="Times New Roman" w:cs="Times New Roman"/>
        </w:rPr>
        <w:t xml:space="preserve"> através do diálogo que estabelece com os Estados</w:t>
      </w:r>
      <w:r w:rsidR="0030032F">
        <w:rPr>
          <w:rFonts w:ascii="Times New Roman" w:hAnsi="Times New Roman" w:cs="Times New Roman"/>
        </w:rPr>
        <w:t xml:space="preserve">. </w:t>
      </w:r>
      <w:r w:rsidR="0079040C">
        <w:rPr>
          <w:rFonts w:ascii="Times New Roman" w:hAnsi="Times New Roman" w:cs="Times New Roman"/>
        </w:rPr>
        <w:t>D</w:t>
      </w:r>
      <w:r w:rsidR="0076592F">
        <w:rPr>
          <w:rFonts w:ascii="Times New Roman" w:hAnsi="Times New Roman" w:cs="Times New Roman"/>
        </w:rPr>
        <w:t>efende</w:t>
      </w:r>
      <w:r w:rsidR="0079040C">
        <w:rPr>
          <w:rFonts w:ascii="Times New Roman" w:hAnsi="Times New Roman" w:cs="Times New Roman"/>
        </w:rPr>
        <w:t>-se</w:t>
      </w:r>
      <w:r w:rsidR="0076592F">
        <w:rPr>
          <w:rFonts w:ascii="Times New Roman" w:hAnsi="Times New Roman" w:cs="Times New Roman"/>
        </w:rPr>
        <w:t xml:space="preserve"> que a Corte Interamericana exerce primordialmente duas funções, voltadas para a construção dialogada de um direito comum latino-americano: a harmonização do pluralis</w:t>
      </w:r>
      <w:r w:rsidR="00742149">
        <w:rPr>
          <w:rFonts w:ascii="Times New Roman" w:hAnsi="Times New Roman" w:cs="Times New Roman"/>
        </w:rPr>
        <w:t>mo jurídico existente, e o impulsionamento de  transformação das</w:t>
      </w:r>
      <w:r w:rsidR="0076592F">
        <w:rPr>
          <w:rFonts w:ascii="Times New Roman" w:hAnsi="Times New Roman" w:cs="Times New Roman"/>
        </w:rPr>
        <w:t xml:space="preserve"> estruturas institucionais responsáveis pela violação de direitos humanos.</w:t>
      </w:r>
    </w:p>
    <w:p w14:paraId="6EBEC06A" w14:textId="392E09C3" w:rsidR="008331AD" w:rsidRDefault="0030032F" w:rsidP="00E81202">
      <w:pPr>
        <w:ind w:firstLine="720"/>
        <w:jc w:val="both"/>
        <w:rPr>
          <w:rFonts w:ascii="Times New Roman" w:hAnsi="Times New Roman" w:cs="Times New Roman"/>
        </w:rPr>
      </w:pPr>
      <w:r>
        <w:rPr>
          <w:rFonts w:ascii="Times New Roman" w:hAnsi="Times New Roman" w:cs="Times New Roman"/>
        </w:rPr>
        <w:t xml:space="preserve">Para tanto, o presente estudo foi </w:t>
      </w:r>
      <w:r w:rsidR="0079040C">
        <w:rPr>
          <w:rFonts w:ascii="Times New Roman" w:hAnsi="Times New Roman" w:cs="Times New Roman"/>
        </w:rPr>
        <w:t xml:space="preserve">elaborado a partir do método dedutivo, mediante pesquisa </w:t>
      </w:r>
      <w:r w:rsidR="00E81202">
        <w:rPr>
          <w:rFonts w:ascii="Times New Roman" w:hAnsi="Times New Roman" w:cs="Times New Roman"/>
        </w:rPr>
        <w:t>na produção doutrinária que concebeu</w:t>
      </w:r>
      <w:r w:rsidR="0079040C">
        <w:rPr>
          <w:rFonts w:ascii="Times New Roman" w:hAnsi="Times New Roman" w:cs="Times New Roman"/>
        </w:rPr>
        <w:t xml:space="preserve"> o fenômeno do </w:t>
      </w:r>
      <w:r w:rsidR="0079040C" w:rsidRPr="0079040C">
        <w:rPr>
          <w:rFonts w:ascii="Times New Roman" w:hAnsi="Times New Roman" w:cs="Times New Roman"/>
          <w:i/>
        </w:rPr>
        <w:t>Ius Constitutionale Commune</w:t>
      </w:r>
      <w:r w:rsidR="00742149">
        <w:rPr>
          <w:rFonts w:ascii="Times New Roman" w:hAnsi="Times New Roman" w:cs="Times New Roman"/>
          <w:i/>
        </w:rPr>
        <w:t>,</w:t>
      </w:r>
      <w:r w:rsidR="0079040C">
        <w:rPr>
          <w:rFonts w:ascii="Times New Roman" w:hAnsi="Times New Roman" w:cs="Times New Roman"/>
        </w:rPr>
        <w:t xml:space="preserve"> categoria geral em que se ambienta a atuação da Corte Interamericana.</w:t>
      </w:r>
      <w:r w:rsidR="00E81202">
        <w:rPr>
          <w:rFonts w:ascii="Times New Roman" w:hAnsi="Times New Roman" w:cs="Times New Roman"/>
        </w:rPr>
        <w:t xml:space="preserve"> Os contornos teóricos e contextuais deste </w:t>
      </w:r>
      <w:r w:rsidR="00E81202" w:rsidRPr="00E81202">
        <w:rPr>
          <w:rFonts w:ascii="Times New Roman" w:hAnsi="Times New Roman" w:cs="Times New Roman"/>
          <w:i/>
        </w:rPr>
        <w:t>Ius Commune</w:t>
      </w:r>
      <w:r w:rsidR="00E81202">
        <w:rPr>
          <w:rFonts w:ascii="Times New Roman" w:hAnsi="Times New Roman" w:cs="Times New Roman"/>
        </w:rPr>
        <w:t xml:space="preserve"> impulsionam</w:t>
      </w:r>
      <w:r w:rsidR="00667D82">
        <w:rPr>
          <w:rFonts w:ascii="Times New Roman" w:hAnsi="Times New Roman" w:cs="Times New Roman"/>
        </w:rPr>
        <w:t xml:space="preserve"> </w:t>
      </w:r>
      <w:r w:rsidR="00E81202">
        <w:rPr>
          <w:rFonts w:ascii="Times New Roman" w:hAnsi="Times New Roman" w:cs="Times New Roman"/>
        </w:rPr>
        <w:t xml:space="preserve">a Corte à realização </w:t>
      </w:r>
      <w:r w:rsidR="00742149">
        <w:rPr>
          <w:rFonts w:ascii="Times New Roman" w:hAnsi="Times New Roman" w:cs="Times New Roman"/>
        </w:rPr>
        <w:t>dos diálogos judiciais,</w:t>
      </w:r>
      <w:r w:rsidR="00E81202">
        <w:rPr>
          <w:rFonts w:ascii="Times New Roman" w:hAnsi="Times New Roman" w:cs="Times New Roman"/>
        </w:rPr>
        <w:t xml:space="preserve"> categoria</w:t>
      </w:r>
      <w:r w:rsidR="00742149">
        <w:rPr>
          <w:rFonts w:ascii="Times New Roman" w:hAnsi="Times New Roman" w:cs="Times New Roman"/>
        </w:rPr>
        <w:t xml:space="preserve"> cuja compreensão se deu a partir da análise de literatura científica, bem como estudo da jurisprudência da Corte e de tribunais nacionais. Compreendidas estas premissas, tornou-se possível reconhecer as mencionadas funções</w:t>
      </w:r>
      <w:r w:rsidR="00E81202">
        <w:rPr>
          <w:rFonts w:ascii="Times New Roman" w:hAnsi="Times New Roman" w:cs="Times New Roman"/>
        </w:rPr>
        <w:t xml:space="preserve"> (harmonizadora e transformadora), </w:t>
      </w:r>
      <w:r w:rsidR="00A73FD2">
        <w:rPr>
          <w:rFonts w:ascii="Times New Roman" w:hAnsi="Times New Roman" w:cs="Times New Roman"/>
        </w:rPr>
        <w:t xml:space="preserve">demonstradas mediante o método hermenêutico dirigido às fontes </w:t>
      </w:r>
      <w:r w:rsidR="00E81202">
        <w:rPr>
          <w:rFonts w:ascii="Times New Roman" w:hAnsi="Times New Roman" w:cs="Times New Roman"/>
        </w:rPr>
        <w:t>de pesquisa jurisprudencial e doutrinária.</w:t>
      </w:r>
    </w:p>
    <w:p w14:paraId="015FC754" w14:textId="185FEC6B" w:rsidR="00F977B1" w:rsidRDefault="00F977B1" w:rsidP="003724E2">
      <w:pPr>
        <w:ind w:firstLine="720"/>
        <w:jc w:val="both"/>
        <w:rPr>
          <w:rFonts w:ascii="Times New Roman" w:hAnsi="Times New Roman" w:cs="Times New Roman"/>
        </w:rPr>
      </w:pPr>
      <w:r>
        <w:rPr>
          <w:rFonts w:ascii="Times New Roman" w:hAnsi="Times New Roman" w:cs="Times New Roman"/>
        </w:rPr>
        <w:t>Importa ressaltar que as ideias</w:t>
      </w:r>
      <w:r w:rsidR="00476FF9">
        <w:rPr>
          <w:rFonts w:ascii="Times New Roman" w:hAnsi="Times New Roman" w:cs="Times New Roman"/>
        </w:rPr>
        <w:t xml:space="preserve"> aqui</w:t>
      </w:r>
      <w:r>
        <w:rPr>
          <w:rFonts w:ascii="Times New Roman" w:hAnsi="Times New Roman" w:cs="Times New Roman"/>
        </w:rPr>
        <w:t xml:space="preserve"> lançadas não esgotam o tema, </w:t>
      </w:r>
      <w:r w:rsidR="000C419F">
        <w:rPr>
          <w:rFonts w:ascii="Times New Roman" w:hAnsi="Times New Roman" w:cs="Times New Roman"/>
        </w:rPr>
        <w:t xml:space="preserve">mas precisamente pretendem suscitar novas indagações, na medida em que um projeto jurídico plural comprometido com os direitos humanos implica um </w:t>
      </w:r>
      <w:r w:rsidR="00476FF9">
        <w:rPr>
          <w:rFonts w:ascii="Times New Roman" w:hAnsi="Times New Roman" w:cs="Times New Roman"/>
        </w:rPr>
        <w:t>processo constante de reflexão e testes de operacionalidade</w:t>
      </w:r>
      <w:r w:rsidR="000C419F">
        <w:rPr>
          <w:rFonts w:ascii="Times New Roman" w:hAnsi="Times New Roman" w:cs="Times New Roman"/>
        </w:rPr>
        <w:t>.</w:t>
      </w:r>
    </w:p>
    <w:p w14:paraId="0AFA5FDC" w14:textId="15B1C6D7" w:rsidR="003734EB" w:rsidRPr="003F7301" w:rsidRDefault="003734EB" w:rsidP="00420929">
      <w:pPr>
        <w:jc w:val="both"/>
        <w:rPr>
          <w:rFonts w:ascii="Times New Roman" w:hAnsi="Times New Roman" w:cs="Times New Roman"/>
        </w:rPr>
      </w:pPr>
    </w:p>
    <w:p w14:paraId="423C3956" w14:textId="77777777" w:rsidR="003734EB" w:rsidRDefault="003734EB" w:rsidP="00420929">
      <w:pPr>
        <w:jc w:val="both"/>
        <w:rPr>
          <w:rFonts w:ascii="Times New Roman" w:hAnsi="Times New Roman" w:cs="Times New Roman"/>
          <w:b/>
        </w:rPr>
      </w:pPr>
    </w:p>
    <w:p w14:paraId="1B707DD9" w14:textId="6836E463" w:rsidR="003734EB" w:rsidRPr="003D5047" w:rsidRDefault="003734EB" w:rsidP="00420929">
      <w:pPr>
        <w:pStyle w:val="ListParagraph"/>
        <w:numPr>
          <w:ilvl w:val="0"/>
          <w:numId w:val="2"/>
        </w:numPr>
        <w:jc w:val="both"/>
        <w:rPr>
          <w:rFonts w:ascii="Times New Roman" w:hAnsi="Times New Roman" w:cs="Times New Roman"/>
          <w:b/>
        </w:rPr>
      </w:pPr>
      <w:r w:rsidRPr="003D5047">
        <w:rPr>
          <w:rFonts w:ascii="Times New Roman" w:hAnsi="Times New Roman" w:cs="Times New Roman"/>
          <w:b/>
        </w:rPr>
        <w:t xml:space="preserve">A CONSTRUÇÃO DO </w:t>
      </w:r>
      <w:r w:rsidRPr="003D5047">
        <w:rPr>
          <w:rFonts w:ascii="Times New Roman" w:hAnsi="Times New Roman" w:cs="Times New Roman"/>
          <w:b/>
          <w:i/>
        </w:rPr>
        <w:t>IUS CONSTITUCIONALE COMMUNE</w:t>
      </w:r>
      <w:r w:rsidRPr="003D5047">
        <w:rPr>
          <w:rFonts w:ascii="Times New Roman" w:hAnsi="Times New Roman" w:cs="Times New Roman"/>
          <w:b/>
        </w:rPr>
        <w:t xml:space="preserve"> NA AMÉRICA LATINA</w:t>
      </w:r>
    </w:p>
    <w:p w14:paraId="0487EB15" w14:textId="77777777" w:rsidR="003734EB" w:rsidRDefault="003734EB" w:rsidP="00420929">
      <w:pPr>
        <w:jc w:val="both"/>
        <w:rPr>
          <w:rFonts w:ascii="Times New Roman" w:hAnsi="Times New Roman" w:cs="Times New Roman"/>
          <w:b/>
        </w:rPr>
      </w:pPr>
    </w:p>
    <w:p w14:paraId="497C133F" w14:textId="151664F7" w:rsidR="00416393" w:rsidRPr="002B0178" w:rsidRDefault="005F3C66" w:rsidP="00420929">
      <w:pPr>
        <w:ind w:firstLine="720"/>
        <w:jc w:val="both"/>
        <w:rPr>
          <w:rFonts w:ascii="Times New Roman" w:hAnsi="Times New Roman" w:cs="Times New Roman"/>
          <w:lang w:val="en-US"/>
        </w:rPr>
      </w:pPr>
      <w:r>
        <w:rPr>
          <w:rFonts w:ascii="Times New Roman" w:hAnsi="Times New Roman" w:cs="Times New Roman"/>
        </w:rPr>
        <w:t xml:space="preserve">O </w:t>
      </w:r>
      <w:r w:rsidRPr="00D915F7">
        <w:rPr>
          <w:rFonts w:ascii="Times New Roman" w:hAnsi="Times New Roman" w:cs="Times New Roman"/>
          <w:i/>
        </w:rPr>
        <w:t>Ius Constitutionale Commune</w:t>
      </w:r>
      <w:r>
        <w:rPr>
          <w:rFonts w:ascii="Times New Roman" w:hAnsi="Times New Roman" w:cs="Times New Roman"/>
        </w:rPr>
        <w:t xml:space="preserve"> </w:t>
      </w:r>
      <w:r w:rsidR="00D915F7">
        <w:rPr>
          <w:rFonts w:ascii="Times New Roman" w:hAnsi="Times New Roman" w:cs="Times New Roman"/>
        </w:rPr>
        <w:t xml:space="preserve">na América Latina (ICCAL) </w:t>
      </w:r>
      <w:r>
        <w:rPr>
          <w:rFonts w:ascii="Times New Roman" w:hAnsi="Times New Roman" w:cs="Times New Roman"/>
        </w:rPr>
        <w:t xml:space="preserve">é um fenômeno jurídico que se estrutura ao final do século XX, </w:t>
      </w:r>
      <w:r w:rsidR="00695B25">
        <w:rPr>
          <w:rFonts w:ascii="Times New Roman" w:hAnsi="Times New Roman" w:cs="Times New Roman"/>
        </w:rPr>
        <w:t>a partir das bases jurídicas lançadas pelo sistema interamericano de direitos humanos e pelas Constituições promulgadas em resposta ao início do processo de redemocratização.</w:t>
      </w:r>
      <w:r w:rsidR="00565BAF">
        <w:rPr>
          <w:rStyle w:val="FootnoteReference"/>
          <w:rFonts w:ascii="Times New Roman" w:hAnsi="Times New Roman" w:cs="Times New Roman"/>
        </w:rPr>
        <w:footnoteReference w:id="1"/>
      </w:r>
      <w:r w:rsidR="001A7563">
        <w:rPr>
          <w:rFonts w:ascii="Times New Roman" w:hAnsi="Times New Roman" w:cs="Times New Roman"/>
        </w:rPr>
        <w:t xml:space="preserve"> </w:t>
      </w:r>
      <w:r w:rsidR="00B93A95">
        <w:rPr>
          <w:rFonts w:ascii="Times New Roman" w:hAnsi="Times New Roman" w:cs="Times New Roman"/>
        </w:rPr>
        <w:t>Mesmo estando situado geograficamente, trata-se de um fenômeno que aspira ao universal, ao global, sem desconsiderar as particularidades locais.</w:t>
      </w:r>
      <w:r w:rsidR="00AA163B">
        <w:rPr>
          <w:rStyle w:val="FootnoteReference"/>
          <w:rFonts w:ascii="Times New Roman" w:hAnsi="Times New Roman" w:cs="Times New Roman"/>
        </w:rPr>
        <w:footnoteReference w:id="2"/>
      </w:r>
      <w:r w:rsidR="00B93A95">
        <w:rPr>
          <w:rFonts w:ascii="Times New Roman" w:hAnsi="Times New Roman" w:cs="Times New Roman"/>
        </w:rPr>
        <w:t xml:space="preserve"> </w:t>
      </w:r>
      <w:r w:rsidR="00416393" w:rsidRPr="002B0178">
        <w:rPr>
          <w:rFonts w:ascii="Times New Roman" w:hAnsi="Times New Roman" w:cs="Times New Roman"/>
          <w:lang w:val="en-US"/>
        </w:rPr>
        <w:t>Nas palavras de Armin von Bogdandy, ICCAL “</w:t>
      </w:r>
      <w:r w:rsidR="00416393" w:rsidRPr="002B0178">
        <w:rPr>
          <w:rFonts w:ascii="Times New Roman" w:hAnsi="Times New Roman" w:cs="Times New Roman"/>
          <w:i/>
          <w:lang w:val="en-US"/>
        </w:rPr>
        <w:t>refers (...) to positive law, as well as to the legal discourse connected to a transformative approach, aimed at changing political and social realities in Latin America in order to create the general framework for the full realization of democracy, the rule of law, and human rights</w:t>
      </w:r>
      <w:r w:rsidR="00416393" w:rsidRPr="002B0178">
        <w:rPr>
          <w:rFonts w:ascii="Times New Roman" w:hAnsi="Times New Roman" w:cs="Times New Roman"/>
          <w:lang w:val="en-US"/>
        </w:rPr>
        <w:t>”.</w:t>
      </w:r>
      <w:r w:rsidR="007C4D1B">
        <w:rPr>
          <w:rStyle w:val="FootnoteReference"/>
          <w:rFonts w:ascii="Times New Roman" w:hAnsi="Times New Roman" w:cs="Times New Roman"/>
        </w:rPr>
        <w:footnoteReference w:id="3"/>
      </w:r>
    </w:p>
    <w:p w14:paraId="53FD7123" w14:textId="23E247D5" w:rsidR="003734EB" w:rsidRDefault="00B37ED5" w:rsidP="00420929">
      <w:pPr>
        <w:ind w:firstLine="720"/>
        <w:jc w:val="both"/>
        <w:rPr>
          <w:rFonts w:ascii="Times New Roman" w:hAnsi="Times New Roman" w:cs="Times New Roman"/>
        </w:rPr>
      </w:pPr>
      <w:r>
        <w:rPr>
          <w:rFonts w:ascii="Times New Roman" w:hAnsi="Times New Roman" w:cs="Times New Roman"/>
        </w:rPr>
        <w:lastRenderedPageBreak/>
        <w:t xml:space="preserve">Em uma dimensão analítica, trata-se de um direito comum construído a partir da </w:t>
      </w:r>
      <w:r w:rsidR="001A7563">
        <w:rPr>
          <w:rFonts w:ascii="Times New Roman" w:hAnsi="Times New Roman" w:cs="Times New Roman"/>
        </w:rPr>
        <w:t>inter</w:t>
      </w:r>
      <w:r w:rsidR="00E47B5B">
        <w:rPr>
          <w:rFonts w:ascii="Times New Roman" w:hAnsi="Times New Roman" w:cs="Times New Roman"/>
        </w:rPr>
        <w:t>-</w:t>
      </w:r>
      <w:r w:rsidR="001A7563">
        <w:rPr>
          <w:rFonts w:ascii="Times New Roman" w:hAnsi="Times New Roman" w:cs="Times New Roman"/>
        </w:rPr>
        <w:t>relação entre a Convenção Americana e demais tratados regionais sobre direitos humanos</w:t>
      </w:r>
      <w:r>
        <w:rPr>
          <w:rFonts w:ascii="Times New Roman" w:hAnsi="Times New Roman" w:cs="Times New Roman"/>
        </w:rPr>
        <w:t>. Esse elemento jurídico positivo viabiliza</w:t>
      </w:r>
      <w:r w:rsidR="001A7563">
        <w:rPr>
          <w:rFonts w:ascii="Times New Roman" w:hAnsi="Times New Roman" w:cs="Times New Roman"/>
        </w:rPr>
        <w:t xml:space="preserve"> importante função normativa: fornecer as bases jurídicas para </w:t>
      </w:r>
      <w:r w:rsidR="00A7791B">
        <w:rPr>
          <w:rFonts w:ascii="Times New Roman" w:hAnsi="Times New Roman" w:cs="Times New Roman"/>
        </w:rPr>
        <w:t xml:space="preserve">a construção de um constitucionalismo transformador, voltado para </w:t>
      </w:r>
      <w:r w:rsidR="001863B5">
        <w:rPr>
          <w:rFonts w:ascii="Times New Roman" w:hAnsi="Times New Roman" w:cs="Times New Roman"/>
        </w:rPr>
        <w:t>a concretização dos compromissos constitucionais democráticos</w:t>
      </w:r>
      <w:r w:rsidR="00A7791B">
        <w:rPr>
          <w:rFonts w:ascii="Times New Roman" w:hAnsi="Times New Roman" w:cs="Times New Roman"/>
        </w:rPr>
        <w:t>.</w:t>
      </w:r>
      <w:r w:rsidR="005255D9">
        <w:rPr>
          <w:rFonts w:ascii="Times New Roman" w:hAnsi="Times New Roman" w:cs="Times New Roman"/>
        </w:rPr>
        <w:t xml:space="preserve"> Nessa seara, uma terceira função de caráter doutrinário contribui para a construção desse discurso jurídico informado por compromissos de natureza constitucional,</w:t>
      </w:r>
      <w:r w:rsidR="008D60A9">
        <w:rPr>
          <w:rFonts w:ascii="Times New Roman" w:hAnsi="Times New Roman" w:cs="Times New Roman"/>
        </w:rPr>
        <w:t xml:space="preserve"> em que o papel dos princípios,</w:t>
      </w:r>
      <w:r w:rsidR="005255D9">
        <w:rPr>
          <w:rFonts w:ascii="Times New Roman" w:hAnsi="Times New Roman" w:cs="Times New Roman"/>
        </w:rPr>
        <w:t xml:space="preserve"> a perspectiva do direito </w:t>
      </w:r>
      <w:r w:rsidR="008D60A9">
        <w:rPr>
          <w:rFonts w:ascii="Times New Roman" w:hAnsi="Times New Roman" w:cs="Times New Roman"/>
        </w:rPr>
        <w:t>comparado e o foco na real</w:t>
      </w:r>
      <w:r w:rsidR="0088301B">
        <w:rPr>
          <w:rFonts w:ascii="Times New Roman" w:hAnsi="Times New Roman" w:cs="Times New Roman"/>
        </w:rPr>
        <w:t>ização dos dir</w:t>
      </w:r>
      <w:r w:rsidR="008D60A9">
        <w:rPr>
          <w:rFonts w:ascii="Times New Roman" w:hAnsi="Times New Roman" w:cs="Times New Roman"/>
        </w:rPr>
        <w:t>e</w:t>
      </w:r>
      <w:r w:rsidR="0088301B">
        <w:rPr>
          <w:rFonts w:ascii="Times New Roman" w:hAnsi="Times New Roman" w:cs="Times New Roman"/>
        </w:rPr>
        <w:t>i</w:t>
      </w:r>
      <w:r w:rsidR="008D60A9">
        <w:rPr>
          <w:rFonts w:ascii="Times New Roman" w:hAnsi="Times New Roman" w:cs="Times New Roman"/>
        </w:rPr>
        <w:t>tos humanos representam um instrumental basilar.</w:t>
      </w:r>
      <w:r w:rsidR="00112189">
        <w:rPr>
          <w:rStyle w:val="FootnoteReference"/>
          <w:rFonts w:ascii="Times New Roman" w:hAnsi="Times New Roman" w:cs="Times New Roman"/>
        </w:rPr>
        <w:footnoteReference w:id="4"/>
      </w:r>
    </w:p>
    <w:p w14:paraId="2B5A0A19" w14:textId="3D8C0D37" w:rsidR="00FD10D8" w:rsidRPr="009E0276" w:rsidRDefault="00D915F7" w:rsidP="00420929">
      <w:pPr>
        <w:ind w:firstLine="720"/>
        <w:jc w:val="both"/>
        <w:rPr>
          <w:rFonts w:ascii="Times New Roman" w:hAnsi="Times New Roman" w:cs="Times New Roman"/>
        </w:rPr>
      </w:pPr>
      <w:r>
        <w:rPr>
          <w:rFonts w:ascii="Times New Roman" w:hAnsi="Times New Roman" w:cs="Times New Roman"/>
        </w:rPr>
        <w:t xml:space="preserve">A interação entre sistemas jurídicos que se materializa através do ICCAL </w:t>
      </w:r>
      <w:r w:rsidR="0088301B">
        <w:rPr>
          <w:rFonts w:ascii="Times New Roman" w:hAnsi="Times New Roman" w:cs="Times New Roman"/>
        </w:rPr>
        <w:t xml:space="preserve">representa a faceta regional de uma realidade </w:t>
      </w:r>
      <w:r w:rsidR="00F859B7">
        <w:rPr>
          <w:rFonts w:ascii="Times New Roman" w:hAnsi="Times New Roman" w:cs="Times New Roman"/>
        </w:rPr>
        <w:t>muito mais abrangente</w:t>
      </w:r>
      <w:r w:rsidR="0088301B">
        <w:rPr>
          <w:rFonts w:ascii="Times New Roman" w:hAnsi="Times New Roman" w:cs="Times New Roman"/>
        </w:rPr>
        <w:t xml:space="preserve">, </w:t>
      </w:r>
      <w:r>
        <w:rPr>
          <w:rFonts w:ascii="Times New Roman" w:hAnsi="Times New Roman" w:cs="Times New Roman"/>
        </w:rPr>
        <w:t>o pluralismo jurídico</w:t>
      </w:r>
      <w:r w:rsidR="00E44627">
        <w:rPr>
          <w:rStyle w:val="FootnoteReference"/>
          <w:rFonts w:ascii="Times New Roman" w:hAnsi="Times New Roman" w:cs="Times New Roman"/>
        </w:rPr>
        <w:footnoteReference w:id="5"/>
      </w:r>
      <w:r w:rsidR="00E44627">
        <w:rPr>
          <w:rFonts w:ascii="Times New Roman" w:hAnsi="Times New Roman" w:cs="Times New Roman"/>
        </w:rPr>
        <w:t xml:space="preserve">: diversos sistemas jurídicos – nacionais, regionais e internacionais – se entrecruzam fornecendo </w:t>
      </w:r>
      <w:r w:rsidR="007C77E8">
        <w:rPr>
          <w:rFonts w:ascii="Times New Roman" w:hAnsi="Times New Roman" w:cs="Times New Roman"/>
        </w:rPr>
        <w:t>tutelando de forma diversa situações</w:t>
      </w:r>
      <w:r w:rsidR="00E44627">
        <w:rPr>
          <w:rFonts w:ascii="Times New Roman" w:hAnsi="Times New Roman" w:cs="Times New Roman"/>
        </w:rPr>
        <w:t xml:space="preserve"> semelhantes.</w:t>
      </w:r>
      <w:r w:rsidR="0093226E">
        <w:rPr>
          <w:rStyle w:val="FootnoteReference"/>
          <w:rFonts w:ascii="Times New Roman" w:hAnsi="Times New Roman" w:cs="Times New Roman"/>
        </w:rPr>
        <w:footnoteReference w:id="6"/>
      </w:r>
      <w:r w:rsidR="005C17CC">
        <w:rPr>
          <w:rFonts w:ascii="Times New Roman" w:hAnsi="Times New Roman" w:cs="Times New Roman"/>
        </w:rPr>
        <w:t xml:space="preserve"> A mutualidade que marca a</w:t>
      </w:r>
      <w:r w:rsidR="009E0276">
        <w:rPr>
          <w:rFonts w:ascii="Times New Roman" w:hAnsi="Times New Roman" w:cs="Times New Roman"/>
        </w:rPr>
        <w:t xml:space="preserve"> interação entre </w:t>
      </w:r>
      <w:r w:rsidR="005C17CC">
        <w:rPr>
          <w:rFonts w:ascii="Times New Roman" w:hAnsi="Times New Roman" w:cs="Times New Roman"/>
        </w:rPr>
        <w:t>esses sistemas jurídicos independentes</w:t>
      </w:r>
      <w:r w:rsidR="001A653E">
        <w:rPr>
          <w:rStyle w:val="FootnoteReference"/>
          <w:rFonts w:ascii="Times New Roman" w:hAnsi="Times New Roman" w:cs="Times New Roman"/>
        </w:rPr>
        <w:footnoteReference w:id="7"/>
      </w:r>
      <w:r w:rsidR="005C17CC">
        <w:rPr>
          <w:rFonts w:ascii="Times New Roman" w:hAnsi="Times New Roman" w:cs="Times New Roman"/>
        </w:rPr>
        <w:t xml:space="preserve"> supera </w:t>
      </w:r>
      <w:r w:rsidR="005C17CC" w:rsidRPr="005C17CC">
        <w:rPr>
          <w:rFonts w:ascii="Times New Roman" w:hAnsi="Times New Roman" w:cs="Times New Roman"/>
        </w:rPr>
        <w:t>as categorias de hierarquia e juris</w:t>
      </w:r>
      <w:r w:rsidR="005C17CC">
        <w:rPr>
          <w:rFonts w:ascii="Times New Roman" w:hAnsi="Times New Roman" w:cs="Times New Roman"/>
        </w:rPr>
        <w:t>dição do positivismo jurídico para assumir uma faceta “heterárquica”</w:t>
      </w:r>
      <w:r w:rsidR="005050B8">
        <w:rPr>
          <w:rFonts w:ascii="Times New Roman" w:hAnsi="Times New Roman" w:cs="Times New Roman"/>
        </w:rPr>
        <w:t>, em que os múltiplos ní</w:t>
      </w:r>
      <w:r w:rsidR="009E0276">
        <w:rPr>
          <w:rFonts w:ascii="Times New Roman" w:hAnsi="Times New Roman" w:cs="Times New Roman"/>
        </w:rPr>
        <w:t xml:space="preserve">veis jurídicos se entrelaçam em sua produção </w:t>
      </w:r>
      <w:r w:rsidR="00E225F5">
        <w:rPr>
          <w:rFonts w:ascii="Times New Roman" w:hAnsi="Times New Roman" w:cs="Times New Roman"/>
        </w:rPr>
        <w:t xml:space="preserve">normativa e jurisdicional, sejam </w:t>
      </w:r>
      <w:r w:rsidR="005841D5">
        <w:rPr>
          <w:rFonts w:ascii="Times New Roman" w:hAnsi="Times New Roman" w:cs="Times New Roman"/>
        </w:rPr>
        <w:t>eles nacionais, internacionais ou</w:t>
      </w:r>
      <w:r w:rsidR="00E225F5">
        <w:rPr>
          <w:rFonts w:ascii="Times New Roman" w:hAnsi="Times New Roman" w:cs="Times New Roman"/>
        </w:rPr>
        <w:t xml:space="preserve"> regionais</w:t>
      </w:r>
      <w:r w:rsidR="00E225F5" w:rsidRPr="00FD10D8">
        <w:rPr>
          <w:rFonts w:ascii="Times New Roman" w:hAnsi="Times New Roman" w:cs="Times New Roman"/>
        </w:rPr>
        <w:t>.</w:t>
      </w:r>
      <w:r w:rsidR="00E225F5" w:rsidRPr="00FD10D8">
        <w:rPr>
          <w:rStyle w:val="FootnoteReference"/>
          <w:rFonts w:ascii="Times New Roman" w:hAnsi="Times New Roman" w:cs="Times New Roman"/>
          <w:color w:val="000000"/>
        </w:rPr>
        <w:footnoteReference w:id="8"/>
      </w:r>
      <w:r w:rsidR="00E225F5" w:rsidRPr="00FD10D8">
        <w:rPr>
          <w:rFonts w:ascii="Times New Roman" w:hAnsi="Times New Roman" w:cs="Times New Roman"/>
          <w:color w:val="000000"/>
        </w:rPr>
        <w:t xml:space="preserve"> </w:t>
      </w:r>
      <w:r w:rsidR="00FD10D8" w:rsidRPr="00FD10D8">
        <w:rPr>
          <w:rFonts w:ascii="Times New Roman" w:hAnsi="Times New Roman" w:cs="Times New Roman"/>
          <w:color w:val="000000"/>
        </w:rPr>
        <w:t>N</w:t>
      </w:r>
      <w:r w:rsidR="009E0276">
        <w:rPr>
          <w:rFonts w:ascii="Times New Roman" w:hAnsi="Times New Roman" w:cs="Times New Roman"/>
          <w:color w:val="000000"/>
        </w:rPr>
        <w:t xml:space="preserve">o ICCAL, </w:t>
      </w:r>
      <w:r w:rsidR="00FD10D8" w:rsidRPr="00FD10D8">
        <w:rPr>
          <w:rFonts w:ascii="Times New Roman" w:hAnsi="Times New Roman" w:cs="Times New Roman"/>
          <w:color w:val="000000"/>
        </w:rPr>
        <w:t xml:space="preserve">o pluralismo </w:t>
      </w:r>
      <w:r w:rsidR="009E0276">
        <w:rPr>
          <w:rFonts w:ascii="Times New Roman" w:hAnsi="Times New Roman" w:cs="Times New Roman"/>
          <w:color w:val="000000"/>
        </w:rPr>
        <w:t xml:space="preserve">jurídico </w:t>
      </w:r>
      <w:r w:rsidR="00FD10D8" w:rsidRPr="00FD10D8">
        <w:rPr>
          <w:rFonts w:ascii="Times New Roman" w:hAnsi="Times New Roman" w:cs="Times New Roman"/>
          <w:color w:val="000000"/>
        </w:rPr>
        <w:t>se manifesta em quatro níveis</w:t>
      </w:r>
      <w:r w:rsidR="00FD10D8">
        <w:rPr>
          <w:rFonts w:ascii="Times New Roman" w:hAnsi="Times New Roman" w:cs="Times New Roman"/>
          <w:color w:val="000000"/>
        </w:rPr>
        <w:t>:</w:t>
      </w:r>
      <w:r w:rsidR="00FD10D8" w:rsidRPr="00FD10D8">
        <w:rPr>
          <w:rFonts w:ascii="Times New Roman" w:hAnsi="Times New Roman" w:cs="Times New Roman"/>
          <w:color w:val="000000"/>
        </w:rPr>
        <w:t xml:space="preserve"> </w:t>
      </w:r>
      <w:r w:rsidR="00FD10D8">
        <w:rPr>
          <w:rFonts w:ascii="Times New Roman" w:hAnsi="Times New Roman" w:cs="Times New Roman"/>
          <w:color w:val="000000"/>
        </w:rPr>
        <w:t>entre o sistema regional interamericano e outros sistemas regionais ou internacionais</w:t>
      </w:r>
      <w:r w:rsidR="00FD10D8" w:rsidRPr="00FD10D8">
        <w:rPr>
          <w:rFonts w:ascii="Times New Roman" w:hAnsi="Times New Roman" w:cs="Times New Roman"/>
          <w:color w:val="000000"/>
        </w:rPr>
        <w:t xml:space="preserve">; entre </w:t>
      </w:r>
      <w:r w:rsidR="00FD10D8">
        <w:rPr>
          <w:rFonts w:ascii="Times New Roman" w:hAnsi="Times New Roman" w:cs="Times New Roman"/>
          <w:color w:val="000000"/>
        </w:rPr>
        <w:t>o sistema</w:t>
      </w:r>
      <w:r w:rsidR="00FD10D8" w:rsidRPr="00FD10D8">
        <w:rPr>
          <w:rFonts w:ascii="Times New Roman" w:hAnsi="Times New Roman" w:cs="Times New Roman"/>
          <w:color w:val="000000"/>
        </w:rPr>
        <w:t xml:space="preserve"> regiona</w:t>
      </w:r>
      <w:r w:rsidR="00FD10D8">
        <w:rPr>
          <w:rFonts w:ascii="Times New Roman" w:hAnsi="Times New Roman" w:cs="Times New Roman"/>
          <w:color w:val="000000"/>
        </w:rPr>
        <w:t>l e os</w:t>
      </w:r>
      <w:r w:rsidR="00FD10D8" w:rsidRPr="00FD10D8">
        <w:rPr>
          <w:rFonts w:ascii="Times New Roman" w:hAnsi="Times New Roman" w:cs="Times New Roman"/>
          <w:color w:val="000000"/>
        </w:rPr>
        <w:t xml:space="preserve"> nacionais; entre sistemas nacionais; e entre esses sistemas e a sociedade civil, dimensão capaz de emprestar ao pluralismo multinível crescente legitimação social.</w:t>
      </w:r>
      <w:r w:rsidR="00FD10D8" w:rsidRPr="00FD10D8">
        <w:rPr>
          <w:rStyle w:val="FootnoteReference"/>
          <w:rFonts w:ascii="Times New Roman" w:hAnsi="Times New Roman" w:cs="Times New Roman"/>
          <w:color w:val="000000"/>
        </w:rPr>
        <w:footnoteReference w:id="9"/>
      </w:r>
      <w:r w:rsidR="00FD10D8" w:rsidRPr="00E31C77">
        <w:rPr>
          <w:rFonts w:ascii="Arial" w:hAnsi="Arial" w:cs="Arial"/>
          <w:color w:val="000000"/>
        </w:rPr>
        <w:t xml:space="preserve"> </w:t>
      </w:r>
    </w:p>
    <w:p w14:paraId="59CD4BA0" w14:textId="56ADBEC9" w:rsidR="00D90EEA" w:rsidRDefault="006651A1" w:rsidP="00420929">
      <w:pPr>
        <w:ind w:firstLine="720"/>
        <w:jc w:val="both"/>
        <w:rPr>
          <w:rFonts w:ascii="Times New Roman" w:hAnsi="Times New Roman" w:cs="Times New Roman"/>
          <w:color w:val="000000"/>
        </w:rPr>
      </w:pPr>
      <w:r w:rsidRPr="006651A1">
        <w:rPr>
          <w:rFonts w:ascii="Times New Roman" w:hAnsi="Times New Roman" w:cs="Times New Roman"/>
          <w:color w:val="000000"/>
        </w:rPr>
        <w:t>A</w:t>
      </w:r>
      <w:r w:rsidR="007F18D4">
        <w:rPr>
          <w:rFonts w:ascii="Times New Roman" w:hAnsi="Times New Roman" w:cs="Times New Roman"/>
          <w:color w:val="000000"/>
        </w:rPr>
        <w:t xml:space="preserve"> diversidade é uma marca pungente</w:t>
      </w:r>
      <w:r w:rsidRPr="006651A1">
        <w:rPr>
          <w:rFonts w:ascii="Times New Roman" w:hAnsi="Times New Roman" w:cs="Times New Roman"/>
          <w:color w:val="000000"/>
        </w:rPr>
        <w:t xml:space="preserve"> desse </w:t>
      </w:r>
      <w:r w:rsidRPr="00393BDD">
        <w:rPr>
          <w:rFonts w:ascii="Times New Roman" w:hAnsi="Times New Roman" w:cs="Times New Roman"/>
          <w:i/>
          <w:color w:val="000000"/>
        </w:rPr>
        <w:t>Ius Commune</w:t>
      </w:r>
      <w:r w:rsidR="007F18D4">
        <w:rPr>
          <w:rFonts w:ascii="Times New Roman" w:hAnsi="Times New Roman" w:cs="Times New Roman"/>
          <w:color w:val="000000"/>
        </w:rPr>
        <w:t xml:space="preserve"> visto</w:t>
      </w:r>
      <w:r w:rsidRPr="006651A1">
        <w:rPr>
          <w:rFonts w:ascii="Times New Roman" w:hAnsi="Times New Roman" w:cs="Times New Roman"/>
          <w:color w:val="000000"/>
        </w:rPr>
        <w:t xml:space="preserve"> que</w:t>
      </w:r>
      <w:r w:rsidR="007F18D4">
        <w:rPr>
          <w:rFonts w:ascii="Times New Roman" w:hAnsi="Times New Roman" w:cs="Times New Roman"/>
          <w:color w:val="000000"/>
        </w:rPr>
        <w:t xml:space="preserve"> a</w:t>
      </w:r>
      <w:r w:rsidRPr="006651A1">
        <w:rPr>
          <w:rFonts w:ascii="Times New Roman" w:hAnsi="Times New Roman" w:cs="Times New Roman"/>
          <w:color w:val="000000"/>
        </w:rPr>
        <w:t xml:space="preserve"> América Latina</w:t>
      </w:r>
      <w:r w:rsidR="007F18D4">
        <w:rPr>
          <w:rFonts w:ascii="Times New Roman" w:hAnsi="Times New Roman" w:cs="Times New Roman"/>
          <w:color w:val="000000"/>
        </w:rPr>
        <w:t xml:space="preserve"> testemunha </w:t>
      </w:r>
      <w:r w:rsidRPr="006651A1">
        <w:rPr>
          <w:rFonts w:ascii="Times New Roman" w:hAnsi="Times New Roman" w:cs="Times New Roman"/>
          <w:color w:val="000000"/>
        </w:rPr>
        <w:t>diversas propostas constitucionais.</w:t>
      </w:r>
      <w:r w:rsidR="00105C2F">
        <w:rPr>
          <w:rFonts w:ascii="Times New Roman" w:hAnsi="Times New Roman" w:cs="Times New Roman"/>
          <w:color w:val="000000"/>
        </w:rPr>
        <w:t xml:space="preserve"> O modelo constitucional do pós-guerra europeu foi abarcado pela Colômbia e México, já Venezuela, Bolívia e Equador adotaram modelos originais com características autônomas</w:t>
      </w:r>
      <w:r w:rsidR="008B2473">
        <w:rPr>
          <w:rFonts w:ascii="Times New Roman" w:hAnsi="Times New Roman" w:cs="Times New Roman"/>
          <w:color w:val="000000"/>
        </w:rPr>
        <w:t>, que acabaram por configurar o chamado “Novo Constitucionalismo Latino-Americano”.</w:t>
      </w:r>
      <w:r w:rsidR="005841D5">
        <w:rPr>
          <w:rStyle w:val="FootnoteReference"/>
          <w:rFonts w:ascii="Times New Roman" w:hAnsi="Times New Roman" w:cs="Times New Roman"/>
          <w:color w:val="000000"/>
        </w:rPr>
        <w:footnoteReference w:id="10"/>
      </w:r>
      <w:r w:rsidR="008B2473">
        <w:rPr>
          <w:rFonts w:ascii="Times New Roman" w:hAnsi="Times New Roman" w:cs="Times New Roman"/>
          <w:color w:val="000000"/>
        </w:rPr>
        <w:t xml:space="preserve"> Argentina e Brasil, por sua vez, assumiram modelos intermediários</w:t>
      </w:r>
      <w:r w:rsidR="008B2473">
        <w:rPr>
          <w:rStyle w:val="FootnoteReference"/>
          <w:rFonts w:ascii="Times New Roman" w:hAnsi="Times New Roman" w:cs="Times New Roman"/>
          <w:color w:val="000000"/>
        </w:rPr>
        <w:footnoteReference w:id="11"/>
      </w:r>
      <w:r w:rsidR="00D40F0A">
        <w:rPr>
          <w:rFonts w:ascii="Times New Roman" w:hAnsi="Times New Roman" w:cs="Times New Roman"/>
          <w:color w:val="000000"/>
        </w:rPr>
        <w:t xml:space="preserve">. </w:t>
      </w:r>
      <w:r w:rsidR="001563C1">
        <w:rPr>
          <w:rFonts w:ascii="Times New Roman" w:hAnsi="Times New Roman" w:cs="Times New Roman"/>
          <w:color w:val="000000"/>
        </w:rPr>
        <w:t xml:space="preserve">O ICCAL </w:t>
      </w:r>
      <w:r w:rsidR="00393BDD">
        <w:rPr>
          <w:rFonts w:ascii="Times New Roman" w:hAnsi="Times New Roman" w:cs="Times New Roman"/>
          <w:color w:val="000000"/>
        </w:rPr>
        <w:t>se erige em meio a esses projetos constitucio</w:t>
      </w:r>
      <w:r w:rsidR="004627F0">
        <w:rPr>
          <w:rFonts w:ascii="Times New Roman" w:hAnsi="Times New Roman" w:cs="Times New Roman"/>
          <w:color w:val="000000"/>
        </w:rPr>
        <w:t>n</w:t>
      </w:r>
      <w:r w:rsidR="00393BDD">
        <w:rPr>
          <w:rFonts w:ascii="Times New Roman" w:hAnsi="Times New Roman" w:cs="Times New Roman"/>
          <w:color w:val="000000"/>
        </w:rPr>
        <w:t xml:space="preserve">ais sem se </w:t>
      </w:r>
      <w:r w:rsidR="00393BDD">
        <w:rPr>
          <w:rFonts w:ascii="Times New Roman" w:hAnsi="Times New Roman" w:cs="Times New Roman"/>
          <w:color w:val="000000"/>
        </w:rPr>
        <w:lastRenderedPageBreak/>
        <w:t xml:space="preserve">identificar </w:t>
      </w:r>
      <w:r w:rsidR="00C63406">
        <w:rPr>
          <w:rFonts w:ascii="Times New Roman" w:hAnsi="Times New Roman" w:cs="Times New Roman"/>
          <w:color w:val="000000"/>
        </w:rPr>
        <w:t>com nenhum deles</w:t>
      </w:r>
      <w:r w:rsidR="00433472">
        <w:rPr>
          <w:rFonts w:ascii="Times New Roman" w:hAnsi="Times New Roman" w:cs="Times New Roman"/>
          <w:color w:val="000000"/>
        </w:rPr>
        <w:t xml:space="preserve">, a fim de </w:t>
      </w:r>
      <w:r w:rsidR="00393BDD">
        <w:rPr>
          <w:rFonts w:ascii="Times New Roman" w:hAnsi="Times New Roman" w:cs="Times New Roman"/>
          <w:color w:val="000000"/>
        </w:rPr>
        <w:t xml:space="preserve">orientar os sistemas domésticos </w:t>
      </w:r>
      <w:r w:rsidR="00433472">
        <w:rPr>
          <w:rFonts w:ascii="Times New Roman" w:hAnsi="Times New Roman" w:cs="Times New Roman"/>
          <w:color w:val="000000"/>
        </w:rPr>
        <w:t>no caminho</w:t>
      </w:r>
      <w:r w:rsidR="001563C1">
        <w:rPr>
          <w:rFonts w:ascii="Times New Roman" w:hAnsi="Times New Roman" w:cs="Times New Roman"/>
          <w:color w:val="000000"/>
        </w:rPr>
        <w:t xml:space="preserve"> da realização dos direitos humanos, </w:t>
      </w:r>
      <w:r w:rsidR="00341704">
        <w:rPr>
          <w:rFonts w:ascii="Times New Roman" w:hAnsi="Times New Roman" w:cs="Times New Roman"/>
          <w:color w:val="000000"/>
        </w:rPr>
        <w:t>democracia e Estado de Dir</w:t>
      </w:r>
      <w:r w:rsidR="001563C1">
        <w:rPr>
          <w:rFonts w:ascii="Times New Roman" w:hAnsi="Times New Roman" w:cs="Times New Roman"/>
          <w:color w:val="000000"/>
        </w:rPr>
        <w:t>e</w:t>
      </w:r>
      <w:r w:rsidR="00341704">
        <w:rPr>
          <w:rFonts w:ascii="Times New Roman" w:hAnsi="Times New Roman" w:cs="Times New Roman"/>
          <w:color w:val="000000"/>
        </w:rPr>
        <w:t>i</w:t>
      </w:r>
      <w:r w:rsidR="001563C1">
        <w:rPr>
          <w:rFonts w:ascii="Times New Roman" w:hAnsi="Times New Roman" w:cs="Times New Roman"/>
          <w:color w:val="000000"/>
        </w:rPr>
        <w:t xml:space="preserve">to. </w:t>
      </w:r>
    </w:p>
    <w:p w14:paraId="225A2639" w14:textId="70AE6090" w:rsidR="00B0283F" w:rsidRDefault="00D154E2" w:rsidP="00420929">
      <w:pPr>
        <w:ind w:firstLine="720"/>
        <w:jc w:val="both"/>
        <w:rPr>
          <w:rFonts w:ascii="Times New Roman" w:hAnsi="Times New Roman" w:cs="Times New Roman"/>
          <w:color w:val="000000"/>
        </w:rPr>
      </w:pPr>
      <w:r>
        <w:rPr>
          <w:rFonts w:ascii="Times New Roman" w:hAnsi="Times New Roman" w:cs="Times New Roman"/>
          <w:color w:val="000000"/>
        </w:rPr>
        <w:t>Dessa forma, a</w:t>
      </w:r>
      <w:r w:rsidR="001563C1">
        <w:rPr>
          <w:rFonts w:ascii="Times New Roman" w:hAnsi="Times New Roman" w:cs="Times New Roman"/>
          <w:color w:val="000000"/>
        </w:rPr>
        <w:t xml:space="preserve">o sediar os intercâmbios entre esses sistemas, </w:t>
      </w:r>
      <w:r>
        <w:rPr>
          <w:rFonts w:ascii="Times New Roman" w:hAnsi="Times New Roman" w:cs="Times New Roman"/>
          <w:color w:val="000000"/>
        </w:rPr>
        <w:t>o</w:t>
      </w:r>
      <w:r w:rsidR="001563C1">
        <w:rPr>
          <w:rFonts w:ascii="Times New Roman" w:hAnsi="Times New Roman" w:cs="Times New Roman"/>
          <w:color w:val="000000"/>
        </w:rPr>
        <w:t xml:space="preserve"> </w:t>
      </w:r>
      <w:r w:rsidR="00D90EEA" w:rsidRPr="00D90EEA">
        <w:rPr>
          <w:rFonts w:ascii="Times New Roman" w:hAnsi="Times New Roman" w:cs="Times New Roman"/>
          <w:i/>
          <w:color w:val="000000"/>
        </w:rPr>
        <w:t>Ius Commune</w:t>
      </w:r>
      <w:r w:rsidR="001563C1">
        <w:rPr>
          <w:rFonts w:ascii="Times New Roman" w:hAnsi="Times New Roman" w:cs="Times New Roman"/>
          <w:color w:val="000000"/>
        </w:rPr>
        <w:t xml:space="preserve"> se afasta de uma proposta unificadora</w:t>
      </w:r>
      <w:r w:rsidR="001F12E0">
        <w:rPr>
          <w:rFonts w:ascii="Times New Roman" w:hAnsi="Times New Roman" w:cs="Times New Roman"/>
          <w:color w:val="000000"/>
        </w:rPr>
        <w:t xml:space="preserve"> para</w:t>
      </w:r>
      <w:r>
        <w:rPr>
          <w:rFonts w:ascii="Times New Roman" w:hAnsi="Times New Roman" w:cs="Times New Roman"/>
          <w:color w:val="000000"/>
        </w:rPr>
        <w:t xml:space="preserve"> se voltar a</w:t>
      </w:r>
      <w:r w:rsidR="001F12E0">
        <w:rPr>
          <w:rFonts w:ascii="Times New Roman" w:hAnsi="Times New Roman" w:cs="Times New Roman"/>
          <w:color w:val="000000"/>
        </w:rPr>
        <w:t xml:space="preserve"> um processo de harmonização capaz de compatibilizar, </w:t>
      </w:r>
      <w:r w:rsidR="001563C1">
        <w:rPr>
          <w:rFonts w:ascii="Times New Roman" w:hAnsi="Times New Roman" w:cs="Times New Roman"/>
          <w:color w:val="000000"/>
        </w:rPr>
        <w:t>de um lado, a fixação de standards mínimos comuns</w:t>
      </w:r>
      <w:r w:rsidR="001F12E0">
        <w:rPr>
          <w:rFonts w:ascii="Times New Roman" w:hAnsi="Times New Roman" w:cs="Times New Roman"/>
          <w:color w:val="000000"/>
        </w:rPr>
        <w:t xml:space="preserve"> </w:t>
      </w:r>
      <w:r w:rsidR="00513929">
        <w:rPr>
          <w:rFonts w:ascii="Times New Roman" w:hAnsi="Times New Roman" w:cs="Times New Roman"/>
          <w:color w:val="000000"/>
        </w:rPr>
        <w:t>em direitos humanos</w:t>
      </w:r>
      <w:r w:rsidR="001563C1">
        <w:rPr>
          <w:rFonts w:ascii="Times New Roman" w:hAnsi="Times New Roman" w:cs="Times New Roman"/>
          <w:color w:val="000000"/>
        </w:rPr>
        <w:t>, e de outro, respeito à diversidade.</w:t>
      </w:r>
      <w:r w:rsidR="00AF7930">
        <w:rPr>
          <w:rStyle w:val="FootnoteReference"/>
          <w:rFonts w:ascii="Times New Roman" w:hAnsi="Times New Roman" w:cs="Times New Roman"/>
          <w:color w:val="000000"/>
        </w:rPr>
        <w:footnoteReference w:id="12"/>
      </w:r>
      <w:r w:rsidR="00E73C58">
        <w:rPr>
          <w:rFonts w:ascii="Times New Roman" w:hAnsi="Times New Roman" w:cs="Times New Roman"/>
          <w:color w:val="000000"/>
        </w:rPr>
        <w:t xml:space="preserve"> </w:t>
      </w:r>
      <w:r w:rsidR="00433472">
        <w:rPr>
          <w:rFonts w:ascii="Times New Roman" w:hAnsi="Times New Roman" w:cs="Times New Roman"/>
          <w:color w:val="000000"/>
        </w:rPr>
        <w:t>Ainda que diversos modelos econômicos sejam possíveis, diferentes concepções de propriedade e distribuição de riquezas, seu objetivo central é a superação da exclusão enquanto principal mazela a assolar as sociedades latino-americanas.</w:t>
      </w:r>
      <w:r w:rsidR="00433472">
        <w:rPr>
          <w:rStyle w:val="FootnoteReference"/>
          <w:rFonts w:ascii="Times New Roman" w:hAnsi="Times New Roman" w:cs="Times New Roman"/>
          <w:color w:val="000000"/>
        </w:rPr>
        <w:footnoteReference w:id="13"/>
      </w:r>
      <w:r w:rsidR="00433472">
        <w:rPr>
          <w:rFonts w:ascii="Times New Roman" w:hAnsi="Times New Roman" w:cs="Times New Roman"/>
          <w:color w:val="000000"/>
        </w:rPr>
        <w:t xml:space="preserve"> </w:t>
      </w:r>
      <w:r w:rsidR="00E73C58">
        <w:rPr>
          <w:rFonts w:ascii="Times New Roman" w:hAnsi="Times New Roman" w:cs="Times New Roman"/>
          <w:color w:val="000000"/>
        </w:rPr>
        <w:t>Trata-se de um direito comum não homogêneo, estrutura</w:t>
      </w:r>
      <w:r w:rsidR="00DB26B5">
        <w:rPr>
          <w:rFonts w:ascii="Times New Roman" w:hAnsi="Times New Roman" w:cs="Times New Roman"/>
          <w:color w:val="000000"/>
        </w:rPr>
        <w:t>do</w:t>
      </w:r>
      <w:r w:rsidR="00E73C58">
        <w:rPr>
          <w:rFonts w:ascii="Times New Roman" w:hAnsi="Times New Roman" w:cs="Times New Roman"/>
          <w:color w:val="000000"/>
        </w:rPr>
        <w:t xml:space="preserve"> a partir do núcleo jurídico apontado pela Convenção Americana de Direitos Humanos</w:t>
      </w:r>
      <w:r w:rsidR="00D550ED">
        <w:rPr>
          <w:rFonts w:ascii="Times New Roman" w:hAnsi="Times New Roman" w:cs="Times New Roman"/>
          <w:color w:val="000000"/>
        </w:rPr>
        <w:t>, em intercâmbio hermenêutico com as constituições locais.</w:t>
      </w:r>
      <w:r w:rsidR="00C93A0B">
        <w:rPr>
          <w:rStyle w:val="FootnoteReference"/>
          <w:rFonts w:ascii="Times New Roman" w:hAnsi="Times New Roman" w:cs="Times New Roman"/>
          <w:color w:val="000000"/>
        </w:rPr>
        <w:footnoteReference w:id="14"/>
      </w:r>
    </w:p>
    <w:p w14:paraId="4AF0B3FD" w14:textId="606CC1C3" w:rsidR="00433472" w:rsidRDefault="00B0283F" w:rsidP="00420929">
      <w:pPr>
        <w:ind w:firstLine="720"/>
        <w:jc w:val="both"/>
        <w:rPr>
          <w:rFonts w:ascii="Times New Roman" w:hAnsi="Times New Roman" w:cs="Times New Roman"/>
          <w:color w:val="000000"/>
        </w:rPr>
      </w:pPr>
      <w:r>
        <w:rPr>
          <w:rFonts w:ascii="Times New Roman" w:hAnsi="Times New Roman" w:cs="Times New Roman"/>
          <w:color w:val="000000"/>
        </w:rPr>
        <w:t>Este fenômeno foi viabilizado pela relativização do conceito de soberania, e pela ideia de estatalidade aberta</w:t>
      </w:r>
      <w:r w:rsidR="00103796">
        <w:rPr>
          <w:rFonts w:ascii="Times New Roman" w:hAnsi="Times New Roman" w:cs="Times New Roman"/>
          <w:color w:val="000000"/>
        </w:rPr>
        <w:t>, segundo a qual a ordem jurídica nacional se abre para o plano internacional, especialmente no tocante à centralidade da dignidade da pessoa humana e o respeito aos direitos humanos</w:t>
      </w:r>
      <w:r>
        <w:rPr>
          <w:rFonts w:ascii="Times New Roman" w:hAnsi="Times New Roman" w:cs="Times New Roman"/>
          <w:color w:val="000000"/>
        </w:rPr>
        <w:t>.</w:t>
      </w:r>
      <w:r w:rsidR="00103796">
        <w:rPr>
          <w:rStyle w:val="FootnoteReference"/>
          <w:rFonts w:ascii="Times New Roman" w:hAnsi="Times New Roman" w:cs="Times New Roman"/>
          <w:color w:val="000000"/>
        </w:rPr>
        <w:footnoteReference w:id="15"/>
      </w:r>
      <w:r w:rsidR="00571B16">
        <w:rPr>
          <w:rFonts w:ascii="Times New Roman" w:hAnsi="Times New Roman" w:cs="Times New Roman"/>
          <w:color w:val="000000"/>
        </w:rPr>
        <w:t xml:space="preserve"> </w:t>
      </w:r>
      <w:r w:rsidR="0007330E">
        <w:rPr>
          <w:rFonts w:ascii="Times New Roman" w:hAnsi="Times New Roman" w:cs="Times New Roman"/>
          <w:color w:val="000000"/>
        </w:rPr>
        <w:t xml:space="preserve">Ao revelar-se de </w:t>
      </w:r>
      <w:r w:rsidR="00E23169">
        <w:rPr>
          <w:rFonts w:ascii="Times New Roman" w:hAnsi="Times New Roman" w:cs="Times New Roman"/>
          <w:color w:val="000000"/>
        </w:rPr>
        <w:t>dentro para fora,</w:t>
      </w:r>
      <w:r w:rsidR="0007330E">
        <w:rPr>
          <w:rFonts w:ascii="Times New Roman" w:hAnsi="Times New Roman" w:cs="Times New Roman"/>
          <w:color w:val="000000"/>
        </w:rPr>
        <w:t xml:space="preserve"> essa abertura é proposta pelas</w:t>
      </w:r>
      <w:r w:rsidR="00E23169">
        <w:rPr>
          <w:rFonts w:ascii="Times New Roman" w:hAnsi="Times New Roman" w:cs="Times New Roman"/>
          <w:color w:val="000000"/>
        </w:rPr>
        <w:t xml:space="preserve"> ordens constitucionais – através da manifestação do poder constituinte – que deixam de materializar uma soberania centrípeta para adotar um modelo de soberania centrífuga</w:t>
      </w:r>
      <w:r w:rsidR="00D63962">
        <w:rPr>
          <w:rStyle w:val="FootnoteReference"/>
          <w:rFonts w:ascii="Times New Roman" w:hAnsi="Times New Roman" w:cs="Times New Roman"/>
          <w:color w:val="000000"/>
        </w:rPr>
        <w:footnoteReference w:id="16"/>
      </w:r>
      <w:r w:rsidR="00E23169">
        <w:rPr>
          <w:rFonts w:ascii="Times New Roman" w:hAnsi="Times New Roman" w:cs="Times New Roman"/>
          <w:color w:val="000000"/>
        </w:rPr>
        <w:t>, em que as normas constitucionais se voltam para o plano internacional, em especial, as normas de direitos humanos</w:t>
      </w:r>
      <w:r w:rsidR="00D146D9">
        <w:rPr>
          <w:rFonts w:ascii="Times New Roman" w:hAnsi="Times New Roman" w:cs="Times New Roman"/>
          <w:color w:val="000000"/>
        </w:rPr>
        <w:t xml:space="preserve"> e com isso reconhecem limites à atuação estatal</w:t>
      </w:r>
      <w:r w:rsidR="008F1C1D">
        <w:rPr>
          <w:rFonts w:ascii="Times New Roman" w:hAnsi="Times New Roman" w:cs="Times New Roman"/>
          <w:color w:val="000000"/>
        </w:rPr>
        <w:t>.</w:t>
      </w:r>
      <w:r w:rsidR="008F1C1D">
        <w:rPr>
          <w:rStyle w:val="FootnoteReference"/>
          <w:rFonts w:ascii="Times New Roman" w:hAnsi="Times New Roman" w:cs="Times New Roman"/>
          <w:color w:val="000000"/>
        </w:rPr>
        <w:footnoteReference w:id="17"/>
      </w:r>
      <w:r w:rsidR="00160658">
        <w:rPr>
          <w:rFonts w:ascii="Times New Roman" w:hAnsi="Times New Roman" w:cs="Times New Roman"/>
          <w:color w:val="000000"/>
        </w:rPr>
        <w:t xml:space="preserve"> Para tanto, surgem tanto </w:t>
      </w:r>
      <w:r w:rsidR="004920FE">
        <w:rPr>
          <w:rFonts w:ascii="Times New Roman" w:hAnsi="Times New Roman" w:cs="Times New Roman"/>
          <w:color w:val="000000"/>
        </w:rPr>
        <w:t xml:space="preserve">cláusulas de abertura </w:t>
      </w:r>
      <w:r w:rsidR="00160658">
        <w:rPr>
          <w:rFonts w:ascii="Times New Roman" w:hAnsi="Times New Roman" w:cs="Times New Roman"/>
          <w:color w:val="000000"/>
        </w:rPr>
        <w:t>no texto das próprias constituições</w:t>
      </w:r>
      <w:r w:rsidR="002543C8">
        <w:rPr>
          <w:rStyle w:val="FootnoteReference"/>
          <w:rFonts w:ascii="Times New Roman" w:hAnsi="Times New Roman" w:cs="Times New Roman"/>
          <w:color w:val="000000"/>
        </w:rPr>
        <w:footnoteReference w:id="18"/>
      </w:r>
      <w:r w:rsidR="004920FE">
        <w:rPr>
          <w:rFonts w:ascii="Times New Roman" w:hAnsi="Times New Roman" w:cs="Times New Roman"/>
          <w:color w:val="000000"/>
        </w:rPr>
        <w:t xml:space="preserve">, como </w:t>
      </w:r>
      <w:r w:rsidR="00160658">
        <w:rPr>
          <w:rFonts w:ascii="Times New Roman" w:hAnsi="Times New Roman" w:cs="Times New Roman"/>
          <w:color w:val="000000"/>
        </w:rPr>
        <w:t xml:space="preserve">também </w:t>
      </w:r>
      <w:r w:rsidR="00412080">
        <w:rPr>
          <w:rFonts w:ascii="Times New Roman" w:hAnsi="Times New Roman" w:cs="Times New Roman"/>
          <w:color w:val="000000"/>
        </w:rPr>
        <w:t>via decisões jurisdicionais</w:t>
      </w:r>
      <w:r w:rsidR="004920FE">
        <w:rPr>
          <w:rFonts w:ascii="Times New Roman" w:hAnsi="Times New Roman" w:cs="Times New Roman"/>
          <w:color w:val="000000"/>
        </w:rPr>
        <w:t>, em que as cortes nacionais absorvem a influência dos tratados de direitos humanos, e de outras experiências c</w:t>
      </w:r>
      <w:r w:rsidR="00FC3D2C">
        <w:rPr>
          <w:rFonts w:ascii="Times New Roman" w:hAnsi="Times New Roman" w:cs="Times New Roman"/>
          <w:color w:val="000000"/>
        </w:rPr>
        <w:t>onstitucionais, para definir o â</w:t>
      </w:r>
      <w:r w:rsidR="004920FE">
        <w:rPr>
          <w:rFonts w:ascii="Times New Roman" w:hAnsi="Times New Roman" w:cs="Times New Roman"/>
          <w:color w:val="000000"/>
        </w:rPr>
        <w:t>mbito de proteção dos direitos no plano interno.</w:t>
      </w:r>
      <w:r w:rsidR="00540252">
        <w:rPr>
          <w:rStyle w:val="FootnoteReference"/>
          <w:rFonts w:ascii="Times New Roman" w:hAnsi="Times New Roman" w:cs="Times New Roman"/>
          <w:color w:val="000000"/>
        </w:rPr>
        <w:footnoteReference w:id="19"/>
      </w:r>
    </w:p>
    <w:p w14:paraId="6B184E6F" w14:textId="48857141" w:rsidR="00762EC5" w:rsidRPr="00762EC5" w:rsidRDefault="00762EC5" w:rsidP="00420929">
      <w:pPr>
        <w:ind w:firstLine="720"/>
        <w:jc w:val="both"/>
        <w:rPr>
          <w:rFonts w:ascii="Times New Roman" w:hAnsi="Times New Roman" w:cs="Times New Roman"/>
          <w:color w:val="000000"/>
        </w:rPr>
      </w:pPr>
      <w:r>
        <w:rPr>
          <w:rFonts w:ascii="Times New Roman" w:hAnsi="Times New Roman" w:cs="Times New Roman"/>
        </w:rPr>
        <w:t>A cláusula de interpret</w:t>
      </w:r>
      <w:r w:rsidR="00B0283F">
        <w:rPr>
          <w:rFonts w:ascii="Times New Roman" w:hAnsi="Times New Roman" w:cs="Times New Roman"/>
        </w:rPr>
        <w:t>aç</w:t>
      </w:r>
      <w:r>
        <w:rPr>
          <w:rFonts w:ascii="Times New Roman" w:hAnsi="Times New Roman" w:cs="Times New Roman"/>
        </w:rPr>
        <w:t xml:space="preserve">ão conforme implica uma determinação expressa para que os intérpretes das normas de direitos fundamentais atentem tanto para tratados internacionais de </w:t>
      </w:r>
      <w:r w:rsidRPr="00762EC5">
        <w:rPr>
          <w:rFonts w:ascii="Times New Roman" w:hAnsi="Times New Roman" w:cs="Times New Roman"/>
        </w:rPr>
        <w:t>direitos humanos de que o</w:t>
      </w:r>
      <w:r>
        <w:rPr>
          <w:rFonts w:ascii="Times New Roman" w:hAnsi="Times New Roman" w:cs="Times New Roman"/>
        </w:rPr>
        <w:t>s</w:t>
      </w:r>
      <w:r w:rsidRPr="00762EC5">
        <w:rPr>
          <w:rFonts w:ascii="Times New Roman" w:hAnsi="Times New Roman" w:cs="Times New Roman"/>
        </w:rPr>
        <w:t xml:space="preserve"> Estado</w:t>
      </w:r>
      <w:r>
        <w:rPr>
          <w:rFonts w:ascii="Times New Roman" w:hAnsi="Times New Roman" w:cs="Times New Roman"/>
        </w:rPr>
        <w:t>s</w:t>
      </w:r>
      <w:r w:rsidRPr="00762EC5">
        <w:rPr>
          <w:rFonts w:ascii="Times New Roman" w:hAnsi="Times New Roman" w:cs="Times New Roman"/>
        </w:rPr>
        <w:t xml:space="preserve"> seja</w:t>
      </w:r>
      <w:r>
        <w:rPr>
          <w:rFonts w:ascii="Times New Roman" w:hAnsi="Times New Roman" w:cs="Times New Roman"/>
        </w:rPr>
        <w:t>m</w:t>
      </w:r>
      <w:r w:rsidRPr="00762EC5">
        <w:rPr>
          <w:rFonts w:ascii="Times New Roman" w:hAnsi="Times New Roman" w:cs="Times New Roman"/>
        </w:rPr>
        <w:t xml:space="preserve"> parte, </w:t>
      </w:r>
      <w:r>
        <w:rPr>
          <w:rFonts w:ascii="Times New Roman" w:hAnsi="Times New Roman" w:cs="Times New Roman"/>
        </w:rPr>
        <w:t>como das sentenças supranacionais que sobre eles se manifestem</w:t>
      </w:r>
      <w:r w:rsidRPr="00762EC5">
        <w:rPr>
          <w:rFonts w:ascii="Times New Roman" w:hAnsi="Times New Roman" w:cs="Times New Roman"/>
        </w:rPr>
        <w:t xml:space="preserve">. Na América do Sul, referida cláusula integra a Constituição Mexicana </w:t>
      </w:r>
      <w:r w:rsidRPr="00762EC5">
        <w:rPr>
          <w:rFonts w:ascii="Times New Roman" w:hAnsi="Times New Roman" w:cs="Times New Roman"/>
        </w:rPr>
        <w:lastRenderedPageBreak/>
        <w:t>(artigo 1</w:t>
      </w:r>
      <w:r w:rsidRPr="00762EC5">
        <w:rPr>
          <w:rFonts w:ascii="Times New Roman" w:hAnsi="Times New Roman" w:cs="Times New Roman"/>
          <w:vertAlign w:val="superscript"/>
        </w:rPr>
        <w:t>o</w:t>
      </w:r>
      <w:r w:rsidRPr="00762EC5">
        <w:rPr>
          <w:rFonts w:ascii="Times New Roman" w:hAnsi="Times New Roman" w:cs="Times New Roman"/>
        </w:rPr>
        <w:t>), a Constituição da Colômbia (artigo 93), do Peru (carta das Disposições Finais e Transitórias) e ainda da Bolívia (artigo 13).</w:t>
      </w:r>
      <w:r w:rsidRPr="00762EC5">
        <w:rPr>
          <w:rStyle w:val="FootnoteReference"/>
          <w:rFonts w:ascii="Times New Roman" w:hAnsi="Times New Roman" w:cs="Times New Roman"/>
        </w:rPr>
        <w:footnoteReference w:id="20"/>
      </w:r>
      <w:r w:rsidRPr="00762EC5">
        <w:rPr>
          <w:rFonts w:ascii="Times New Roman" w:hAnsi="Times New Roman" w:cs="Times New Roman"/>
        </w:rPr>
        <w:t xml:space="preserve"> O Brasil, embora tenha reconhecido a importância dos tratados internacionais de direitos humanos nos parágrafos segundo e terceiro do artigo 5</w:t>
      </w:r>
      <w:r w:rsidRPr="00762EC5">
        <w:rPr>
          <w:rFonts w:ascii="Times New Roman" w:hAnsi="Times New Roman" w:cs="Times New Roman"/>
          <w:vertAlign w:val="superscript"/>
        </w:rPr>
        <w:t>o</w:t>
      </w:r>
      <w:r w:rsidRPr="00762EC5">
        <w:rPr>
          <w:rFonts w:ascii="Times New Roman" w:hAnsi="Times New Roman" w:cs="Times New Roman"/>
        </w:rPr>
        <w:t>,  bem como tenha eleito a prevalência dos direitos humanos como princípio informador de sua atuação nas relações internacionais, deixou de prever textualmente referida cláusula.</w:t>
      </w:r>
      <w:r w:rsidR="00F54D46">
        <w:rPr>
          <w:rFonts w:ascii="Times New Roman" w:hAnsi="Times New Roman" w:cs="Times New Roman"/>
        </w:rPr>
        <w:t xml:space="preserve"> Todavia, ainda que ausente uma determinação constitucional expressa a respeito da interpretação das normas de direitos humanos presentes nas constituições a luz do direito interamericano, o direito comum é construído a partir da interlocução entre as cortes constitucionais e a Corte Interamericana de Direitos Humanos.</w:t>
      </w:r>
      <w:r w:rsidR="00F00B2D">
        <w:rPr>
          <w:rStyle w:val="FootnoteReference"/>
          <w:rFonts w:ascii="Times New Roman" w:hAnsi="Times New Roman" w:cs="Times New Roman"/>
        </w:rPr>
        <w:footnoteReference w:id="21"/>
      </w:r>
    </w:p>
    <w:p w14:paraId="114778C3" w14:textId="37EB8ADD" w:rsidR="000D7000" w:rsidRDefault="00AB60F1" w:rsidP="00420929">
      <w:pPr>
        <w:ind w:firstLine="720"/>
        <w:jc w:val="both"/>
        <w:rPr>
          <w:rFonts w:ascii="Times New Roman" w:hAnsi="Times New Roman" w:cs="Times New Roman"/>
          <w:color w:val="000000"/>
        </w:rPr>
      </w:pPr>
      <w:r>
        <w:rPr>
          <w:rFonts w:ascii="Times New Roman" w:hAnsi="Times New Roman" w:cs="Times New Roman"/>
          <w:color w:val="000000"/>
        </w:rPr>
        <w:t xml:space="preserve">A formação de um arcabouço jurídico integrado a partir de normas constitucionais, tratados regionais e internacionais de direitos humanos, e </w:t>
      </w:r>
      <w:r w:rsidR="00FC3D2C">
        <w:rPr>
          <w:rFonts w:ascii="Times New Roman" w:hAnsi="Times New Roman" w:cs="Times New Roman"/>
          <w:color w:val="000000"/>
        </w:rPr>
        <w:t>jurisprudê</w:t>
      </w:r>
      <w:r>
        <w:rPr>
          <w:rFonts w:ascii="Times New Roman" w:hAnsi="Times New Roman" w:cs="Times New Roman"/>
          <w:color w:val="000000"/>
        </w:rPr>
        <w:t>ncia regional tem um sentido bastante claro: superar a persistente exclusão social presente nas sociedades latino-americanas</w:t>
      </w:r>
      <w:r w:rsidR="002A4712">
        <w:rPr>
          <w:rStyle w:val="FootnoteReference"/>
          <w:rFonts w:ascii="Times New Roman" w:hAnsi="Times New Roman" w:cs="Times New Roman"/>
          <w:color w:val="000000"/>
        </w:rPr>
        <w:footnoteReference w:id="22"/>
      </w:r>
      <w:r w:rsidR="006434FB">
        <w:rPr>
          <w:rFonts w:ascii="Times New Roman" w:hAnsi="Times New Roman" w:cs="Times New Roman"/>
          <w:color w:val="000000"/>
        </w:rPr>
        <w:t xml:space="preserve"> decorrente</w:t>
      </w:r>
      <w:r>
        <w:rPr>
          <w:rFonts w:ascii="Times New Roman" w:hAnsi="Times New Roman" w:cs="Times New Roman"/>
          <w:color w:val="000000"/>
        </w:rPr>
        <w:t xml:space="preserve"> de baixo</w:t>
      </w:r>
      <w:r w:rsidR="00B06765">
        <w:rPr>
          <w:rFonts w:ascii="Times New Roman" w:hAnsi="Times New Roman" w:cs="Times New Roman"/>
          <w:color w:val="000000"/>
        </w:rPr>
        <w:t>s índices</w:t>
      </w:r>
      <w:r>
        <w:rPr>
          <w:rFonts w:ascii="Times New Roman" w:hAnsi="Times New Roman" w:cs="Times New Roman"/>
          <w:color w:val="000000"/>
        </w:rPr>
        <w:t xml:space="preserve"> </w:t>
      </w:r>
      <w:r w:rsidR="00B06765">
        <w:rPr>
          <w:rFonts w:ascii="Times New Roman" w:hAnsi="Times New Roman" w:cs="Times New Roman"/>
          <w:color w:val="000000"/>
        </w:rPr>
        <w:t xml:space="preserve">de </w:t>
      </w:r>
      <w:r>
        <w:rPr>
          <w:rFonts w:ascii="Times New Roman" w:hAnsi="Times New Roman" w:cs="Times New Roman"/>
          <w:color w:val="000000"/>
        </w:rPr>
        <w:t>desenvolvimento</w:t>
      </w:r>
      <w:r w:rsidR="00B06765">
        <w:rPr>
          <w:rFonts w:ascii="Times New Roman" w:hAnsi="Times New Roman" w:cs="Times New Roman"/>
          <w:color w:val="000000"/>
        </w:rPr>
        <w:t xml:space="preserve"> sócio-econômico-ambiental</w:t>
      </w:r>
      <w:r w:rsidR="000B18D8">
        <w:rPr>
          <w:rStyle w:val="FootnoteReference"/>
          <w:rFonts w:ascii="Times New Roman" w:hAnsi="Times New Roman" w:cs="Times New Roman"/>
          <w:color w:val="000000"/>
        </w:rPr>
        <w:footnoteReference w:id="23"/>
      </w:r>
      <w:r w:rsidR="00B06765">
        <w:rPr>
          <w:rFonts w:ascii="Times New Roman" w:hAnsi="Times New Roman" w:cs="Times New Roman"/>
          <w:color w:val="000000"/>
        </w:rPr>
        <w:t>, e também práticas endêmicas de corrupção e uma tendência política ao populismo.</w:t>
      </w:r>
      <w:r w:rsidR="001E12E9">
        <w:rPr>
          <w:rStyle w:val="FootnoteReference"/>
          <w:rFonts w:ascii="Times New Roman" w:hAnsi="Times New Roman" w:cs="Times New Roman"/>
          <w:color w:val="000000"/>
        </w:rPr>
        <w:footnoteReference w:id="24"/>
      </w:r>
      <w:r w:rsidR="00B06765">
        <w:rPr>
          <w:rFonts w:ascii="Times New Roman" w:hAnsi="Times New Roman" w:cs="Times New Roman"/>
          <w:color w:val="000000"/>
        </w:rPr>
        <w:t xml:space="preserve"> </w:t>
      </w:r>
      <w:r w:rsidR="006434FB">
        <w:rPr>
          <w:rFonts w:ascii="Times New Roman" w:hAnsi="Times New Roman" w:cs="Times New Roman"/>
          <w:color w:val="000000"/>
        </w:rPr>
        <w:t>O discurso dos direitos humanos na América Latina se volta para o enfrentamento de graves violações, o que acabou por justif</w:t>
      </w:r>
      <w:r w:rsidR="005117FC">
        <w:rPr>
          <w:rFonts w:ascii="Times New Roman" w:hAnsi="Times New Roman" w:cs="Times New Roman"/>
          <w:color w:val="000000"/>
        </w:rPr>
        <w:t>icar posturas intransigentes do seu órgão jurisdicional</w:t>
      </w:r>
      <w:r w:rsidR="006434FB">
        <w:rPr>
          <w:rFonts w:ascii="Times New Roman" w:hAnsi="Times New Roman" w:cs="Times New Roman"/>
          <w:color w:val="000000"/>
        </w:rPr>
        <w:t>, como a invalidação das leis de anistia, a proteção de populações indígenas, de minorias mais sujeitas à violência como a mulher e a população LGBT.</w:t>
      </w:r>
      <w:r w:rsidR="004F315E">
        <w:rPr>
          <w:rStyle w:val="FootnoteReference"/>
          <w:rFonts w:ascii="Times New Roman" w:hAnsi="Times New Roman" w:cs="Times New Roman"/>
          <w:color w:val="000000"/>
        </w:rPr>
        <w:footnoteReference w:id="25"/>
      </w:r>
    </w:p>
    <w:p w14:paraId="7EE5779F" w14:textId="4849539F" w:rsidR="00762EC5" w:rsidRDefault="0040200B" w:rsidP="00420929">
      <w:pPr>
        <w:ind w:firstLine="720"/>
        <w:jc w:val="both"/>
        <w:rPr>
          <w:rFonts w:ascii="Times New Roman" w:hAnsi="Times New Roman" w:cs="Times New Roman"/>
          <w:color w:val="000000"/>
        </w:rPr>
      </w:pPr>
      <w:r>
        <w:rPr>
          <w:rFonts w:ascii="Times New Roman" w:hAnsi="Times New Roman" w:cs="Times New Roman"/>
          <w:color w:val="000000"/>
        </w:rPr>
        <w:t>Nesse sentido, o ICCAL tem como eixo estrutural o chamado constitucionalismo transformador</w:t>
      </w:r>
      <w:r w:rsidR="000C5116">
        <w:rPr>
          <w:rStyle w:val="FootnoteReference"/>
          <w:rFonts w:ascii="Times New Roman" w:hAnsi="Times New Roman" w:cs="Times New Roman"/>
          <w:color w:val="000000"/>
        </w:rPr>
        <w:footnoteReference w:id="26"/>
      </w:r>
      <w:r>
        <w:rPr>
          <w:rFonts w:ascii="Times New Roman" w:hAnsi="Times New Roman" w:cs="Times New Roman"/>
          <w:color w:val="000000"/>
        </w:rPr>
        <w:t xml:space="preserve">, teoria </w:t>
      </w:r>
      <w:r w:rsidR="006434FB">
        <w:rPr>
          <w:rFonts w:ascii="Times New Roman" w:hAnsi="Times New Roman" w:cs="Times New Roman"/>
          <w:color w:val="000000"/>
        </w:rPr>
        <w:t xml:space="preserve">que </w:t>
      </w:r>
      <w:r w:rsidR="002B628F">
        <w:rPr>
          <w:rFonts w:ascii="Times New Roman" w:hAnsi="Times New Roman" w:cs="Times New Roman"/>
          <w:color w:val="000000"/>
        </w:rPr>
        <w:t>demanda do</w:t>
      </w:r>
      <w:r>
        <w:rPr>
          <w:rFonts w:ascii="Times New Roman" w:hAnsi="Times New Roman" w:cs="Times New Roman"/>
          <w:color w:val="000000"/>
        </w:rPr>
        <w:t xml:space="preserve"> poder judiciário um papel determinante na realização da função normativa das constituições, a fim de gerar transformações na estrutura político-social capazes de tornar eficazes os compromissos firmados em sede constitucional. Não se trata de realizar política através do judiciário, nem de depreciar a atuação dos movimentos sociais.</w:t>
      </w:r>
      <w:r>
        <w:rPr>
          <w:rStyle w:val="FootnoteReference"/>
          <w:rFonts w:ascii="Times New Roman" w:hAnsi="Times New Roman" w:cs="Times New Roman"/>
          <w:color w:val="000000"/>
        </w:rPr>
        <w:footnoteReference w:id="27"/>
      </w:r>
      <w:r w:rsidR="00CB065B">
        <w:rPr>
          <w:rFonts w:ascii="Times New Roman" w:hAnsi="Times New Roman" w:cs="Times New Roman"/>
          <w:color w:val="000000"/>
        </w:rPr>
        <w:t xml:space="preserve"> Pelo contrário, visa-se </w:t>
      </w:r>
      <w:r>
        <w:rPr>
          <w:rFonts w:ascii="Times New Roman" w:hAnsi="Times New Roman" w:cs="Times New Roman"/>
          <w:color w:val="000000"/>
        </w:rPr>
        <w:t>empoderar esses movimentos a partir de decisões judiciais que reconheçam os direitos</w:t>
      </w:r>
      <w:r w:rsidR="00CB065B">
        <w:rPr>
          <w:rFonts w:ascii="Times New Roman" w:hAnsi="Times New Roman" w:cs="Times New Roman"/>
          <w:color w:val="000000"/>
        </w:rPr>
        <w:t xml:space="preserve"> in</w:t>
      </w:r>
      <w:r>
        <w:rPr>
          <w:rFonts w:ascii="Times New Roman" w:hAnsi="Times New Roman" w:cs="Times New Roman"/>
          <w:color w:val="000000"/>
        </w:rPr>
        <w:t>vocados e o dever da estrutura político-administr</w:t>
      </w:r>
      <w:r w:rsidR="00CB065B">
        <w:rPr>
          <w:rFonts w:ascii="Times New Roman" w:hAnsi="Times New Roman" w:cs="Times New Roman"/>
          <w:color w:val="000000"/>
        </w:rPr>
        <w:t>ativa do Estado de implementá-los</w:t>
      </w:r>
      <w:r>
        <w:rPr>
          <w:rFonts w:ascii="Times New Roman" w:hAnsi="Times New Roman" w:cs="Times New Roman"/>
          <w:color w:val="000000"/>
        </w:rPr>
        <w:t>, por vias de um diálogo institucional democrático e inclusivo comprometido com resultados eficazes na promoção e proteção dos direitos.</w:t>
      </w:r>
      <w:r w:rsidR="002B628F">
        <w:rPr>
          <w:rStyle w:val="FootnoteReference"/>
          <w:rFonts w:ascii="Times New Roman" w:hAnsi="Times New Roman" w:cs="Times New Roman"/>
          <w:color w:val="000000"/>
        </w:rPr>
        <w:footnoteReference w:id="28"/>
      </w:r>
      <w:r>
        <w:rPr>
          <w:rFonts w:ascii="Times New Roman" w:hAnsi="Times New Roman" w:cs="Times New Roman"/>
          <w:color w:val="000000"/>
        </w:rPr>
        <w:t xml:space="preserve"> </w:t>
      </w:r>
      <w:r w:rsidR="00CB065B">
        <w:rPr>
          <w:rFonts w:ascii="Times New Roman" w:hAnsi="Times New Roman" w:cs="Times New Roman"/>
          <w:color w:val="000000"/>
        </w:rPr>
        <w:t xml:space="preserve">A ideia é </w:t>
      </w:r>
      <w:r w:rsidR="00CB065B">
        <w:rPr>
          <w:rFonts w:ascii="Times New Roman" w:hAnsi="Times New Roman" w:cs="Times New Roman"/>
          <w:color w:val="000000"/>
        </w:rPr>
        <w:lastRenderedPageBreak/>
        <w:t>impulsionar</w:t>
      </w:r>
      <w:r w:rsidR="008D5384">
        <w:rPr>
          <w:rFonts w:ascii="Times New Roman" w:hAnsi="Times New Roman" w:cs="Times New Roman"/>
          <w:color w:val="000000"/>
        </w:rPr>
        <w:t xml:space="preserve"> o processo democrático em favor daqueles que enfrentam maiores dificuldades em ter seus pleitos atendidos por elites no poder</w:t>
      </w:r>
      <w:r w:rsidR="00D32CAE">
        <w:rPr>
          <w:rFonts w:ascii="Times New Roman" w:hAnsi="Times New Roman" w:cs="Times New Roman"/>
          <w:color w:val="000000"/>
        </w:rPr>
        <w:t>,</w:t>
      </w:r>
      <w:r w:rsidR="009B5595">
        <w:rPr>
          <w:rStyle w:val="FootnoteReference"/>
          <w:rFonts w:ascii="Times New Roman" w:hAnsi="Times New Roman" w:cs="Times New Roman"/>
          <w:color w:val="000000"/>
        </w:rPr>
        <w:footnoteReference w:id="29"/>
      </w:r>
      <w:r w:rsidR="00D32CAE">
        <w:rPr>
          <w:rFonts w:ascii="Times New Roman" w:hAnsi="Times New Roman" w:cs="Times New Roman"/>
          <w:color w:val="000000"/>
        </w:rPr>
        <w:t xml:space="preserve"> de forma a fortalecer a sociedade civil.</w:t>
      </w:r>
      <w:r w:rsidR="00D32CAE">
        <w:rPr>
          <w:rStyle w:val="FootnoteReference"/>
          <w:rFonts w:ascii="Times New Roman" w:hAnsi="Times New Roman" w:cs="Times New Roman"/>
          <w:color w:val="000000"/>
        </w:rPr>
        <w:footnoteReference w:id="30"/>
      </w:r>
    </w:p>
    <w:p w14:paraId="4549CCCE" w14:textId="50366179" w:rsidR="00B564CF" w:rsidRDefault="00C754F2" w:rsidP="00420929">
      <w:pPr>
        <w:ind w:firstLine="720"/>
        <w:jc w:val="both"/>
        <w:rPr>
          <w:rFonts w:ascii="Times New Roman" w:hAnsi="Times New Roman" w:cs="Times New Roman"/>
          <w:color w:val="000000"/>
        </w:rPr>
      </w:pPr>
      <w:r>
        <w:rPr>
          <w:rFonts w:ascii="Times New Roman" w:hAnsi="Times New Roman" w:cs="Times New Roman"/>
          <w:color w:val="000000"/>
        </w:rPr>
        <w:t>É preciso reconhecer que o</w:t>
      </w:r>
      <w:r w:rsidR="00B564CF">
        <w:rPr>
          <w:rFonts w:ascii="Times New Roman" w:hAnsi="Times New Roman" w:cs="Times New Roman"/>
          <w:color w:val="000000"/>
        </w:rPr>
        <w:t xml:space="preserve"> ICCAL enfrenta alguns importantes desafios. Primeiramente, a confiança depositada tanto nas cortes constitucionais quanto na Corte Interamericana pode abrir um canal para abusos como </w:t>
      </w:r>
      <w:r w:rsidR="006D604A">
        <w:rPr>
          <w:rFonts w:ascii="Times New Roman" w:hAnsi="Times New Roman" w:cs="Times New Roman"/>
          <w:color w:val="000000"/>
        </w:rPr>
        <w:t>o praticado pela Sala Constitucional da Suprema Corte da Venezuela, que forneceu suporte jurídico para o crescente autoritarismo do governo, inclusive declarando inconstitucionais e inaplicáveis decisões da Corte I</w:t>
      </w:r>
      <w:r w:rsidR="00CB065B">
        <w:rPr>
          <w:rFonts w:ascii="Times New Roman" w:hAnsi="Times New Roman" w:cs="Times New Roman"/>
          <w:color w:val="000000"/>
        </w:rPr>
        <w:t>DH</w:t>
      </w:r>
      <w:r w:rsidR="006D604A">
        <w:rPr>
          <w:rFonts w:ascii="Times New Roman" w:hAnsi="Times New Roman" w:cs="Times New Roman"/>
          <w:color w:val="000000"/>
        </w:rPr>
        <w:t xml:space="preserve">, </w:t>
      </w:r>
      <w:r w:rsidR="00CB065B">
        <w:rPr>
          <w:rFonts w:ascii="Times New Roman" w:hAnsi="Times New Roman" w:cs="Times New Roman"/>
          <w:color w:val="000000"/>
        </w:rPr>
        <w:t>e culminou</w:t>
      </w:r>
      <w:r w:rsidR="006D604A">
        <w:rPr>
          <w:rFonts w:ascii="Times New Roman" w:hAnsi="Times New Roman" w:cs="Times New Roman"/>
          <w:color w:val="000000"/>
        </w:rPr>
        <w:t xml:space="preserve"> na retirada da República Bolivariana da Venezuela do sistema interamericano em 2012.</w:t>
      </w:r>
      <w:r w:rsidR="001A53F6">
        <w:rPr>
          <w:rStyle w:val="FootnoteReference"/>
          <w:rFonts w:ascii="Times New Roman" w:hAnsi="Times New Roman" w:cs="Times New Roman"/>
          <w:color w:val="000000"/>
        </w:rPr>
        <w:footnoteReference w:id="31"/>
      </w:r>
      <w:r w:rsidR="000B5CA9">
        <w:rPr>
          <w:rFonts w:ascii="Times New Roman" w:hAnsi="Times New Roman" w:cs="Times New Roman"/>
          <w:color w:val="000000"/>
        </w:rPr>
        <w:t xml:space="preserve"> As cortes constitucionais latino-americanas </w:t>
      </w:r>
      <w:r w:rsidR="003621EA">
        <w:rPr>
          <w:rFonts w:ascii="Times New Roman" w:hAnsi="Times New Roman" w:cs="Times New Roman"/>
          <w:color w:val="000000"/>
        </w:rPr>
        <w:t>não têm uma tradição de enfrentamento, mas pelo contrário, costumam adotar posturas que de certa forma referendam práticas governamentais.</w:t>
      </w:r>
      <w:r w:rsidR="00262BEA">
        <w:rPr>
          <w:rStyle w:val="FootnoteReference"/>
          <w:rFonts w:ascii="Times New Roman" w:hAnsi="Times New Roman" w:cs="Times New Roman"/>
          <w:color w:val="000000"/>
        </w:rPr>
        <w:footnoteReference w:id="32"/>
      </w:r>
      <w:r w:rsidR="003621EA">
        <w:rPr>
          <w:rFonts w:ascii="Times New Roman" w:hAnsi="Times New Roman" w:cs="Times New Roman"/>
          <w:color w:val="000000"/>
        </w:rPr>
        <w:t xml:space="preserve"> Não foram porta-vozes dos pleitos pela defesa de direitos humanos violados durante os regimes autoritários, nem mesmo após a democratização.</w:t>
      </w:r>
      <w:r w:rsidR="003621EA">
        <w:rPr>
          <w:rStyle w:val="FootnoteReference"/>
          <w:rFonts w:ascii="Times New Roman" w:hAnsi="Times New Roman" w:cs="Times New Roman"/>
          <w:color w:val="000000"/>
        </w:rPr>
        <w:footnoteReference w:id="33"/>
      </w:r>
      <w:r w:rsidR="00CB065B">
        <w:rPr>
          <w:rFonts w:ascii="Times New Roman" w:hAnsi="Times New Roman" w:cs="Times New Roman"/>
          <w:color w:val="000000"/>
        </w:rPr>
        <w:t xml:space="preserve"> Entretanto, há sinais importantes de que a perspectiva </w:t>
      </w:r>
      <w:r w:rsidR="00C36F3E">
        <w:rPr>
          <w:rFonts w:ascii="Times New Roman" w:hAnsi="Times New Roman" w:cs="Times New Roman"/>
          <w:color w:val="000000"/>
        </w:rPr>
        <w:t>t</w:t>
      </w:r>
      <w:r w:rsidR="00D11072">
        <w:rPr>
          <w:rFonts w:ascii="Times New Roman" w:hAnsi="Times New Roman" w:cs="Times New Roman"/>
          <w:color w:val="000000"/>
        </w:rPr>
        <w:t>ransformadora é viável, como em</w:t>
      </w:r>
      <w:r w:rsidR="00C36F3E">
        <w:rPr>
          <w:rFonts w:ascii="Times New Roman" w:hAnsi="Times New Roman" w:cs="Times New Roman"/>
          <w:color w:val="000000"/>
        </w:rPr>
        <w:t xml:space="preserve"> decisões proferidas pela C</w:t>
      </w:r>
      <w:r w:rsidR="00D11072">
        <w:rPr>
          <w:rFonts w:ascii="Times New Roman" w:hAnsi="Times New Roman" w:cs="Times New Roman"/>
          <w:color w:val="000000"/>
        </w:rPr>
        <w:t xml:space="preserve">orte Constitucional da Colômbia. </w:t>
      </w:r>
      <w:r w:rsidR="00CE3C8A">
        <w:rPr>
          <w:rFonts w:ascii="Times New Roman" w:hAnsi="Times New Roman" w:cs="Times New Roman"/>
          <w:color w:val="000000"/>
        </w:rPr>
        <w:t>Dentre as mais emblemáticas, ressalte-se a que reconheceu</w:t>
      </w:r>
      <w:r w:rsidR="00C36F3E">
        <w:rPr>
          <w:rFonts w:ascii="Times New Roman" w:hAnsi="Times New Roman" w:cs="Times New Roman"/>
          <w:color w:val="000000"/>
        </w:rPr>
        <w:t xml:space="preserve"> o estado de coisas inconstitucional em prol das vítimas do deslocamento forçado</w:t>
      </w:r>
      <w:r w:rsidR="00165F15">
        <w:rPr>
          <w:rStyle w:val="FootnoteReference"/>
          <w:rFonts w:ascii="Times New Roman" w:hAnsi="Times New Roman" w:cs="Times New Roman"/>
          <w:color w:val="000000"/>
        </w:rPr>
        <w:footnoteReference w:id="34"/>
      </w:r>
      <w:r w:rsidR="00C36F3E">
        <w:rPr>
          <w:rFonts w:ascii="Times New Roman" w:hAnsi="Times New Roman" w:cs="Times New Roman"/>
          <w:color w:val="000000"/>
        </w:rPr>
        <w:t xml:space="preserve">, </w:t>
      </w:r>
      <w:r w:rsidR="00CE3C8A">
        <w:rPr>
          <w:rFonts w:ascii="Times New Roman" w:hAnsi="Times New Roman" w:cs="Times New Roman"/>
          <w:color w:val="000000"/>
        </w:rPr>
        <w:t xml:space="preserve">e a que </w:t>
      </w:r>
      <w:r w:rsidR="00C36F3E">
        <w:rPr>
          <w:rFonts w:ascii="Times New Roman" w:hAnsi="Times New Roman" w:cs="Times New Roman"/>
          <w:color w:val="000000"/>
        </w:rPr>
        <w:t>conteve</w:t>
      </w:r>
      <w:r w:rsidR="00FC3D2C">
        <w:rPr>
          <w:rFonts w:ascii="Times New Roman" w:hAnsi="Times New Roman" w:cs="Times New Roman"/>
          <w:color w:val="000000"/>
        </w:rPr>
        <w:t xml:space="preserve"> a pretensão de emenda constitu</w:t>
      </w:r>
      <w:r w:rsidR="00C36F3E">
        <w:rPr>
          <w:rFonts w:ascii="Times New Roman" w:hAnsi="Times New Roman" w:cs="Times New Roman"/>
          <w:color w:val="000000"/>
        </w:rPr>
        <w:t>c</w:t>
      </w:r>
      <w:r w:rsidR="00FC3D2C">
        <w:rPr>
          <w:rFonts w:ascii="Times New Roman" w:hAnsi="Times New Roman" w:cs="Times New Roman"/>
          <w:color w:val="000000"/>
        </w:rPr>
        <w:t>i</w:t>
      </w:r>
      <w:r w:rsidR="00C36F3E">
        <w:rPr>
          <w:rFonts w:ascii="Times New Roman" w:hAnsi="Times New Roman" w:cs="Times New Roman"/>
          <w:color w:val="000000"/>
        </w:rPr>
        <w:t>onal em favor de uma segunda reeleição presidencial</w:t>
      </w:r>
      <w:r w:rsidR="005C5F20">
        <w:rPr>
          <w:rStyle w:val="FootnoteReference"/>
          <w:rFonts w:ascii="Times New Roman" w:hAnsi="Times New Roman" w:cs="Times New Roman"/>
          <w:color w:val="000000"/>
        </w:rPr>
        <w:footnoteReference w:id="35"/>
      </w:r>
      <w:r w:rsidR="00CE3C8A">
        <w:rPr>
          <w:rFonts w:ascii="Times New Roman" w:hAnsi="Times New Roman" w:cs="Times New Roman"/>
          <w:color w:val="000000"/>
        </w:rPr>
        <w:t>. N</w:t>
      </w:r>
      <w:r w:rsidR="00C36F3E">
        <w:rPr>
          <w:rFonts w:ascii="Times New Roman" w:hAnsi="Times New Roman" w:cs="Times New Roman"/>
          <w:color w:val="000000"/>
        </w:rPr>
        <w:t>o caso brasileiro, é emblemático o reconhecimento da união homoafetiva pelo Supremo Tribunal Federal</w:t>
      </w:r>
      <w:r w:rsidR="005264F5">
        <w:rPr>
          <w:rStyle w:val="FootnoteReference"/>
          <w:rFonts w:ascii="Times New Roman" w:hAnsi="Times New Roman" w:cs="Times New Roman"/>
          <w:color w:val="000000"/>
        </w:rPr>
        <w:footnoteReference w:id="36"/>
      </w:r>
      <w:r w:rsidR="00C36F3E">
        <w:rPr>
          <w:rFonts w:ascii="Times New Roman" w:hAnsi="Times New Roman" w:cs="Times New Roman"/>
          <w:color w:val="000000"/>
        </w:rPr>
        <w:t>, bem como a proteção das terras indígenas no caso Raposa Serra do Sol</w:t>
      </w:r>
      <w:r w:rsidR="00CE3C8A">
        <w:rPr>
          <w:rFonts w:ascii="Times New Roman" w:hAnsi="Times New Roman" w:cs="Times New Roman"/>
          <w:color w:val="000000"/>
        </w:rPr>
        <w:t>.</w:t>
      </w:r>
      <w:r w:rsidR="008F07C0">
        <w:rPr>
          <w:rStyle w:val="FootnoteReference"/>
          <w:rFonts w:ascii="Times New Roman" w:hAnsi="Times New Roman" w:cs="Times New Roman"/>
          <w:color w:val="000000"/>
        </w:rPr>
        <w:footnoteReference w:id="37"/>
      </w:r>
      <w:r w:rsidR="00C36F3E">
        <w:rPr>
          <w:rFonts w:ascii="Times New Roman" w:hAnsi="Times New Roman" w:cs="Times New Roman"/>
          <w:color w:val="000000"/>
        </w:rPr>
        <w:t xml:space="preserve"> Como reconhece </w:t>
      </w:r>
      <w:r w:rsidR="00C36F3E" w:rsidRPr="00115AC6">
        <w:rPr>
          <w:rFonts w:ascii="Times New Roman" w:hAnsi="Times New Roman" w:cs="Times New Roman"/>
          <w:color w:val="000000"/>
        </w:rPr>
        <w:t xml:space="preserve">John </w:t>
      </w:r>
      <w:r w:rsidR="0040268D" w:rsidRPr="00115AC6">
        <w:rPr>
          <w:rFonts w:ascii="Times New Roman" w:hAnsi="Times New Roman" w:cs="Times New Roman"/>
          <w:color w:val="000000"/>
        </w:rPr>
        <w:t xml:space="preserve">Hart </w:t>
      </w:r>
      <w:r w:rsidR="00C36F3E" w:rsidRPr="00115AC6">
        <w:rPr>
          <w:rFonts w:ascii="Times New Roman" w:hAnsi="Times New Roman" w:cs="Times New Roman"/>
          <w:color w:val="000000"/>
        </w:rPr>
        <w:t>Ely,</w:t>
      </w:r>
      <w:r w:rsidR="00C36F3E">
        <w:rPr>
          <w:rFonts w:ascii="Times New Roman" w:hAnsi="Times New Roman" w:cs="Times New Roman"/>
          <w:color w:val="000000"/>
        </w:rPr>
        <w:t xml:space="preserve"> quando os processos democráticos falham na salvaguarda dos direitos, o Judiciário tem uma função a cumprir.</w:t>
      </w:r>
      <w:r w:rsidR="00DB2F21">
        <w:rPr>
          <w:rStyle w:val="FootnoteReference"/>
          <w:rFonts w:ascii="Times New Roman" w:hAnsi="Times New Roman" w:cs="Times New Roman"/>
          <w:color w:val="000000"/>
        </w:rPr>
        <w:footnoteReference w:id="38"/>
      </w:r>
    </w:p>
    <w:p w14:paraId="1FF4F461" w14:textId="08B8F4EE" w:rsidR="00C754F2" w:rsidRDefault="00B564CF" w:rsidP="00420929">
      <w:pPr>
        <w:ind w:firstLine="720"/>
        <w:jc w:val="both"/>
        <w:rPr>
          <w:rFonts w:ascii="Times New Roman" w:hAnsi="Times New Roman" w:cs="Times New Roman"/>
          <w:color w:val="000000"/>
        </w:rPr>
      </w:pPr>
      <w:r>
        <w:rPr>
          <w:rFonts w:ascii="Times New Roman" w:hAnsi="Times New Roman" w:cs="Times New Roman"/>
          <w:color w:val="000000"/>
        </w:rPr>
        <w:t>Em segundo lugar, é certo que o</w:t>
      </w:r>
      <w:r w:rsidR="00C754F2">
        <w:rPr>
          <w:rFonts w:ascii="Times New Roman" w:hAnsi="Times New Roman" w:cs="Times New Roman"/>
          <w:color w:val="000000"/>
        </w:rPr>
        <w:t xml:space="preserve"> impacto </w:t>
      </w:r>
      <w:r w:rsidR="00DC6425">
        <w:rPr>
          <w:rFonts w:ascii="Times New Roman" w:hAnsi="Times New Roman" w:cs="Times New Roman"/>
          <w:color w:val="000000"/>
        </w:rPr>
        <w:t>produzido pelo</w:t>
      </w:r>
      <w:r w:rsidR="00C754F2">
        <w:rPr>
          <w:rFonts w:ascii="Times New Roman" w:hAnsi="Times New Roman" w:cs="Times New Roman"/>
          <w:color w:val="000000"/>
        </w:rPr>
        <w:t xml:space="preserve"> ICCAL no conjunto normativo latino americano é mais significativo que na realidade social. Salazar Ugarte salienta que o privilégio das classes mais ricas e poderosas </w:t>
      </w:r>
      <w:r w:rsidR="00F16AC1">
        <w:rPr>
          <w:rFonts w:ascii="Times New Roman" w:hAnsi="Times New Roman" w:cs="Times New Roman"/>
          <w:color w:val="000000"/>
        </w:rPr>
        <w:t>se mantém de forma persistente</w:t>
      </w:r>
      <w:r w:rsidR="00C754F2">
        <w:rPr>
          <w:rFonts w:ascii="Times New Roman" w:hAnsi="Times New Roman" w:cs="Times New Roman"/>
          <w:color w:val="000000"/>
        </w:rPr>
        <w:t>.</w:t>
      </w:r>
      <w:r w:rsidR="00C754F2">
        <w:rPr>
          <w:rStyle w:val="FootnoteReference"/>
          <w:rFonts w:ascii="Times New Roman" w:hAnsi="Times New Roman" w:cs="Times New Roman"/>
          <w:color w:val="000000"/>
        </w:rPr>
        <w:footnoteReference w:id="39"/>
      </w:r>
      <w:r w:rsidR="00C754F2">
        <w:rPr>
          <w:rFonts w:ascii="Times New Roman" w:hAnsi="Times New Roman" w:cs="Times New Roman"/>
          <w:color w:val="000000"/>
        </w:rPr>
        <w:t xml:space="preserve"> Ainda assim, </w:t>
      </w:r>
      <w:r w:rsidR="00C31924">
        <w:rPr>
          <w:rFonts w:ascii="Times New Roman" w:hAnsi="Times New Roman" w:cs="Times New Roman"/>
          <w:color w:val="000000"/>
        </w:rPr>
        <w:t>é possível identificar mudanças desencadeadas p</w:t>
      </w:r>
      <w:r w:rsidR="007F6200">
        <w:rPr>
          <w:rFonts w:ascii="Times New Roman" w:hAnsi="Times New Roman" w:cs="Times New Roman"/>
          <w:color w:val="000000"/>
        </w:rPr>
        <w:t>elo</w:t>
      </w:r>
      <w:r w:rsidR="00C31924">
        <w:rPr>
          <w:rFonts w:ascii="Times New Roman" w:hAnsi="Times New Roman" w:cs="Times New Roman"/>
          <w:color w:val="000000"/>
        </w:rPr>
        <w:t xml:space="preserve"> ICCAL </w:t>
      </w:r>
      <w:r w:rsidR="008D0416">
        <w:rPr>
          <w:rFonts w:ascii="Times New Roman" w:hAnsi="Times New Roman" w:cs="Times New Roman"/>
          <w:color w:val="000000"/>
        </w:rPr>
        <w:t>enquanto</w:t>
      </w:r>
      <w:r w:rsidR="00C31924">
        <w:rPr>
          <w:rFonts w:ascii="Times New Roman" w:hAnsi="Times New Roman" w:cs="Times New Roman"/>
          <w:color w:val="000000"/>
        </w:rPr>
        <w:t xml:space="preserve"> projeto político e social voltado para a inclusão: a criação de legislação protetora da mulher em face da violência doméstica no Brasil como decorrência de recomendação da Comissão Interamericana de Direitos Humanos (Lei Maria da Penha), e a criação das Comissões da Verdade a fim de esclarecer os atos praticados pelos agentes estatais durante a ditadura militar no Brasil (sugerida pela sentença proferida no caso Gomes Lund).</w:t>
      </w:r>
      <w:r w:rsidR="00360CF3">
        <w:rPr>
          <w:rFonts w:ascii="Times New Roman" w:hAnsi="Times New Roman" w:cs="Times New Roman"/>
          <w:color w:val="000000"/>
        </w:rPr>
        <w:t xml:space="preserve"> </w:t>
      </w:r>
      <w:r w:rsidR="00675CAE">
        <w:rPr>
          <w:rFonts w:ascii="Times New Roman" w:hAnsi="Times New Roman" w:cs="Times New Roman"/>
          <w:color w:val="000000"/>
        </w:rPr>
        <w:t xml:space="preserve">O progresso almejado pelo </w:t>
      </w:r>
      <w:r w:rsidR="00675CAE">
        <w:rPr>
          <w:rFonts w:ascii="Times New Roman" w:hAnsi="Times New Roman" w:cs="Times New Roman"/>
          <w:color w:val="000000"/>
        </w:rPr>
        <w:lastRenderedPageBreak/>
        <w:t>ICCAL não é revolucionário, mas incremental</w:t>
      </w:r>
      <w:r w:rsidR="00FC3D2C">
        <w:rPr>
          <w:rFonts w:ascii="Times New Roman" w:hAnsi="Times New Roman" w:cs="Times New Roman"/>
          <w:color w:val="000000"/>
        </w:rPr>
        <w:t xml:space="preserve">. Desse modo, </w:t>
      </w:r>
      <w:r w:rsidR="00675CAE">
        <w:rPr>
          <w:rFonts w:ascii="Times New Roman" w:hAnsi="Times New Roman" w:cs="Times New Roman"/>
          <w:color w:val="000000"/>
        </w:rPr>
        <w:t xml:space="preserve">a realização dos direitos humanos </w:t>
      </w:r>
      <w:r w:rsidR="00FC3D2C">
        <w:rPr>
          <w:rFonts w:ascii="Times New Roman" w:hAnsi="Times New Roman" w:cs="Times New Roman"/>
          <w:color w:val="000000"/>
        </w:rPr>
        <w:t xml:space="preserve">se dá </w:t>
      </w:r>
      <w:r w:rsidR="00675CAE">
        <w:rPr>
          <w:rFonts w:ascii="Times New Roman" w:hAnsi="Times New Roman" w:cs="Times New Roman"/>
          <w:color w:val="000000"/>
        </w:rPr>
        <w:t>concomitantemente à evolução dos processos democráticos e o respeito ao Estado de Direito.</w:t>
      </w:r>
      <w:r w:rsidR="005F5C0A">
        <w:rPr>
          <w:rStyle w:val="FootnoteReference"/>
          <w:rFonts w:ascii="Times New Roman" w:hAnsi="Times New Roman" w:cs="Times New Roman"/>
          <w:color w:val="000000"/>
        </w:rPr>
        <w:footnoteReference w:id="40"/>
      </w:r>
      <w:r w:rsidR="001D62A7">
        <w:rPr>
          <w:rFonts w:ascii="Times New Roman" w:hAnsi="Times New Roman" w:cs="Times New Roman"/>
          <w:color w:val="000000"/>
        </w:rPr>
        <w:t xml:space="preserve"> </w:t>
      </w:r>
      <w:r w:rsidR="00FC3D2C">
        <w:rPr>
          <w:rFonts w:ascii="Times New Roman" w:hAnsi="Times New Roman" w:cs="Times New Roman"/>
          <w:color w:val="000000"/>
        </w:rPr>
        <w:t>D</w:t>
      </w:r>
      <w:r w:rsidR="001D62A7">
        <w:rPr>
          <w:rFonts w:ascii="Times New Roman" w:hAnsi="Times New Roman" w:cs="Times New Roman"/>
          <w:color w:val="000000"/>
        </w:rPr>
        <w:t>ireitos humanos e democracia se imp</w:t>
      </w:r>
      <w:r w:rsidR="00FC3D2C">
        <w:rPr>
          <w:rFonts w:ascii="Times New Roman" w:hAnsi="Times New Roman" w:cs="Times New Roman"/>
          <w:color w:val="000000"/>
        </w:rPr>
        <w:t>licam mutuamente, e a jurisprudê</w:t>
      </w:r>
      <w:r w:rsidR="001D62A7">
        <w:rPr>
          <w:rFonts w:ascii="Times New Roman" w:hAnsi="Times New Roman" w:cs="Times New Roman"/>
          <w:color w:val="000000"/>
        </w:rPr>
        <w:t>ncia interamericana reforça o marco da legalidade e da legitimi</w:t>
      </w:r>
      <w:r w:rsidR="00FC3D2C">
        <w:rPr>
          <w:rFonts w:ascii="Times New Roman" w:hAnsi="Times New Roman" w:cs="Times New Roman"/>
          <w:color w:val="000000"/>
        </w:rPr>
        <w:t>dade, de modo que a interdependê</w:t>
      </w:r>
      <w:r w:rsidR="001D62A7">
        <w:rPr>
          <w:rFonts w:ascii="Times New Roman" w:hAnsi="Times New Roman" w:cs="Times New Roman"/>
          <w:color w:val="000000"/>
        </w:rPr>
        <w:t xml:space="preserve">ncia entre democracia e direitos humanos define os rumos do </w:t>
      </w:r>
      <w:r w:rsidR="001D62A7" w:rsidRPr="001D62A7">
        <w:rPr>
          <w:rFonts w:ascii="Times New Roman" w:hAnsi="Times New Roman" w:cs="Times New Roman"/>
          <w:i/>
          <w:color w:val="000000"/>
        </w:rPr>
        <w:t>Ius Commune</w:t>
      </w:r>
      <w:r w:rsidR="001D62A7">
        <w:rPr>
          <w:rFonts w:ascii="Times New Roman" w:hAnsi="Times New Roman" w:cs="Times New Roman"/>
          <w:color w:val="000000"/>
        </w:rPr>
        <w:t xml:space="preserve"> regional.</w:t>
      </w:r>
      <w:r w:rsidR="0079044E">
        <w:rPr>
          <w:rStyle w:val="FootnoteReference"/>
          <w:rFonts w:ascii="Times New Roman" w:hAnsi="Times New Roman" w:cs="Times New Roman"/>
          <w:color w:val="000000"/>
        </w:rPr>
        <w:footnoteReference w:id="41"/>
      </w:r>
      <w:r w:rsidR="00131374">
        <w:rPr>
          <w:rFonts w:ascii="Times New Roman" w:hAnsi="Times New Roman" w:cs="Times New Roman"/>
          <w:color w:val="000000"/>
        </w:rPr>
        <w:t xml:space="preserve"> </w:t>
      </w:r>
      <w:r w:rsidR="00BC10BA">
        <w:rPr>
          <w:rFonts w:ascii="Times New Roman" w:hAnsi="Times New Roman" w:cs="Times New Roman"/>
          <w:color w:val="000000"/>
        </w:rPr>
        <w:t>Nessa perspectiva, devem estar presentes tanto as condições materiais elementares para a realização da dignidade humana, quanto o respeito à diversidade e ao pluralismo.</w:t>
      </w:r>
    </w:p>
    <w:p w14:paraId="048EC5E1" w14:textId="40451A39" w:rsidR="001015FB" w:rsidRDefault="00E7551A" w:rsidP="00420929">
      <w:pPr>
        <w:ind w:firstLine="720"/>
        <w:jc w:val="both"/>
        <w:rPr>
          <w:rFonts w:ascii="Times New Roman" w:hAnsi="Times New Roman" w:cs="Times New Roman"/>
          <w:color w:val="000000"/>
        </w:rPr>
      </w:pPr>
      <w:r>
        <w:rPr>
          <w:rFonts w:ascii="Times New Roman" w:hAnsi="Times New Roman" w:cs="Times New Roman"/>
          <w:color w:val="000000"/>
        </w:rPr>
        <w:t>Como um direito regional que se pretenda ao mesmo tempo plural e comum, o ICCAL se viabiliza através dos diálogos judiciais</w:t>
      </w:r>
      <w:r w:rsidR="000A41E6">
        <w:rPr>
          <w:rFonts w:ascii="Times New Roman" w:hAnsi="Times New Roman" w:cs="Times New Roman"/>
          <w:color w:val="000000"/>
        </w:rPr>
        <w:t xml:space="preserve"> e s</w:t>
      </w:r>
      <w:r w:rsidR="00B74F93">
        <w:rPr>
          <w:rFonts w:ascii="Times New Roman" w:hAnsi="Times New Roman" w:cs="Times New Roman"/>
          <w:color w:val="000000"/>
        </w:rPr>
        <w:t>e encontra em constante construção</w:t>
      </w:r>
      <w:r>
        <w:rPr>
          <w:rFonts w:ascii="Times New Roman" w:hAnsi="Times New Roman" w:cs="Times New Roman"/>
          <w:color w:val="000000"/>
        </w:rPr>
        <w:t>.</w:t>
      </w:r>
      <w:r w:rsidR="000A41E6">
        <w:rPr>
          <w:rStyle w:val="FootnoteReference"/>
          <w:rFonts w:ascii="Times New Roman" w:hAnsi="Times New Roman" w:cs="Times New Roman"/>
          <w:color w:val="000000"/>
        </w:rPr>
        <w:footnoteReference w:id="42"/>
      </w:r>
      <w:r>
        <w:rPr>
          <w:rFonts w:ascii="Times New Roman" w:hAnsi="Times New Roman" w:cs="Times New Roman"/>
          <w:color w:val="000000"/>
        </w:rPr>
        <w:t xml:space="preserve"> É especialmente através da interação entre as cortes constitucionais e a Corte I</w:t>
      </w:r>
      <w:r w:rsidR="00D90018">
        <w:rPr>
          <w:rFonts w:ascii="Times New Roman" w:hAnsi="Times New Roman" w:cs="Times New Roman"/>
          <w:color w:val="000000"/>
        </w:rPr>
        <w:t>DH</w:t>
      </w:r>
      <w:r w:rsidR="008F10AD">
        <w:rPr>
          <w:rFonts w:ascii="Times New Roman" w:hAnsi="Times New Roman" w:cs="Times New Roman"/>
          <w:color w:val="000000"/>
        </w:rPr>
        <w:t xml:space="preserve"> que</w:t>
      </w:r>
      <w:r>
        <w:rPr>
          <w:rFonts w:ascii="Times New Roman" w:hAnsi="Times New Roman" w:cs="Times New Roman"/>
          <w:color w:val="000000"/>
        </w:rPr>
        <w:t xml:space="preserve"> </w:t>
      </w:r>
      <w:r w:rsidR="00FA2B0F">
        <w:rPr>
          <w:rFonts w:ascii="Times New Roman" w:hAnsi="Times New Roman" w:cs="Times New Roman"/>
          <w:color w:val="000000"/>
        </w:rPr>
        <w:t>se</w:t>
      </w:r>
      <w:r>
        <w:rPr>
          <w:rFonts w:ascii="Times New Roman" w:hAnsi="Times New Roman" w:cs="Times New Roman"/>
          <w:color w:val="000000"/>
        </w:rPr>
        <w:t xml:space="preserve"> interpreta</w:t>
      </w:r>
      <w:r w:rsidR="00FA2B0F">
        <w:rPr>
          <w:rFonts w:ascii="Times New Roman" w:hAnsi="Times New Roman" w:cs="Times New Roman"/>
          <w:color w:val="000000"/>
        </w:rPr>
        <w:t>m</w:t>
      </w:r>
      <w:r>
        <w:rPr>
          <w:rFonts w:ascii="Times New Roman" w:hAnsi="Times New Roman" w:cs="Times New Roman"/>
          <w:color w:val="000000"/>
        </w:rPr>
        <w:t xml:space="preserve"> as normas de direitos humanos, e </w:t>
      </w:r>
      <w:r w:rsidR="00FA2B0F">
        <w:rPr>
          <w:rFonts w:ascii="Times New Roman" w:hAnsi="Times New Roman" w:cs="Times New Roman"/>
          <w:color w:val="000000"/>
        </w:rPr>
        <w:t xml:space="preserve">se </w:t>
      </w:r>
      <w:r>
        <w:rPr>
          <w:rFonts w:ascii="Times New Roman" w:hAnsi="Times New Roman" w:cs="Times New Roman"/>
          <w:color w:val="000000"/>
        </w:rPr>
        <w:t>defin</w:t>
      </w:r>
      <w:r w:rsidR="00FA2B0F">
        <w:rPr>
          <w:rFonts w:ascii="Times New Roman" w:hAnsi="Times New Roman" w:cs="Times New Roman"/>
          <w:color w:val="000000"/>
        </w:rPr>
        <w:t>e</w:t>
      </w:r>
      <w:r>
        <w:rPr>
          <w:rFonts w:ascii="Times New Roman" w:hAnsi="Times New Roman" w:cs="Times New Roman"/>
          <w:color w:val="000000"/>
        </w:rPr>
        <w:t xml:space="preserve"> sua aplicação aos casos concretos –</w:t>
      </w:r>
      <w:r w:rsidR="000A41E6">
        <w:rPr>
          <w:rFonts w:ascii="Times New Roman" w:hAnsi="Times New Roman" w:cs="Times New Roman"/>
          <w:color w:val="000000"/>
        </w:rPr>
        <w:t xml:space="preserve"> seja </w:t>
      </w:r>
      <w:r w:rsidR="008F10AD">
        <w:rPr>
          <w:rFonts w:ascii="Times New Roman" w:hAnsi="Times New Roman" w:cs="Times New Roman"/>
          <w:color w:val="000000"/>
        </w:rPr>
        <w:t xml:space="preserve">de modo </w:t>
      </w:r>
      <w:r w:rsidR="000A41E6">
        <w:rPr>
          <w:rFonts w:ascii="Times New Roman" w:hAnsi="Times New Roman" w:cs="Times New Roman"/>
          <w:color w:val="000000"/>
        </w:rPr>
        <w:t>a elaborar padr</w:t>
      </w:r>
      <w:r>
        <w:rPr>
          <w:rFonts w:ascii="Times New Roman" w:hAnsi="Times New Roman" w:cs="Times New Roman"/>
          <w:color w:val="000000"/>
        </w:rPr>
        <w:t xml:space="preserve">ões fundamentais e basilares para a proteção desses direitos, seja para reconhecer particularidades locais </w:t>
      </w:r>
      <w:r w:rsidR="008F10AD">
        <w:rPr>
          <w:rFonts w:ascii="Times New Roman" w:hAnsi="Times New Roman" w:cs="Times New Roman"/>
          <w:color w:val="000000"/>
        </w:rPr>
        <w:t>a</w:t>
      </w:r>
      <w:r>
        <w:rPr>
          <w:rFonts w:ascii="Times New Roman" w:hAnsi="Times New Roman" w:cs="Times New Roman"/>
          <w:color w:val="000000"/>
        </w:rPr>
        <w:t xml:space="preserve"> justifica</w:t>
      </w:r>
      <w:r w:rsidR="008F10AD">
        <w:rPr>
          <w:rFonts w:ascii="Times New Roman" w:hAnsi="Times New Roman" w:cs="Times New Roman"/>
          <w:color w:val="000000"/>
        </w:rPr>
        <w:t>r</w:t>
      </w:r>
      <w:r>
        <w:rPr>
          <w:rFonts w:ascii="Times New Roman" w:hAnsi="Times New Roman" w:cs="Times New Roman"/>
          <w:color w:val="000000"/>
        </w:rPr>
        <w:t xml:space="preserve"> a permanente abertura do sistema a novos conceitos e configurações. </w:t>
      </w:r>
      <w:r w:rsidR="00FA2B0F">
        <w:rPr>
          <w:rFonts w:ascii="Times New Roman" w:hAnsi="Times New Roman" w:cs="Times New Roman"/>
          <w:color w:val="000000"/>
        </w:rPr>
        <w:t xml:space="preserve">Trata-se de um movimento </w:t>
      </w:r>
      <w:r w:rsidR="00D90018">
        <w:rPr>
          <w:rFonts w:ascii="Times New Roman" w:hAnsi="Times New Roman" w:cs="Times New Roman"/>
          <w:color w:val="000000"/>
        </w:rPr>
        <w:t xml:space="preserve">ascendente </w:t>
      </w:r>
      <w:r w:rsidR="008F10AD">
        <w:rPr>
          <w:rFonts w:ascii="Times New Roman" w:hAnsi="Times New Roman" w:cs="Times New Roman"/>
          <w:color w:val="000000"/>
        </w:rPr>
        <w:t>oriundo</w:t>
      </w:r>
      <w:r w:rsidR="00FA2B0F">
        <w:rPr>
          <w:rFonts w:ascii="Times New Roman" w:hAnsi="Times New Roman" w:cs="Times New Roman"/>
          <w:color w:val="000000"/>
        </w:rPr>
        <w:t xml:space="preserve"> das cortes constitucionais, </w:t>
      </w:r>
      <w:r w:rsidR="00EA289C">
        <w:rPr>
          <w:rFonts w:ascii="Times New Roman" w:hAnsi="Times New Roman" w:cs="Times New Roman"/>
          <w:color w:val="000000"/>
        </w:rPr>
        <w:t>o que enfatiza</w:t>
      </w:r>
      <w:r w:rsidR="00892122">
        <w:rPr>
          <w:rFonts w:ascii="Times New Roman" w:hAnsi="Times New Roman" w:cs="Times New Roman"/>
          <w:color w:val="000000"/>
        </w:rPr>
        <w:t xml:space="preserve"> sua legitimidade precisamente</w:t>
      </w:r>
      <w:r w:rsidR="00D90018">
        <w:rPr>
          <w:rFonts w:ascii="Times New Roman" w:hAnsi="Times New Roman" w:cs="Times New Roman"/>
          <w:color w:val="000000"/>
        </w:rPr>
        <w:t xml:space="preserve"> porque são elas que se abrem</w:t>
      </w:r>
      <w:r w:rsidR="00892122">
        <w:rPr>
          <w:rFonts w:ascii="Times New Roman" w:hAnsi="Times New Roman" w:cs="Times New Roman"/>
          <w:color w:val="000000"/>
        </w:rPr>
        <w:t xml:space="preserve"> para o internacional, não</w:t>
      </w:r>
      <w:r w:rsidR="00D90018">
        <w:rPr>
          <w:rFonts w:ascii="Times New Roman" w:hAnsi="Times New Roman" w:cs="Times New Roman"/>
          <w:color w:val="000000"/>
        </w:rPr>
        <w:t xml:space="preserve"> se trata de uma</w:t>
      </w:r>
      <w:r w:rsidR="00892122">
        <w:rPr>
          <w:rFonts w:ascii="Times New Roman" w:hAnsi="Times New Roman" w:cs="Times New Roman"/>
          <w:color w:val="000000"/>
        </w:rPr>
        <w:t xml:space="preserve"> imposição unilateral</w:t>
      </w:r>
      <w:r w:rsidR="00FA2B0F">
        <w:rPr>
          <w:rFonts w:ascii="Times New Roman" w:hAnsi="Times New Roman" w:cs="Times New Roman"/>
          <w:color w:val="000000"/>
        </w:rPr>
        <w:t>.</w:t>
      </w:r>
      <w:r w:rsidR="00892122">
        <w:rPr>
          <w:rStyle w:val="FootnoteReference"/>
          <w:rFonts w:ascii="Times New Roman" w:hAnsi="Times New Roman" w:cs="Times New Roman"/>
          <w:color w:val="000000"/>
        </w:rPr>
        <w:footnoteReference w:id="43"/>
      </w:r>
      <w:r w:rsidR="00FA2B0F">
        <w:rPr>
          <w:rFonts w:ascii="Times New Roman" w:hAnsi="Times New Roman" w:cs="Times New Roman"/>
          <w:color w:val="000000"/>
        </w:rPr>
        <w:t xml:space="preserve"> </w:t>
      </w:r>
      <w:r w:rsidR="00A26DEF">
        <w:rPr>
          <w:rFonts w:ascii="Times New Roman" w:hAnsi="Times New Roman" w:cs="Times New Roman"/>
          <w:color w:val="000000"/>
        </w:rPr>
        <w:t>A</w:t>
      </w:r>
      <w:r w:rsidR="00985BFC">
        <w:rPr>
          <w:rFonts w:ascii="Times New Roman" w:hAnsi="Times New Roman" w:cs="Times New Roman"/>
          <w:color w:val="000000"/>
        </w:rPr>
        <w:t xml:space="preserve"> </w:t>
      </w:r>
      <w:r w:rsidR="00FA2B0F">
        <w:rPr>
          <w:rFonts w:ascii="Times New Roman" w:hAnsi="Times New Roman" w:cs="Times New Roman"/>
          <w:color w:val="000000"/>
        </w:rPr>
        <w:t>juri</w:t>
      </w:r>
      <w:r w:rsidR="00E01EF6">
        <w:rPr>
          <w:rFonts w:ascii="Times New Roman" w:hAnsi="Times New Roman" w:cs="Times New Roman"/>
          <w:color w:val="000000"/>
        </w:rPr>
        <w:t xml:space="preserve">sdição constitucional </w:t>
      </w:r>
      <w:r w:rsidR="00EA289C">
        <w:rPr>
          <w:rFonts w:ascii="Times New Roman" w:hAnsi="Times New Roman" w:cs="Times New Roman"/>
          <w:color w:val="000000"/>
        </w:rPr>
        <w:t xml:space="preserve">de cada Estado </w:t>
      </w:r>
      <w:r w:rsidR="00E01EF6">
        <w:rPr>
          <w:rFonts w:ascii="Times New Roman" w:hAnsi="Times New Roman" w:cs="Times New Roman"/>
          <w:color w:val="000000"/>
        </w:rPr>
        <w:t xml:space="preserve">tem como principal função a concretização do projeto de sociedade moldado pela Constituição, </w:t>
      </w:r>
      <w:r w:rsidR="00A26DEF">
        <w:rPr>
          <w:rFonts w:ascii="Times New Roman" w:hAnsi="Times New Roman" w:cs="Times New Roman"/>
          <w:color w:val="000000"/>
        </w:rPr>
        <w:t xml:space="preserve">o que se realiza </w:t>
      </w:r>
      <w:r w:rsidR="00E01EF6">
        <w:rPr>
          <w:rFonts w:ascii="Times New Roman" w:hAnsi="Times New Roman" w:cs="Times New Roman"/>
          <w:color w:val="000000"/>
        </w:rPr>
        <w:t xml:space="preserve">mediante a defesa argumentativa </w:t>
      </w:r>
      <w:r w:rsidR="00A26DEF">
        <w:rPr>
          <w:rFonts w:ascii="Times New Roman" w:hAnsi="Times New Roman" w:cs="Times New Roman"/>
          <w:color w:val="000000"/>
        </w:rPr>
        <w:t xml:space="preserve">e dialógica </w:t>
      </w:r>
      <w:r w:rsidR="00E01EF6">
        <w:rPr>
          <w:rFonts w:ascii="Times New Roman" w:hAnsi="Times New Roman" w:cs="Times New Roman"/>
          <w:color w:val="000000"/>
        </w:rPr>
        <w:t>das normas constitucionais, sobretudo de direitos humanos</w:t>
      </w:r>
      <w:r w:rsidR="00E01EF6">
        <w:rPr>
          <w:rStyle w:val="FootnoteReference"/>
          <w:rFonts w:ascii="Times New Roman" w:hAnsi="Times New Roman" w:cs="Times New Roman"/>
          <w:color w:val="000000"/>
        </w:rPr>
        <w:footnoteReference w:id="44"/>
      </w:r>
      <w:r w:rsidR="00A26DEF">
        <w:rPr>
          <w:rFonts w:ascii="Times New Roman" w:hAnsi="Times New Roman" w:cs="Times New Roman"/>
          <w:color w:val="000000"/>
        </w:rPr>
        <w:t xml:space="preserve">, </w:t>
      </w:r>
      <w:r w:rsidR="00B75BEB">
        <w:rPr>
          <w:rFonts w:ascii="Times New Roman" w:hAnsi="Times New Roman" w:cs="Times New Roman"/>
          <w:color w:val="000000"/>
        </w:rPr>
        <w:t xml:space="preserve">em um processo que conecta os discursos nacionais e regional especialmente através </w:t>
      </w:r>
      <w:r w:rsidR="00A26DEF">
        <w:rPr>
          <w:rFonts w:ascii="Times New Roman" w:hAnsi="Times New Roman" w:cs="Times New Roman"/>
          <w:color w:val="000000"/>
        </w:rPr>
        <w:t xml:space="preserve">de </w:t>
      </w:r>
      <w:r w:rsidR="00B75BEB">
        <w:rPr>
          <w:rFonts w:ascii="Times New Roman" w:hAnsi="Times New Roman" w:cs="Times New Roman"/>
          <w:color w:val="000000"/>
        </w:rPr>
        <w:t>diálogos judiciais</w:t>
      </w:r>
      <w:r w:rsidR="00E01EF6">
        <w:rPr>
          <w:rFonts w:ascii="Times New Roman" w:hAnsi="Times New Roman" w:cs="Times New Roman"/>
          <w:color w:val="000000"/>
        </w:rPr>
        <w:t>.</w:t>
      </w:r>
    </w:p>
    <w:p w14:paraId="610139E0" w14:textId="77777777" w:rsidR="00FB5627" w:rsidRDefault="00FB5627" w:rsidP="00420929">
      <w:pPr>
        <w:jc w:val="both"/>
        <w:rPr>
          <w:rFonts w:ascii="Times New Roman" w:hAnsi="Times New Roman" w:cs="Times New Roman"/>
          <w:color w:val="000000"/>
        </w:rPr>
      </w:pPr>
    </w:p>
    <w:p w14:paraId="55526B17" w14:textId="77777777" w:rsidR="003403B8" w:rsidRDefault="003403B8" w:rsidP="00420929">
      <w:pPr>
        <w:jc w:val="both"/>
        <w:rPr>
          <w:rFonts w:ascii="Times New Roman" w:hAnsi="Times New Roman" w:cs="Times New Roman"/>
          <w:color w:val="000000"/>
        </w:rPr>
      </w:pPr>
    </w:p>
    <w:p w14:paraId="3C33F80B" w14:textId="4FA8F701" w:rsidR="0035594A" w:rsidRPr="004D39D7" w:rsidRDefault="0035594A" w:rsidP="00420929">
      <w:pPr>
        <w:pStyle w:val="ListParagraph"/>
        <w:numPr>
          <w:ilvl w:val="0"/>
          <w:numId w:val="2"/>
        </w:numPr>
        <w:jc w:val="both"/>
        <w:rPr>
          <w:rFonts w:ascii="Times New Roman" w:hAnsi="Times New Roman" w:cs="Times New Roman"/>
          <w:b/>
          <w:color w:val="000000"/>
        </w:rPr>
      </w:pPr>
      <w:r w:rsidRPr="004D39D7">
        <w:rPr>
          <w:rFonts w:ascii="Times New Roman" w:hAnsi="Times New Roman" w:cs="Times New Roman"/>
          <w:b/>
          <w:color w:val="000000"/>
        </w:rPr>
        <w:t xml:space="preserve">DIÁLOGOS JUDICIAIS NO </w:t>
      </w:r>
      <w:r w:rsidRPr="004D39D7">
        <w:rPr>
          <w:rFonts w:ascii="Times New Roman" w:hAnsi="Times New Roman" w:cs="Times New Roman"/>
          <w:b/>
          <w:i/>
          <w:color w:val="000000"/>
        </w:rPr>
        <w:t>IUS CONSTITUTIONALE COMMUNE</w:t>
      </w:r>
      <w:r w:rsidRPr="004D39D7">
        <w:rPr>
          <w:rFonts w:ascii="Times New Roman" w:hAnsi="Times New Roman" w:cs="Times New Roman"/>
          <w:b/>
          <w:color w:val="000000"/>
        </w:rPr>
        <w:t xml:space="preserve"> LATINO-AMERICANO </w:t>
      </w:r>
    </w:p>
    <w:p w14:paraId="69A02B04" w14:textId="77777777" w:rsidR="009A17A3" w:rsidRDefault="009A17A3" w:rsidP="00420929">
      <w:pPr>
        <w:jc w:val="both"/>
        <w:rPr>
          <w:rFonts w:ascii="Times New Roman" w:hAnsi="Times New Roman" w:cs="Times New Roman"/>
          <w:color w:val="000000"/>
        </w:rPr>
      </w:pPr>
    </w:p>
    <w:p w14:paraId="55E334A2" w14:textId="77777777" w:rsidR="003403B8" w:rsidRDefault="003403B8" w:rsidP="00420929">
      <w:pPr>
        <w:jc w:val="both"/>
        <w:rPr>
          <w:rFonts w:ascii="Times New Roman" w:hAnsi="Times New Roman" w:cs="Times New Roman"/>
          <w:color w:val="000000"/>
        </w:rPr>
      </w:pPr>
    </w:p>
    <w:p w14:paraId="2847029A" w14:textId="64BA583F" w:rsidR="00AF1D09" w:rsidRDefault="00454FF3" w:rsidP="001E4451">
      <w:pPr>
        <w:ind w:firstLine="720"/>
        <w:jc w:val="both"/>
        <w:rPr>
          <w:rFonts w:ascii="Times New Roman" w:hAnsi="Times New Roman" w:cs="Times New Roman"/>
          <w:color w:val="000000"/>
        </w:rPr>
      </w:pPr>
      <w:r>
        <w:rPr>
          <w:rFonts w:ascii="Times New Roman" w:hAnsi="Times New Roman" w:cs="Times New Roman"/>
          <w:color w:val="000000"/>
        </w:rPr>
        <w:t>A fim de viabilizar uma agenda transformadora,</w:t>
      </w:r>
      <w:r w:rsidR="00842470">
        <w:rPr>
          <w:rFonts w:ascii="Times New Roman" w:hAnsi="Times New Roman" w:cs="Times New Roman"/>
          <w:color w:val="000000"/>
        </w:rPr>
        <w:t xml:space="preserve"> bem como integrar o pluralismo jurídico latino-americano de forma coerente</w:t>
      </w:r>
      <w:r w:rsidR="00842470">
        <w:rPr>
          <w:rStyle w:val="FootnoteReference"/>
          <w:rFonts w:ascii="Times New Roman" w:hAnsi="Times New Roman" w:cs="Times New Roman"/>
          <w:color w:val="000000"/>
        </w:rPr>
        <w:footnoteReference w:id="45"/>
      </w:r>
      <w:r w:rsidR="00842470">
        <w:rPr>
          <w:rFonts w:ascii="Times New Roman" w:hAnsi="Times New Roman" w:cs="Times New Roman"/>
          <w:color w:val="000000"/>
        </w:rPr>
        <w:t>,</w:t>
      </w:r>
      <w:r>
        <w:rPr>
          <w:rFonts w:ascii="Times New Roman" w:hAnsi="Times New Roman" w:cs="Times New Roman"/>
          <w:color w:val="000000"/>
        </w:rPr>
        <w:t xml:space="preserve"> o ICCAL deposita suas expectativas nos diálogos judiciais</w:t>
      </w:r>
      <w:r w:rsidR="00155054">
        <w:rPr>
          <w:rStyle w:val="FootnoteReference"/>
          <w:rFonts w:ascii="Times New Roman" w:hAnsi="Times New Roman" w:cs="Times New Roman"/>
          <w:color w:val="000000"/>
        </w:rPr>
        <w:footnoteReference w:id="46"/>
      </w:r>
      <w:r w:rsidR="00FB332A">
        <w:rPr>
          <w:rFonts w:ascii="Times New Roman" w:hAnsi="Times New Roman" w:cs="Times New Roman"/>
          <w:color w:val="000000"/>
        </w:rPr>
        <w:t>:</w:t>
      </w:r>
      <w:r>
        <w:rPr>
          <w:rFonts w:ascii="Times New Roman" w:hAnsi="Times New Roman" w:cs="Times New Roman"/>
          <w:color w:val="000000"/>
        </w:rPr>
        <w:t xml:space="preserve"> a interação transfronteiriça</w:t>
      </w:r>
      <w:r w:rsidR="002F4333">
        <w:rPr>
          <w:rStyle w:val="FootnoteReference"/>
          <w:rFonts w:ascii="Times New Roman" w:hAnsi="Times New Roman" w:cs="Times New Roman"/>
          <w:color w:val="000000"/>
        </w:rPr>
        <w:footnoteReference w:id="47"/>
      </w:r>
      <w:r>
        <w:rPr>
          <w:rFonts w:ascii="Times New Roman" w:hAnsi="Times New Roman" w:cs="Times New Roman"/>
          <w:color w:val="000000"/>
        </w:rPr>
        <w:t xml:space="preserve"> entre cortes nacionais e supranacionais em </w:t>
      </w:r>
      <w:r>
        <w:rPr>
          <w:rFonts w:ascii="Times New Roman" w:hAnsi="Times New Roman" w:cs="Times New Roman"/>
          <w:color w:val="000000"/>
        </w:rPr>
        <w:lastRenderedPageBreak/>
        <w:t>que se trocam fundamentos e argumentos no processo hermenêutico</w:t>
      </w:r>
      <w:r w:rsidR="000611BA">
        <w:rPr>
          <w:rStyle w:val="FootnoteReference"/>
          <w:rFonts w:ascii="Times New Roman" w:hAnsi="Times New Roman" w:cs="Times New Roman"/>
          <w:color w:val="000000"/>
        </w:rPr>
        <w:footnoteReference w:id="48"/>
      </w:r>
      <w:r>
        <w:rPr>
          <w:rFonts w:ascii="Times New Roman" w:hAnsi="Times New Roman" w:cs="Times New Roman"/>
          <w:color w:val="000000"/>
        </w:rPr>
        <w:t xml:space="preserve"> de construção da decisão</w:t>
      </w:r>
      <w:r w:rsidR="009B1ECC">
        <w:rPr>
          <w:rFonts w:ascii="Times New Roman" w:hAnsi="Times New Roman" w:cs="Times New Roman"/>
          <w:color w:val="000000"/>
        </w:rPr>
        <w:t xml:space="preserve"> sobre direitos humanos</w:t>
      </w:r>
      <w:r>
        <w:rPr>
          <w:rFonts w:ascii="Times New Roman" w:hAnsi="Times New Roman" w:cs="Times New Roman"/>
          <w:color w:val="000000"/>
        </w:rPr>
        <w:t>.</w:t>
      </w:r>
      <w:r w:rsidR="001E4451">
        <w:rPr>
          <w:rFonts w:ascii="Times New Roman" w:hAnsi="Times New Roman" w:cs="Times New Roman"/>
          <w:color w:val="000000"/>
        </w:rPr>
        <w:t xml:space="preserve"> Essa interação implica</w:t>
      </w:r>
      <w:r w:rsidR="001536C0">
        <w:rPr>
          <w:rFonts w:ascii="Times New Roman" w:hAnsi="Times New Roman" w:cs="Times New Roman"/>
          <w:color w:val="000000"/>
        </w:rPr>
        <w:t xml:space="preserve"> uma “troca ou discussão de ideias”, ou ainda uma “fala alternada”</w:t>
      </w:r>
      <w:r w:rsidR="001E4451">
        <w:rPr>
          <w:rFonts w:ascii="Times New Roman" w:hAnsi="Times New Roman" w:cs="Times New Roman"/>
          <w:color w:val="000000"/>
        </w:rPr>
        <w:t>,</w:t>
      </w:r>
      <w:r w:rsidR="001536C0">
        <w:rPr>
          <w:rStyle w:val="FootnoteReference"/>
          <w:rFonts w:ascii="Times New Roman" w:hAnsi="Times New Roman" w:cs="Times New Roman"/>
          <w:color w:val="000000"/>
        </w:rPr>
        <w:footnoteReference w:id="49"/>
      </w:r>
      <w:r w:rsidR="001E4451">
        <w:rPr>
          <w:rFonts w:ascii="Times New Roman" w:hAnsi="Times New Roman" w:cs="Times New Roman"/>
          <w:color w:val="000000"/>
        </w:rPr>
        <w:t xml:space="preserve"> de modo que </w:t>
      </w:r>
      <w:r w:rsidR="003E32B6">
        <w:rPr>
          <w:rFonts w:ascii="Times New Roman" w:hAnsi="Times New Roman" w:cs="Times New Roman"/>
          <w:color w:val="000000"/>
        </w:rPr>
        <w:t xml:space="preserve">a </w:t>
      </w:r>
      <w:r w:rsidR="003E32B6" w:rsidRPr="003E32B6">
        <w:rPr>
          <w:rFonts w:ascii="Times New Roman" w:hAnsi="Times New Roman" w:cs="Times New Roman"/>
          <w:color w:val="000000"/>
        </w:rPr>
        <w:t>interlocução</w:t>
      </w:r>
      <w:r w:rsidR="003E32B6">
        <w:rPr>
          <w:rFonts w:ascii="Times New Roman" w:hAnsi="Times New Roman" w:cs="Times New Roman"/>
          <w:color w:val="000000"/>
        </w:rPr>
        <w:t xml:space="preserve"> propicia tanto </w:t>
      </w:r>
      <w:r w:rsidR="003E32B6" w:rsidRPr="003E32B6">
        <w:rPr>
          <w:rFonts w:ascii="Times New Roman" w:hAnsi="Times New Roman" w:cs="Times New Roman"/>
          <w:color w:val="000000"/>
        </w:rPr>
        <w:t xml:space="preserve">momentos de fala, </w:t>
      </w:r>
      <w:r w:rsidR="003E32B6">
        <w:rPr>
          <w:rFonts w:ascii="Times New Roman" w:hAnsi="Times New Roman" w:cs="Times New Roman"/>
          <w:color w:val="000000"/>
        </w:rPr>
        <w:t>quanto de</w:t>
      </w:r>
      <w:r w:rsidR="003E32B6" w:rsidRPr="003E32B6">
        <w:rPr>
          <w:rFonts w:ascii="Times New Roman" w:hAnsi="Times New Roman" w:cs="Times New Roman"/>
          <w:color w:val="000000"/>
        </w:rPr>
        <w:t xml:space="preserve"> escuta.</w:t>
      </w:r>
      <w:r w:rsidR="002A6801">
        <w:rPr>
          <w:rFonts w:ascii="Times New Roman" w:hAnsi="Times New Roman" w:cs="Times New Roman"/>
          <w:color w:val="000000"/>
        </w:rPr>
        <w:t xml:space="preserve"> </w:t>
      </w:r>
    </w:p>
    <w:p w14:paraId="23D6969C" w14:textId="3AA95F09" w:rsidR="00390366" w:rsidRDefault="00E90DB6" w:rsidP="00420929">
      <w:pPr>
        <w:ind w:firstLine="720"/>
        <w:jc w:val="both"/>
        <w:rPr>
          <w:rFonts w:ascii="Times New Roman" w:hAnsi="Times New Roman" w:cs="Times New Roman"/>
          <w:color w:val="000000"/>
        </w:rPr>
      </w:pPr>
      <w:r>
        <w:rPr>
          <w:rFonts w:ascii="Times New Roman" w:hAnsi="Times New Roman" w:cs="Times New Roman"/>
          <w:color w:val="000000"/>
        </w:rPr>
        <w:t xml:space="preserve">Esses </w:t>
      </w:r>
      <w:r w:rsidR="00E97A2F">
        <w:rPr>
          <w:rFonts w:ascii="Times New Roman" w:hAnsi="Times New Roman" w:cs="Times New Roman"/>
          <w:color w:val="000000"/>
        </w:rPr>
        <w:t xml:space="preserve">diálogos se realizam entre órgãos jurisdicionais pertencentes a sistemas jurídicos distintos, ultrapassando </w:t>
      </w:r>
      <w:r w:rsidR="00267523">
        <w:rPr>
          <w:rFonts w:ascii="Times New Roman" w:hAnsi="Times New Roman" w:cs="Times New Roman"/>
          <w:color w:val="000000"/>
        </w:rPr>
        <w:t xml:space="preserve">as </w:t>
      </w:r>
      <w:r w:rsidR="00E97A2F">
        <w:rPr>
          <w:rFonts w:ascii="Times New Roman" w:hAnsi="Times New Roman" w:cs="Times New Roman"/>
          <w:color w:val="000000"/>
        </w:rPr>
        <w:t>fronteiras dos Estados.</w:t>
      </w:r>
      <w:r w:rsidR="00E03C3C">
        <w:rPr>
          <w:rFonts w:ascii="Times New Roman" w:hAnsi="Times New Roman" w:cs="Times New Roman"/>
          <w:color w:val="000000"/>
        </w:rPr>
        <w:t xml:space="preserve"> </w:t>
      </w:r>
      <w:r w:rsidR="00E406A2">
        <w:rPr>
          <w:rFonts w:ascii="Times New Roman" w:hAnsi="Times New Roman" w:cs="Times New Roman"/>
          <w:color w:val="000000"/>
        </w:rPr>
        <w:t>C</w:t>
      </w:r>
      <w:r w:rsidR="00E03C3C" w:rsidRPr="00E03C3C">
        <w:rPr>
          <w:rFonts w:ascii="Times New Roman" w:hAnsi="Times New Roman" w:cs="Times New Roman"/>
          <w:color w:val="000000"/>
        </w:rPr>
        <w:t>omo revela Neves, os diálogos judiciais criam “pontes de transição” entre as ordens jurídicas a partir de seus centros, que seriam os “juízes e tribunais”.</w:t>
      </w:r>
      <w:r w:rsidR="00E406A2">
        <w:rPr>
          <w:rStyle w:val="FootnoteReference"/>
          <w:rFonts w:ascii="Times New Roman" w:hAnsi="Times New Roman" w:cs="Times New Roman"/>
          <w:color w:val="000000"/>
        </w:rPr>
        <w:footnoteReference w:id="50"/>
      </w:r>
      <w:r w:rsidR="00E03C3C" w:rsidRPr="00E03C3C">
        <w:rPr>
          <w:rFonts w:ascii="Times New Roman" w:hAnsi="Times New Roman" w:cs="Times New Roman"/>
          <w:color w:val="000000"/>
        </w:rPr>
        <w:t xml:space="preserve"> Ou seja, ainda que se trate da atuação de um juiz singular, ele é concebido como integrante do centro criador da jurisprudência sobre direitos humanos de uma dada jurisdição, o que implica</w:t>
      </w:r>
      <w:r w:rsidR="006B3A23">
        <w:rPr>
          <w:rFonts w:ascii="Times New Roman" w:hAnsi="Times New Roman" w:cs="Times New Roman"/>
          <w:color w:val="000000"/>
        </w:rPr>
        <w:t xml:space="preserve"> reconhecer como interlocutores tanto</w:t>
      </w:r>
      <w:r w:rsidR="00E03C3C" w:rsidRPr="00E03C3C">
        <w:rPr>
          <w:rFonts w:ascii="Times New Roman" w:hAnsi="Times New Roman" w:cs="Times New Roman"/>
          <w:color w:val="000000"/>
        </w:rPr>
        <w:t xml:space="preserve"> cortes constitucionais ou</w:t>
      </w:r>
      <w:r w:rsidR="006B3A23">
        <w:rPr>
          <w:rFonts w:ascii="Times New Roman" w:hAnsi="Times New Roman" w:cs="Times New Roman"/>
          <w:color w:val="000000"/>
        </w:rPr>
        <w:t xml:space="preserve"> supranacionais</w:t>
      </w:r>
      <w:r w:rsidR="00E03C3C" w:rsidRPr="00E03C3C">
        <w:rPr>
          <w:rFonts w:ascii="Times New Roman" w:hAnsi="Times New Roman" w:cs="Times New Roman"/>
          <w:color w:val="000000"/>
        </w:rPr>
        <w:t xml:space="preserve">, </w:t>
      </w:r>
      <w:r w:rsidR="006B3A23">
        <w:rPr>
          <w:rFonts w:ascii="Times New Roman" w:hAnsi="Times New Roman" w:cs="Times New Roman"/>
          <w:color w:val="000000"/>
        </w:rPr>
        <w:t>como</w:t>
      </w:r>
      <w:r w:rsidR="00E03C3C" w:rsidRPr="00E03C3C">
        <w:rPr>
          <w:rFonts w:ascii="Times New Roman" w:hAnsi="Times New Roman" w:cs="Times New Roman"/>
          <w:color w:val="000000"/>
        </w:rPr>
        <w:t xml:space="preserve"> os juízes que os compõem.</w:t>
      </w:r>
      <w:r w:rsidR="00E406A2">
        <w:rPr>
          <w:rStyle w:val="FootnoteReference"/>
          <w:rFonts w:ascii="Times New Roman" w:hAnsi="Times New Roman" w:cs="Times New Roman"/>
          <w:color w:val="000000"/>
        </w:rPr>
        <w:footnoteReference w:id="51"/>
      </w:r>
      <w:r w:rsidR="00E03C3C" w:rsidRPr="00E03C3C">
        <w:rPr>
          <w:rFonts w:ascii="Times New Roman" w:hAnsi="Times New Roman" w:cs="Times New Roman"/>
          <w:color w:val="000000"/>
        </w:rPr>
        <w:t xml:space="preserve"> </w:t>
      </w:r>
      <w:r w:rsidR="006B3A23">
        <w:rPr>
          <w:rFonts w:ascii="Times New Roman" w:hAnsi="Times New Roman" w:cs="Times New Roman"/>
          <w:color w:val="000000"/>
        </w:rPr>
        <w:t xml:space="preserve">Assim, </w:t>
      </w:r>
      <w:r w:rsidR="00390366">
        <w:rPr>
          <w:rFonts w:ascii="Times New Roman" w:hAnsi="Times New Roman" w:cs="Times New Roman"/>
          <w:color w:val="000000"/>
        </w:rPr>
        <w:t>os diálogos judiciais</w:t>
      </w:r>
      <w:r w:rsidR="006B3A23">
        <w:rPr>
          <w:rFonts w:ascii="Times New Roman" w:hAnsi="Times New Roman" w:cs="Times New Roman"/>
          <w:color w:val="000000"/>
        </w:rPr>
        <w:t xml:space="preserve"> correspondem a</w:t>
      </w:r>
      <w:r w:rsidR="00390366">
        <w:rPr>
          <w:rFonts w:ascii="Times New Roman" w:hAnsi="Times New Roman" w:cs="Times New Roman"/>
          <w:color w:val="000000"/>
        </w:rPr>
        <w:t xml:space="preserve"> “</w:t>
      </w:r>
      <w:r w:rsidR="00390366" w:rsidRPr="00602CD7">
        <w:rPr>
          <w:rFonts w:ascii="Times New Roman" w:hAnsi="Times New Roman" w:cs="Times New Roman"/>
          <w:i/>
          <w:color w:val="000000"/>
        </w:rPr>
        <w:t>practice of domestic and international courts using the reasoning of other courts to construct a better interpretation of a legal norm contained in a constitution or treaty</w:t>
      </w:r>
      <w:r w:rsidR="00390366">
        <w:rPr>
          <w:rFonts w:ascii="Times New Roman" w:hAnsi="Times New Roman" w:cs="Times New Roman"/>
          <w:color w:val="000000"/>
        </w:rPr>
        <w:t>”</w:t>
      </w:r>
      <w:r w:rsidR="00E32584">
        <w:rPr>
          <w:rFonts w:ascii="Times New Roman" w:hAnsi="Times New Roman" w:cs="Times New Roman"/>
          <w:color w:val="000000"/>
        </w:rPr>
        <w:t xml:space="preserve">, de modo a promover uma </w:t>
      </w:r>
      <w:r w:rsidR="00390366">
        <w:rPr>
          <w:rFonts w:ascii="Times New Roman" w:hAnsi="Times New Roman" w:cs="Times New Roman"/>
          <w:color w:val="000000"/>
        </w:rPr>
        <w:t>“fertilização cruzada” de standards de direitos humanos.</w:t>
      </w:r>
      <w:r w:rsidR="004D3AA0">
        <w:rPr>
          <w:rStyle w:val="FootnoteReference"/>
          <w:rFonts w:ascii="Times New Roman" w:hAnsi="Times New Roman" w:cs="Times New Roman"/>
          <w:color w:val="000000"/>
        </w:rPr>
        <w:footnoteReference w:id="52"/>
      </w:r>
    </w:p>
    <w:p w14:paraId="59059907" w14:textId="030E4757" w:rsidR="00336557" w:rsidRPr="00BB5E5A" w:rsidRDefault="006B3A23" w:rsidP="00420929">
      <w:pPr>
        <w:ind w:firstLine="720"/>
        <w:jc w:val="both"/>
        <w:rPr>
          <w:rFonts w:ascii="Times New Roman" w:hAnsi="Times New Roman" w:cs="Times New Roman"/>
          <w:color w:val="000000"/>
        </w:rPr>
      </w:pPr>
      <w:r>
        <w:rPr>
          <w:rFonts w:ascii="Times New Roman" w:hAnsi="Times New Roman" w:cs="Times New Roman"/>
          <w:color w:val="000000"/>
        </w:rPr>
        <w:t>Originalmente concebida por Anne-Marie Slaughter, a</w:t>
      </w:r>
      <w:r w:rsidR="00336557">
        <w:rPr>
          <w:rFonts w:ascii="Times New Roman" w:hAnsi="Times New Roman" w:cs="Times New Roman"/>
          <w:color w:val="000000"/>
        </w:rPr>
        <w:t xml:space="preserve"> “fertilização cruzada”</w:t>
      </w:r>
      <w:r w:rsidR="00607A9A">
        <w:rPr>
          <w:rFonts w:ascii="Times New Roman" w:hAnsi="Times New Roman" w:cs="Times New Roman"/>
          <w:color w:val="000000"/>
        </w:rPr>
        <w:t xml:space="preserve"> viabiliza a disseminação de argumentos e fundamentos permitindo </w:t>
      </w:r>
      <w:r w:rsidR="00BB5E5A">
        <w:rPr>
          <w:rFonts w:ascii="Times New Roman" w:hAnsi="Times New Roman" w:cs="Times New Roman"/>
          <w:color w:val="000000"/>
        </w:rPr>
        <w:t xml:space="preserve">tanto </w:t>
      </w:r>
      <w:r w:rsidR="00607A9A">
        <w:rPr>
          <w:rFonts w:ascii="Times New Roman" w:hAnsi="Times New Roman" w:cs="Times New Roman"/>
          <w:color w:val="000000"/>
        </w:rPr>
        <w:t>que a jurisprudência regi</w:t>
      </w:r>
      <w:r w:rsidR="00BB5E5A">
        <w:rPr>
          <w:rFonts w:ascii="Times New Roman" w:hAnsi="Times New Roman" w:cs="Times New Roman"/>
          <w:color w:val="000000"/>
        </w:rPr>
        <w:t>onal ou internacional influencie</w:t>
      </w:r>
      <w:r w:rsidR="00607A9A">
        <w:rPr>
          <w:rFonts w:ascii="Times New Roman" w:hAnsi="Times New Roman" w:cs="Times New Roman"/>
          <w:color w:val="000000"/>
        </w:rPr>
        <w:t xml:space="preserve"> julgados proferidos por cortes nacionais, </w:t>
      </w:r>
      <w:r w:rsidR="00BB5E5A">
        <w:rPr>
          <w:rFonts w:ascii="Times New Roman" w:hAnsi="Times New Roman" w:cs="Times New Roman"/>
          <w:color w:val="000000"/>
        </w:rPr>
        <w:t>como o contrário, sem que se exclua</w:t>
      </w:r>
      <w:r w:rsidR="00B6445B">
        <w:rPr>
          <w:rFonts w:ascii="Times New Roman" w:hAnsi="Times New Roman" w:cs="Times New Roman"/>
          <w:color w:val="000000"/>
        </w:rPr>
        <w:t xml:space="preserve"> a possibilidade de a jurisprudê</w:t>
      </w:r>
      <w:r w:rsidR="00BB5E5A">
        <w:rPr>
          <w:rFonts w:ascii="Times New Roman" w:hAnsi="Times New Roman" w:cs="Times New Roman"/>
          <w:color w:val="000000"/>
        </w:rPr>
        <w:t>ncia de uma corte nacional orientar a produção jurisdicional de uma corte de outro Estado</w:t>
      </w:r>
      <w:r w:rsidR="00BB5E5A">
        <w:rPr>
          <w:rStyle w:val="FootnoteReference"/>
          <w:rFonts w:ascii="Times New Roman" w:hAnsi="Times New Roman" w:cs="Times New Roman"/>
          <w:color w:val="000000"/>
        </w:rPr>
        <w:footnoteReference w:id="53"/>
      </w:r>
      <w:r w:rsidR="00607A9A">
        <w:rPr>
          <w:rFonts w:ascii="Times New Roman" w:hAnsi="Times New Roman" w:cs="Times New Roman"/>
          <w:color w:val="000000"/>
        </w:rPr>
        <w:t>.</w:t>
      </w:r>
      <w:r w:rsidR="00BB5E5A">
        <w:rPr>
          <w:rFonts w:ascii="Times New Roman" w:hAnsi="Times New Roman" w:cs="Times New Roman"/>
          <w:color w:val="000000"/>
        </w:rPr>
        <w:t xml:space="preserve"> </w:t>
      </w:r>
      <w:r w:rsidR="001F7457">
        <w:rPr>
          <w:rFonts w:ascii="Times New Roman" w:hAnsi="Times New Roman" w:cs="Times New Roman"/>
          <w:color w:val="000000"/>
        </w:rPr>
        <w:t>E</w:t>
      </w:r>
      <w:r w:rsidR="00BB5E5A">
        <w:rPr>
          <w:rFonts w:ascii="Times New Roman" w:hAnsi="Times New Roman" w:cs="Times New Roman"/>
          <w:color w:val="000000"/>
        </w:rPr>
        <w:t xml:space="preserve">m escala global, </w:t>
      </w:r>
      <w:r w:rsidR="00DA39AB">
        <w:rPr>
          <w:rFonts w:ascii="Times New Roman" w:hAnsi="Times New Roman" w:cs="Times New Roman"/>
          <w:color w:val="000000"/>
        </w:rPr>
        <w:t>não se pode prever</w:t>
      </w:r>
      <w:r w:rsidR="00BB5E5A">
        <w:rPr>
          <w:rFonts w:ascii="Times New Roman" w:hAnsi="Times New Roman" w:cs="Times New Roman"/>
          <w:color w:val="000000"/>
        </w:rPr>
        <w:t xml:space="preserve"> quais serão as cortes impactadas, e em que grau, </w:t>
      </w:r>
      <w:r w:rsidR="00BE7A13">
        <w:rPr>
          <w:rFonts w:ascii="Times New Roman" w:hAnsi="Times New Roman" w:cs="Times New Roman"/>
          <w:color w:val="000000"/>
        </w:rPr>
        <w:t>já</w:t>
      </w:r>
      <w:r w:rsidR="00BB5E5A">
        <w:rPr>
          <w:rFonts w:ascii="Times New Roman" w:hAnsi="Times New Roman" w:cs="Times New Roman"/>
          <w:color w:val="000000"/>
        </w:rPr>
        <w:t xml:space="preserve"> que não há controle na atuação independente dos centros jurisdicionais.</w:t>
      </w:r>
      <w:r w:rsidR="00BB5E5A">
        <w:rPr>
          <w:rStyle w:val="FootnoteReference"/>
          <w:rFonts w:ascii="Times New Roman" w:hAnsi="Times New Roman" w:cs="Times New Roman"/>
          <w:color w:val="000000"/>
        </w:rPr>
        <w:footnoteReference w:id="54"/>
      </w:r>
      <w:r w:rsidR="00BB5E5A">
        <w:rPr>
          <w:rFonts w:ascii="Times New Roman" w:hAnsi="Times New Roman" w:cs="Times New Roman"/>
          <w:color w:val="000000"/>
        </w:rPr>
        <w:t xml:space="preserve"> O impulso para essas trocas argumentativas pode se</w:t>
      </w:r>
      <w:r w:rsidR="00FB5E37">
        <w:rPr>
          <w:rFonts w:ascii="Times New Roman" w:hAnsi="Times New Roman" w:cs="Times New Roman"/>
          <w:color w:val="000000"/>
        </w:rPr>
        <w:t>r dado</w:t>
      </w:r>
      <w:r w:rsidR="00BB5E5A">
        <w:rPr>
          <w:rFonts w:ascii="Times New Roman" w:hAnsi="Times New Roman" w:cs="Times New Roman"/>
          <w:color w:val="000000"/>
        </w:rPr>
        <w:t xml:space="preserve"> tanto pela iniciativa dos próprios juízes, quanto pelas manifestações das partes ou de </w:t>
      </w:r>
      <w:r w:rsidR="00BB5E5A">
        <w:rPr>
          <w:rFonts w:ascii="Times New Roman" w:hAnsi="Times New Roman" w:cs="Times New Roman"/>
          <w:i/>
          <w:color w:val="000000"/>
        </w:rPr>
        <w:t>amicci curiae</w:t>
      </w:r>
      <w:r w:rsidR="00BB5E5A">
        <w:rPr>
          <w:rFonts w:ascii="Times New Roman" w:hAnsi="Times New Roman" w:cs="Times New Roman"/>
          <w:color w:val="000000"/>
        </w:rPr>
        <w:t xml:space="preserve">, levando às cortes nacionais e estrangeiras diferentes decisões, com pesos variados a depender </w:t>
      </w:r>
      <w:r w:rsidR="00AE2011">
        <w:rPr>
          <w:rFonts w:ascii="Times New Roman" w:hAnsi="Times New Roman" w:cs="Times New Roman"/>
          <w:color w:val="000000"/>
        </w:rPr>
        <w:t>do papel da decisão estrangeira no sistema</w:t>
      </w:r>
      <w:r w:rsidR="00BB5E5A">
        <w:rPr>
          <w:rFonts w:ascii="Times New Roman" w:hAnsi="Times New Roman" w:cs="Times New Roman"/>
          <w:color w:val="000000"/>
        </w:rPr>
        <w:t>.</w:t>
      </w:r>
      <w:r w:rsidR="00AE2011" w:rsidRPr="001F7457">
        <w:rPr>
          <w:rStyle w:val="FootnoteReference"/>
          <w:rFonts w:ascii="Times New Roman" w:hAnsi="Times New Roman" w:cs="Times New Roman"/>
        </w:rPr>
        <w:t xml:space="preserve"> </w:t>
      </w:r>
      <w:r w:rsidR="00AE2011" w:rsidRPr="001F7457">
        <w:rPr>
          <w:rStyle w:val="FootnoteReference"/>
          <w:rFonts w:ascii="Times New Roman" w:hAnsi="Times New Roman" w:cs="Times New Roman"/>
        </w:rPr>
        <w:footnoteReference w:id="55"/>
      </w:r>
    </w:p>
    <w:p w14:paraId="2F3E5DE9" w14:textId="4CBD474C" w:rsidR="00336557" w:rsidRDefault="00AE2011" w:rsidP="00420929">
      <w:pPr>
        <w:ind w:firstLine="720"/>
        <w:jc w:val="both"/>
        <w:rPr>
          <w:rFonts w:ascii="Times New Roman" w:hAnsi="Times New Roman" w:cs="Times New Roman"/>
          <w:color w:val="000000"/>
        </w:rPr>
      </w:pPr>
      <w:r>
        <w:rPr>
          <w:rFonts w:ascii="Times New Roman" w:hAnsi="Times New Roman" w:cs="Times New Roman"/>
          <w:color w:val="000000"/>
        </w:rPr>
        <w:t xml:space="preserve">No caso do sistema interamericano de direitos humanos, e mais propriamente do </w:t>
      </w:r>
      <w:r w:rsidRPr="00290097">
        <w:rPr>
          <w:rFonts w:ascii="Times New Roman" w:hAnsi="Times New Roman" w:cs="Times New Roman"/>
          <w:i/>
          <w:color w:val="000000"/>
        </w:rPr>
        <w:t>Ius Commune</w:t>
      </w:r>
      <w:r>
        <w:rPr>
          <w:rFonts w:ascii="Times New Roman" w:hAnsi="Times New Roman" w:cs="Times New Roman"/>
          <w:color w:val="000000"/>
        </w:rPr>
        <w:t xml:space="preserve"> que se erige a partir dele, a “fertilização cruzada” assume nuances mais</w:t>
      </w:r>
      <w:r w:rsidR="00290097">
        <w:rPr>
          <w:rFonts w:ascii="Times New Roman" w:hAnsi="Times New Roman" w:cs="Times New Roman"/>
          <w:color w:val="000000"/>
        </w:rPr>
        <w:t xml:space="preserve"> específicas e menos aleatórias, seja em razão do próprio corpo normativo que serve de suporte para o diálogo</w:t>
      </w:r>
      <w:r w:rsidR="00EB3A02">
        <w:rPr>
          <w:rFonts w:ascii="Times New Roman" w:hAnsi="Times New Roman" w:cs="Times New Roman"/>
          <w:color w:val="000000"/>
        </w:rPr>
        <w:t xml:space="preserve"> (o bloco de constitucionalidade)</w:t>
      </w:r>
      <w:r w:rsidR="00290097">
        <w:rPr>
          <w:rFonts w:ascii="Times New Roman" w:hAnsi="Times New Roman" w:cs="Times New Roman"/>
          <w:color w:val="000000"/>
        </w:rPr>
        <w:t xml:space="preserve">, seja em razão do compromisso </w:t>
      </w:r>
      <w:r w:rsidR="00EB3A02">
        <w:rPr>
          <w:rFonts w:ascii="Times New Roman" w:hAnsi="Times New Roman" w:cs="Times New Roman"/>
          <w:color w:val="000000"/>
        </w:rPr>
        <w:t xml:space="preserve">a ser </w:t>
      </w:r>
      <w:r w:rsidR="00290097">
        <w:rPr>
          <w:rFonts w:ascii="Times New Roman" w:hAnsi="Times New Roman" w:cs="Times New Roman"/>
          <w:color w:val="000000"/>
        </w:rPr>
        <w:t xml:space="preserve">assumido pelos juízes </w:t>
      </w:r>
      <w:r w:rsidR="00EB3A02">
        <w:rPr>
          <w:rFonts w:ascii="Times New Roman" w:hAnsi="Times New Roman" w:cs="Times New Roman"/>
          <w:color w:val="000000"/>
        </w:rPr>
        <w:t>enquanto agentes estatais aderentes ao</w:t>
      </w:r>
      <w:r w:rsidR="00290097">
        <w:rPr>
          <w:rFonts w:ascii="Times New Roman" w:hAnsi="Times New Roman" w:cs="Times New Roman"/>
          <w:color w:val="000000"/>
        </w:rPr>
        <w:t xml:space="preserve"> sistema</w:t>
      </w:r>
      <w:r w:rsidR="00D37D9F">
        <w:rPr>
          <w:rFonts w:ascii="Times New Roman" w:hAnsi="Times New Roman" w:cs="Times New Roman"/>
          <w:color w:val="000000"/>
        </w:rPr>
        <w:t xml:space="preserve"> (vinculação)</w:t>
      </w:r>
      <w:r w:rsidR="00290097">
        <w:rPr>
          <w:rFonts w:ascii="Times New Roman" w:hAnsi="Times New Roman" w:cs="Times New Roman"/>
          <w:color w:val="000000"/>
        </w:rPr>
        <w:t>.</w:t>
      </w:r>
    </w:p>
    <w:p w14:paraId="47CCA6F5" w14:textId="7B84CD63" w:rsidR="00290097" w:rsidRDefault="006310C6" w:rsidP="007E626E">
      <w:pPr>
        <w:ind w:firstLine="720"/>
        <w:jc w:val="both"/>
        <w:rPr>
          <w:rFonts w:ascii="Times New Roman" w:hAnsi="Times New Roman" w:cs="Times New Roman"/>
          <w:color w:val="000000"/>
        </w:rPr>
      </w:pPr>
      <w:r>
        <w:rPr>
          <w:rFonts w:ascii="Times New Roman" w:hAnsi="Times New Roman" w:cs="Times New Roman"/>
          <w:color w:val="000000"/>
        </w:rPr>
        <w:t>No primei</w:t>
      </w:r>
      <w:r w:rsidR="00F742F2">
        <w:rPr>
          <w:rFonts w:ascii="Times New Roman" w:hAnsi="Times New Roman" w:cs="Times New Roman"/>
          <w:color w:val="000000"/>
        </w:rPr>
        <w:t>r</w:t>
      </w:r>
      <w:r>
        <w:rPr>
          <w:rFonts w:ascii="Times New Roman" w:hAnsi="Times New Roman" w:cs="Times New Roman"/>
          <w:color w:val="000000"/>
        </w:rPr>
        <w:t>o</w:t>
      </w:r>
      <w:r w:rsidR="00F742F2">
        <w:rPr>
          <w:rFonts w:ascii="Times New Roman" w:hAnsi="Times New Roman" w:cs="Times New Roman"/>
          <w:color w:val="000000"/>
        </w:rPr>
        <w:t xml:space="preserve"> aspecto</w:t>
      </w:r>
      <w:r w:rsidR="006869C4">
        <w:rPr>
          <w:rFonts w:ascii="Times New Roman" w:hAnsi="Times New Roman" w:cs="Times New Roman"/>
          <w:color w:val="000000"/>
        </w:rPr>
        <w:t xml:space="preserve">, </w:t>
      </w:r>
      <w:r w:rsidR="008F24B2">
        <w:rPr>
          <w:rFonts w:ascii="Times New Roman" w:hAnsi="Times New Roman" w:cs="Times New Roman"/>
          <w:color w:val="000000"/>
        </w:rPr>
        <w:t>salienta-se</w:t>
      </w:r>
      <w:r w:rsidR="006869C4">
        <w:rPr>
          <w:rFonts w:ascii="Times New Roman" w:hAnsi="Times New Roman" w:cs="Times New Roman"/>
          <w:color w:val="000000"/>
        </w:rPr>
        <w:t xml:space="preserve"> que as normas jurídicas </w:t>
      </w:r>
      <w:r w:rsidR="00F742F2">
        <w:rPr>
          <w:rFonts w:ascii="Times New Roman" w:hAnsi="Times New Roman" w:cs="Times New Roman"/>
          <w:color w:val="000000"/>
        </w:rPr>
        <w:t>convencionais</w:t>
      </w:r>
      <w:r w:rsidR="008F24B2">
        <w:rPr>
          <w:rFonts w:ascii="Times New Roman" w:hAnsi="Times New Roman" w:cs="Times New Roman"/>
          <w:color w:val="000000"/>
        </w:rPr>
        <w:t xml:space="preserve"> de</w:t>
      </w:r>
      <w:r w:rsidR="00F742F2">
        <w:rPr>
          <w:rFonts w:ascii="Times New Roman" w:hAnsi="Times New Roman" w:cs="Times New Roman"/>
          <w:color w:val="000000"/>
        </w:rPr>
        <w:t xml:space="preserve"> direitos humanos</w:t>
      </w:r>
      <w:r w:rsidR="006869C4">
        <w:rPr>
          <w:rFonts w:ascii="Times New Roman" w:hAnsi="Times New Roman" w:cs="Times New Roman"/>
          <w:color w:val="000000"/>
        </w:rPr>
        <w:t xml:space="preserve"> deixaram de ter sede exclusivamente internacional para serem incorporadas nas constituições </w:t>
      </w:r>
      <w:r w:rsidR="00BB15FD">
        <w:rPr>
          <w:rFonts w:ascii="Times New Roman" w:hAnsi="Times New Roman" w:cs="Times New Roman"/>
          <w:color w:val="000000"/>
        </w:rPr>
        <w:t>em um processo de constitucionalizaçã</w:t>
      </w:r>
      <w:r w:rsidR="00B52033">
        <w:rPr>
          <w:rFonts w:ascii="Times New Roman" w:hAnsi="Times New Roman" w:cs="Times New Roman"/>
          <w:color w:val="000000"/>
        </w:rPr>
        <w:t>o responsável pela formação de um</w:t>
      </w:r>
      <w:r w:rsidR="008F36C6">
        <w:rPr>
          <w:rFonts w:ascii="Times New Roman" w:hAnsi="Times New Roman" w:cs="Times New Roman"/>
          <w:color w:val="000000"/>
        </w:rPr>
        <w:t xml:space="preserve"> bloco </w:t>
      </w:r>
      <w:r w:rsidR="008F36C6">
        <w:rPr>
          <w:rFonts w:ascii="Times New Roman" w:hAnsi="Times New Roman" w:cs="Times New Roman"/>
          <w:color w:val="000000"/>
        </w:rPr>
        <w:lastRenderedPageBreak/>
        <w:t>de constitucionalidade.</w:t>
      </w:r>
      <w:r w:rsidR="00C80403">
        <w:rPr>
          <w:rStyle w:val="FootnoteReference"/>
          <w:rFonts w:ascii="Times New Roman" w:hAnsi="Times New Roman" w:cs="Times New Roman"/>
          <w:color w:val="000000"/>
        </w:rPr>
        <w:footnoteReference w:id="56"/>
      </w:r>
      <w:r w:rsidR="00BB15FD">
        <w:rPr>
          <w:rFonts w:ascii="Times New Roman" w:hAnsi="Times New Roman" w:cs="Times New Roman"/>
          <w:color w:val="000000"/>
        </w:rPr>
        <w:t xml:space="preserve"> Essa constitucionalização implica um processo </w:t>
      </w:r>
      <w:r w:rsidR="003517AF">
        <w:rPr>
          <w:rFonts w:ascii="Times New Roman" w:hAnsi="Times New Roman" w:cs="Times New Roman"/>
          <w:color w:val="000000"/>
        </w:rPr>
        <w:t>em que</w:t>
      </w:r>
      <w:r w:rsidR="00BB15FD">
        <w:rPr>
          <w:rFonts w:ascii="Times New Roman" w:hAnsi="Times New Roman" w:cs="Times New Roman"/>
          <w:color w:val="000000"/>
        </w:rPr>
        <w:t xml:space="preserve"> </w:t>
      </w:r>
      <w:r w:rsidR="003517AF">
        <w:rPr>
          <w:rFonts w:ascii="Times New Roman" w:hAnsi="Times New Roman" w:cs="Times New Roman"/>
          <w:color w:val="000000"/>
        </w:rPr>
        <w:t xml:space="preserve">seja </w:t>
      </w:r>
      <w:r w:rsidR="00BB15FD">
        <w:rPr>
          <w:rFonts w:ascii="Times New Roman" w:hAnsi="Times New Roman" w:cs="Times New Roman"/>
          <w:color w:val="000000"/>
        </w:rPr>
        <w:t xml:space="preserve">assembleias constituintes, </w:t>
      </w:r>
      <w:r w:rsidR="003517AF">
        <w:rPr>
          <w:rFonts w:ascii="Times New Roman" w:hAnsi="Times New Roman" w:cs="Times New Roman"/>
          <w:color w:val="000000"/>
        </w:rPr>
        <w:t>seja</w:t>
      </w:r>
      <w:r w:rsidR="00BB15FD">
        <w:rPr>
          <w:rFonts w:ascii="Times New Roman" w:hAnsi="Times New Roman" w:cs="Times New Roman"/>
          <w:color w:val="000000"/>
        </w:rPr>
        <w:t xml:space="preserve"> </w:t>
      </w:r>
      <w:r w:rsidR="00F37AE1">
        <w:rPr>
          <w:rFonts w:ascii="Times New Roman" w:hAnsi="Times New Roman" w:cs="Times New Roman"/>
          <w:color w:val="000000"/>
        </w:rPr>
        <w:t>a jurisdição constitucional</w:t>
      </w:r>
      <w:r w:rsidR="00BB15FD">
        <w:rPr>
          <w:rFonts w:ascii="Times New Roman" w:hAnsi="Times New Roman" w:cs="Times New Roman"/>
          <w:color w:val="000000"/>
        </w:rPr>
        <w:t xml:space="preserve"> atribuem às normas de tratados internacionais de direitos humanos</w:t>
      </w:r>
      <w:r w:rsidR="009512A4">
        <w:rPr>
          <w:rStyle w:val="FootnoteReference"/>
          <w:rFonts w:ascii="Times New Roman" w:hAnsi="Times New Roman" w:cs="Times New Roman"/>
          <w:color w:val="000000"/>
        </w:rPr>
        <w:footnoteReference w:id="57"/>
      </w:r>
      <w:r w:rsidR="00BB15FD">
        <w:rPr>
          <w:rFonts w:ascii="Times New Roman" w:hAnsi="Times New Roman" w:cs="Times New Roman"/>
          <w:color w:val="000000"/>
        </w:rPr>
        <w:t xml:space="preserve"> um </w:t>
      </w:r>
      <w:r w:rsidR="00BB15FD" w:rsidRPr="00EC49A4">
        <w:rPr>
          <w:rFonts w:ascii="Times New Roman" w:hAnsi="Times New Roman" w:cs="Times New Roman"/>
          <w:i/>
          <w:color w:val="000000"/>
        </w:rPr>
        <w:t>status</w:t>
      </w:r>
      <w:r w:rsidR="00BB15FD">
        <w:rPr>
          <w:rFonts w:ascii="Times New Roman" w:hAnsi="Times New Roman" w:cs="Times New Roman"/>
          <w:color w:val="000000"/>
        </w:rPr>
        <w:t xml:space="preserve"> constitucional, ou, ao menos, </w:t>
      </w:r>
      <w:r w:rsidR="00BB15FD" w:rsidRPr="00EC49A4">
        <w:rPr>
          <w:rFonts w:ascii="Times New Roman" w:hAnsi="Times New Roman" w:cs="Times New Roman"/>
          <w:i/>
          <w:color w:val="000000"/>
        </w:rPr>
        <w:t>status</w:t>
      </w:r>
      <w:r w:rsidR="00BB15FD">
        <w:rPr>
          <w:rFonts w:ascii="Times New Roman" w:hAnsi="Times New Roman" w:cs="Times New Roman"/>
          <w:color w:val="000000"/>
        </w:rPr>
        <w:t xml:space="preserve"> hierarquicamente superior às normas infraconstitucionais de modo a demandar uma interpretação harmônica.</w:t>
      </w:r>
      <w:r w:rsidR="00F37AE1">
        <w:rPr>
          <w:rFonts w:ascii="Times New Roman" w:hAnsi="Times New Roman" w:cs="Times New Roman"/>
          <w:color w:val="000000"/>
        </w:rPr>
        <w:t xml:space="preserve"> </w:t>
      </w:r>
      <w:r w:rsidR="0015473B">
        <w:rPr>
          <w:rFonts w:ascii="Times New Roman" w:hAnsi="Times New Roman" w:cs="Times New Roman"/>
          <w:color w:val="000000"/>
        </w:rPr>
        <w:t>Esse bloco</w:t>
      </w:r>
      <w:r w:rsidR="002B0178">
        <w:rPr>
          <w:rFonts w:ascii="Times New Roman" w:hAnsi="Times New Roman" w:cs="Times New Roman"/>
          <w:color w:val="000000"/>
        </w:rPr>
        <w:t xml:space="preserve"> </w:t>
      </w:r>
      <w:r w:rsidR="002B0178" w:rsidRPr="002B0178">
        <w:rPr>
          <w:rFonts w:ascii="Times New Roman" w:hAnsi="Times New Roman" w:cs="Times New Roman"/>
          <w:color w:val="000000" w:themeColor="text1"/>
        </w:rPr>
        <w:t>de</w:t>
      </w:r>
      <w:r w:rsidR="002B0178">
        <w:rPr>
          <w:rFonts w:ascii="Times New Roman" w:hAnsi="Times New Roman" w:cs="Times New Roman"/>
          <w:color w:val="000000"/>
        </w:rPr>
        <w:t xml:space="preserve"> </w:t>
      </w:r>
      <w:r w:rsidR="0015473B">
        <w:rPr>
          <w:rFonts w:ascii="Times New Roman" w:hAnsi="Times New Roman" w:cs="Times New Roman"/>
          <w:color w:val="000000"/>
        </w:rPr>
        <w:t xml:space="preserve"> </w:t>
      </w:r>
      <w:r w:rsidR="003F7403">
        <w:rPr>
          <w:rFonts w:ascii="Times New Roman" w:hAnsi="Times New Roman" w:cs="Times New Roman"/>
          <w:color w:val="000000"/>
        </w:rPr>
        <w:t>constitucionalidade</w:t>
      </w:r>
      <w:r w:rsidR="00BA3148">
        <w:rPr>
          <w:rFonts w:ascii="Times New Roman" w:hAnsi="Times New Roman" w:cs="Times New Roman"/>
          <w:color w:val="000000"/>
        </w:rPr>
        <w:t>, enquanto</w:t>
      </w:r>
      <w:r w:rsidR="003F7403">
        <w:rPr>
          <w:rFonts w:ascii="Times New Roman" w:hAnsi="Times New Roman" w:cs="Times New Roman"/>
          <w:color w:val="000000"/>
        </w:rPr>
        <w:t xml:space="preserve"> </w:t>
      </w:r>
      <w:r w:rsidR="003F7403" w:rsidRPr="002B0178">
        <w:rPr>
          <w:rFonts w:ascii="Times Roman" w:hAnsi="Times Roman" w:cs="Times Roman"/>
          <w:color w:val="1F1C1D"/>
        </w:rPr>
        <w:t>“</w:t>
      </w:r>
      <w:r w:rsidR="003F7403" w:rsidRPr="002B0178">
        <w:rPr>
          <w:rFonts w:ascii="Times Roman" w:hAnsi="Times Roman" w:cs="Times Roman"/>
          <w:i/>
          <w:color w:val="1F1C1D"/>
        </w:rPr>
        <w:t>conjunto normativo que contiene disposiciones, principios o valores materialmente constitucionales, fuera del texto de la Constitución documental</w:t>
      </w:r>
      <w:r w:rsidR="003F7403" w:rsidRPr="002B0178">
        <w:rPr>
          <w:rFonts w:ascii="Times Roman" w:hAnsi="Times Roman" w:cs="Times Roman"/>
          <w:color w:val="1F1C1D"/>
        </w:rPr>
        <w:t>”</w:t>
      </w:r>
      <w:r w:rsidR="003F7403" w:rsidRPr="00BA3148">
        <w:rPr>
          <w:rStyle w:val="FootnoteReference"/>
          <w:rFonts w:ascii="Times New Roman" w:hAnsi="Times New Roman" w:cs="Times New Roman"/>
          <w:color w:val="1F1C1D"/>
          <w:lang w:val="en-US"/>
        </w:rPr>
        <w:footnoteReference w:id="58"/>
      </w:r>
      <w:r w:rsidR="007E626E">
        <w:rPr>
          <w:rFonts w:ascii="Times New Roman" w:hAnsi="Times New Roman" w:cs="Times New Roman"/>
          <w:color w:val="000000"/>
        </w:rPr>
        <w:t xml:space="preserve"> </w:t>
      </w:r>
      <w:r w:rsidR="00F37AE1">
        <w:rPr>
          <w:rFonts w:ascii="Times New Roman" w:hAnsi="Times New Roman" w:cs="Times New Roman"/>
          <w:color w:val="000000"/>
        </w:rPr>
        <w:t>autoriza, de um lado, que o controle de constitucionalidade interno tenha por parâmetros normas de direitos humanos, e de outro, que esses direitos humanos possam ser tutelados a partir de remédios jurídicos internos, como a tutela (Colômbia), o amparo (México) ou o mandado de segurança (Brasil).</w:t>
      </w:r>
      <w:r w:rsidR="00057293">
        <w:rPr>
          <w:rStyle w:val="FootnoteReference"/>
          <w:rFonts w:ascii="Times New Roman" w:hAnsi="Times New Roman" w:cs="Times New Roman"/>
          <w:color w:val="000000"/>
        </w:rPr>
        <w:footnoteReference w:id="59"/>
      </w:r>
      <w:r w:rsidR="00BB15FD">
        <w:rPr>
          <w:rFonts w:ascii="Times New Roman" w:hAnsi="Times New Roman" w:cs="Times New Roman"/>
          <w:color w:val="000000"/>
        </w:rPr>
        <w:t xml:space="preserve"> </w:t>
      </w:r>
    </w:p>
    <w:p w14:paraId="0F7C8A30" w14:textId="642753CE" w:rsidR="00AE2011" w:rsidRPr="003323A5" w:rsidRDefault="00D9648B" w:rsidP="004A0FF2">
      <w:pPr>
        <w:ind w:firstLine="720"/>
        <w:jc w:val="both"/>
        <w:rPr>
          <w:rFonts w:ascii="Times New Roman" w:hAnsi="Times New Roman" w:cs="Times New Roman"/>
          <w:color w:val="000000"/>
        </w:rPr>
      </w:pPr>
      <w:r>
        <w:rPr>
          <w:rFonts w:ascii="Times New Roman" w:hAnsi="Times New Roman" w:cs="Times New Roman"/>
          <w:color w:val="000000"/>
        </w:rPr>
        <w:t>Se constituições como a colombiana de 1991, a argentin</w:t>
      </w:r>
      <w:r w:rsidR="00BA0236">
        <w:rPr>
          <w:rFonts w:ascii="Times New Roman" w:hAnsi="Times New Roman" w:cs="Times New Roman"/>
          <w:color w:val="000000"/>
        </w:rPr>
        <w:t>a de 1994</w:t>
      </w:r>
      <w:r w:rsidR="00B52033">
        <w:rPr>
          <w:rFonts w:ascii="Times New Roman" w:hAnsi="Times New Roman" w:cs="Times New Roman"/>
          <w:color w:val="000000"/>
        </w:rPr>
        <w:t>,</w:t>
      </w:r>
      <w:r w:rsidR="00BA0236">
        <w:rPr>
          <w:rFonts w:ascii="Times New Roman" w:hAnsi="Times New Roman" w:cs="Times New Roman"/>
          <w:color w:val="000000"/>
        </w:rPr>
        <w:t xml:space="preserve"> e a venezuelana de 1999</w:t>
      </w:r>
      <w:r>
        <w:rPr>
          <w:rFonts w:ascii="Times New Roman" w:hAnsi="Times New Roman" w:cs="Times New Roman"/>
          <w:color w:val="000000"/>
        </w:rPr>
        <w:t xml:space="preserve"> estabelecem expressamente a formação do bloco de constitucionalidade mediante o conglobamento de normas constitucionais e tratados internacionais de direitos humanos dos quais os Estados sejam parte, outros sistemas jurídicos internos dependem em maior esc</w:t>
      </w:r>
      <w:r w:rsidR="00B52033">
        <w:rPr>
          <w:rFonts w:ascii="Times New Roman" w:hAnsi="Times New Roman" w:cs="Times New Roman"/>
          <w:color w:val="000000"/>
        </w:rPr>
        <w:t>ala de criações jurisprudenciais.</w:t>
      </w:r>
      <w:r w:rsidR="00BE035F">
        <w:rPr>
          <w:rStyle w:val="FootnoteReference"/>
          <w:rFonts w:ascii="Times New Roman" w:hAnsi="Times New Roman" w:cs="Times New Roman"/>
          <w:color w:val="000000"/>
        </w:rPr>
        <w:footnoteReference w:id="60"/>
      </w:r>
      <w:r w:rsidR="006B5B81">
        <w:rPr>
          <w:rFonts w:ascii="Times New Roman" w:hAnsi="Times New Roman" w:cs="Times New Roman"/>
          <w:color w:val="000000"/>
        </w:rPr>
        <w:t xml:space="preserve"> Ainda assim, a doutrina do bloco de constitucionalidade </w:t>
      </w:r>
      <w:r w:rsidR="00B52033">
        <w:rPr>
          <w:rFonts w:ascii="Times New Roman" w:hAnsi="Times New Roman" w:cs="Times New Roman"/>
          <w:color w:val="000000"/>
        </w:rPr>
        <w:t>já foi aplicada por</w:t>
      </w:r>
      <w:r w:rsidR="006B5B81" w:rsidRPr="006B5B81">
        <w:rPr>
          <w:rFonts w:ascii="Times New Roman" w:hAnsi="Times New Roman" w:cs="Times New Roman"/>
          <w:color w:val="000000"/>
        </w:rPr>
        <w:t xml:space="preserve"> cortes constitucionais latino-americanas</w:t>
      </w:r>
      <w:r w:rsidR="00B52033">
        <w:rPr>
          <w:rFonts w:ascii="Times New Roman" w:hAnsi="Times New Roman" w:cs="Times New Roman"/>
          <w:color w:val="000000"/>
        </w:rPr>
        <w:t>: inicialmente</w:t>
      </w:r>
      <w:r w:rsidR="006B5B81" w:rsidRPr="006B5B81">
        <w:rPr>
          <w:rFonts w:ascii="Times New Roman" w:hAnsi="Times New Roman" w:cs="Times New Roman"/>
          <w:color w:val="000000"/>
        </w:rPr>
        <w:t xml:space="preserve"> pela Suprema Corte do Panamá em 1990, depois a Sala Constitucional do Tribunal Superior da Costa Rica em 1993, Colombia em 1995 e Peru em 1996.</w:t>
      </w:r>
      <w:r w:rsidR="006B5B81">
        <w:rPr>
          <w:rStyle w:val="FootnoteReference"/>
          <w:rFonts w:ascii="Times New Roman" w:hAnsi="Times New Roman" w:cs="Times New Roman"/>
          <w:color w:val="000000"/>
        </w:rPr>
        <w:footnoteReference w:id="61"/>
      </w:r>
      <w:r w:rsidR="00BA0236">
        <w:rPr>
          <w:rFonts w:ascii="Times New Roman" w:hAnsi="Times New Roman" w:cs="Times New Roman"/>
          <w:color w:val="000000"/>
        </w:rPr>
        <w:t xml:space="preserve"> No Brasil, o Ministro Celso de Mello fez uso da expressão bloco de constitucionalidade pela primeira vez no julgamento da ADI 595-ES, mas apenas para admitir a inclusão dos princípios constitucionais implícitos. </w:t>
      </w:r>
      <w:r w:rsidR="00E373B6">
        <w:rPr>
          <w:rFonts w:ascii="Times New Roman" w:hAnsi="Times New Roman" w:cs="Times New Roman"/>
          <w:color w:val="000000"/>
        </w:rPr>
        <w:t>Em virtude da doutrina da supralegalidade implantada pelo Supremo Trib</w:t>
      </w:r>
      <w:r w:rsidR="00D50313">
        <w:rPr>
          <w:rFonts w:ascii="Times New Roman" w:hAnsi="Times New Roman" w:cs="Times New Roman"/>
          <w:color w:val="000000"/>
        </w:rPr>
        <w:t>unal Federal no julgamento do Recurso Extraordinário 466.343-SP</w:t>
      </w:r>
      <w:r w:rsidR="00E373B6">
        <w:rPr>
          <w:rFonts w:ascii="Times New Roman" w:hAnsi="Times New Roman" w:cs="Times New Roman"/>
          <w:color w:val="000000"/>
        </w:rPr>
        <w:t>, somente as normas provenientes de tratados de direitos humanos que tenham se submetido ao processo formal de emenda constitucional, conforme o parágrafo terceiro do artigo 5</w:t>
      </w:r>
      <w:r w:rsidR="00E373B6" w:rsidRPr="00E373B6">
        <w:rPr>
          <w:rFonts w:ascii="Times New Roman" w:hAnsi="Times New Roman" w:cs="Times New Roman"/>
          <w:color w:val="000000"/>
          <w:vertAlign w:val="superscript"/>
        </w:rPr>
        <w:t>o</w:t>
      </w:r>
      <w:r w:rsidR="00E373B6">
        <w:rPr>
          <w:rFonts w:ascii="Times New Roman" w:hAnsi="Times New Roman" w:cs="Times New Roman"/>
          <w:color w:val="000000"/>
        </w:rPr>
        <w:t>, da Constituição Federal, poderiam integrar o bloco de constitucionalidade. As demais normas de direitos humanos integrariam um bloco de supralegalidade.</w:t>
      </w:r>
      <w:r w:rsidR="00E373B6">
        <w:rPr>
          <w:rStyle w:val="FootnoteReference"/>
          <w:rFonts w:ascii="Times New Roman" w:hAnsi="Times New Roman" w:cs="Times New Roman"/>
          <w:color w:val="000000"/>
        </w:rPr>
        <w:footnoteReference w:id="62"/>
      </w:r>
      <w:r w:rsidR="00E373B6">
        <w:rPr>
          <w:rFonts w:ascii="Times New Roman" w:hAnsi="Times New Roman" w:cs="Times New Roman"/>
          <w:color w:val="000000"/>
        </w:rPr>
        <w:t xml:space="preserve"> </w:t>
      </w:r>
      <w:r w:rsidR="002706E2">
        <w:rPr>
          <w:rFonts w:ascii="Times New Roman" w:hAnsi="Times New Roman" w:cs="Times New Roman"/>
          <w:color w:val="000000"/>
        </w:rPr>
        <w:t xml:space="preserve">Grande parte da doutrina, a qual se filia, </w:t>
      </w:r>
      <w:r w:rsidR="00E373B6">
        <w:rPr>
          <w:rFonts w:ascii="Times New Roman" w:hAnsi="Times New Roman" w:cs="Times New Roman"/>
          <w:color w:val="000000"/>
        </w:rPr>
        <w:t>defende que independentemente do texto do parágrafo 3</w:t>
      </w:r>
      <w:r w:rsidR="00E373B6" w:rsidRPr="00E373B6">
        <w:rPr>
          <w:rFonts w:ascii="Times New Roman" w:hAnsi="Times New Roman" w:cs="Times New Roman"/>
          <w:color w:val="000000"/>
          <w:vertAlign w:val="superscript"/>
        </w:rPr>
        <w:t>o</w:t>
      </w:r>
      <w:r w:rsidR="00E373B6">
        <w:rPr>
          <w:rFonts w:ascii="Times New Roman" w:hAnsi="Times New Roman" w:cs="Times New Roman"/>
          <w:color w:val="000000"/>
        </w:rPr>
        <w:t>, do artigo 5</w:t>
      </w:r>
      <w:r w:rsidR="00E373B6" w:rsidRPr="00E373B6">
        <w:rPr>
          <w:rFonts w:ascii="Times New Roman" w:hAnsi="Times New Roman" w:cs="Times New Roman"/>
          <w:color w:val="000000"/>
          <w:vertAlign w:val="superscript"/>
        </w:rPr>
        <w:t>o</w:t>
      </w:r>
      <w:r w:rsidR="00E373B6">
        <w:rPr>
          <w:rFonts w:ascii="Times New Roman" w:hAnsi="Times New Roman" w:cs="Times New Roman"/>
          <w:color w:val="000000"/>
        </w:rPr>
        <w:t>, o parágrafo 2</w:t>
      </w:r>
      <w:r w:rsidR="00E373B6" w:rsidRPr="00E373B6">
        <w:rPr>
          <w:rFonts w:ascii="Times New Roman" w:hAnsi="Times New Roman" w:cs="Times New Roman"/>
          <w:color w:val="000000"/>
          <w:vertAlign w:val="superscript"/>
        </w:rPr>
        <w:t>o</w:t>
      </w:r>
      <w:r w:rsidR="00E373B6">
        <w:rPr>
          <w:rFonts w:ascii="Times New Roman" w:hAnsi="Times New Roman" w:cs="Times New Roman"/>
          <w:color w:val="000000"/>
        </w:rPr>
        <w:t xml:space="preserve"> do mesmo artigo já atribui constitucionalidade material aos tratados internacionais de direitos humanos.</w:t>
      </w:r>
      <w:r w:rsidR="004A6496">
        <w:rPr>
          <w:rStyle w:val="FootnoteReference"/>
          <w:rFonts w:ascii="Times New Roman" w:hAnsi="Times New Roman" w:cs="Times New Roman"/>
          <w:color w:val="000000"/>
        </w:rPr>
        <w:footnoteReference w:id="63"/>
      </w:r>
      <w:r w:rsidR="00E373B6">
        <w:rPr>
          <w:rFonts w:ascii="Times New Roman" w:hAnsi="Times New Roman" w:cs="Times New Roman"/>
          <w:color w:val="000000"/>
        </w:rPr>
        <w:t xml:space="preserve"> </w:t>
      </w:r>
      <w:r w:rsidR="002706E2">
        <w:rPr>
          <w:rFonts w:ascii="Times New Roman" w:hAnsi="Times New Roman" w:cs="Times New Roman"/>
          <w:color w:val="000000"/>
        </w:rPr>
        <w:t>R</w:t>
      </w:r>
      <w:r w:rsidR="00E373B6">
        <w:rPr>
          <w:rFonts w:ascii="Times New Roman" w:hAnsi="Times New Roman" w:cs="Times New Roman"/>
          <w:color w:val="000000"/>
        </w:rPr>
        <w:t>eferida tese</w:t>
      </w:r>
      <w:r w:rsidR="002706E2">
        <w:rPr>
          <w:rFonts w:ascii="Times New Roman" w:hAnsi="Times New Roman" w:cs="Times New Roman"/>
          <w:color w:val="000000"/>
        </w:rPr>
        <w:t>, contudo,</w:t>
      </w:r>
      <w:r w:rsidR="00E373B6">
        <w:rPr>
          <w:rFonts w:ascii="Times New Roman" w:hAnsi="Times New Roman" w:cs="Times New Roman"/>
          <w:color w:val="000000"/>
        </w:rPr>
        <w:t xml:space="preserve"> ainda não comoveu os ministros do Supremo Tribunal </w:t>
      </w:r>
      <w:r w:rsidR="00E373B6" w:rsidRPr="003323A5">
        <w:rPr>
          <w:rFonts w:ascii="Times New Roman" w:hAnsi="Times New Roman" w:cs="Times New Roman"/>
          <w:color w:val="000000"/>
        </w:rPr>
        <w:t>Federal.</w:t>
      </w:r>
    </w:p>
    <w:p w14:paraId="61967F67" w14:textId="41705968" w:rsidR="00321BF5" w:rsidRDefault="00321BF5" w:rsidP="00420929">
      <w:pPr>
        <w:widowControl w:val="0"/>
        <w:autoSpaceDE w:val="0"/>
        <w:autoSpaceDN w:val="0"/>
        <w:adjustRightInd w:val="0"/>
        <w:jc w:val="both"/>
        <w:rPr>
          <w:rFonts w:ascii="Times New Roman" w:hAnsi="Times New Roman" w:cs="Times New Roman"/>
        </w:rPr>
      </w:pPr>
      <w:r w:rsidRPr="003323A5">
        <w:rPr>
          <w:rFonts w:ascii="Times New Roman" w:hAnsi="Times New Roman" w:cs="Times New Roman"/>
        </w:rPr>
        <w:lastRenderedPageBreak/>
        <w:t xml:space="preserve"> </w:t>
      </w:r>
      <w:r w:rsidR="003323A5" w:rsidRPr="003323A5">
        <w:rPr>
          <w:rFonts w:ascii="Times New Roman" w:hAnsi="Times New Roman" w:cs="Times New Roman"/>
        </w:rPr>
        <w:tab/>
      </w:r>
      <w:r w:rsidR="003F2B92">
        <w:rPr>
          <w:rFonts w:ascii="Times New Roman" w:hAnsi="Times New Roman" w:cs="Times New Roman"/>
        </w:rPr>
        <w:t xml:space="preserve">Assim, ainda que </w:t>
      </w:r>
      <w:r w:rsidR="003323A5" w:rsidRPr="003323A5">
        <w:rPr>
          <w:rFonts w:ascii="Times New Roman" w:hAnsi="Times New Roman" w:cs="Times New Roman"/>
        </w:rPr>
        <w:t>a doutrina do bl</w:t>
      </w:r>
      <w:r w:rsidR="003F2B92">
        <w:rPr>
          <w:rFonts w:ascii="Times New Roman" w:hAnsi="Times New Roman" w:cs="Times New Roman"/>
        </w:rPr>
        <w:t>oco de constitucionalidade não tenha aplicação uniforme nas diversas jurisdições latino-americanas</w:t>
      </w:r>
      <w:r w:rsidR="003323A5">
        <w:rPr>
          <w:rFonts w:ascii="Times New Roman" w:hAnsi="Times New Roman" w:cs="Times New Roman"/>
        </w:rPr>
        <w:t>, é inegável a proeminência que</w:t>
      </w:r>
      <w:r w:rsidR="003323A5" w:rsidRPr="003323A5">
        <w:rPr>
          <w:rFonts w:ascii="Times New Roman" w:hAnsi="Times New Roman" w:cs="Times New Roman"/>
        </w:rPr>
        <w:t xml:space="preserve"> as normas de direitos humanos lograram obter nos sistemas jurídicos internos</w:t>
      </w:r>
      <w:r w:rsidR="003F2B92">
        <w:rPr>
          <w:rFonts w:ascii="Times New Roman" w:hAnsi="Times New Roman" w:cs="Times New Roman"/>
        </w:rPr>
        <w:t>, gerando</w:t>
      </w:r>
      <w:r w:rsidR="008E663C">
        <w:rPr>
          <w:rFonts w:ascii="Times New Roman" w:hAnsi="Times New Roman" w:cs="Times New Roman"/>
        </w:rPr>
        <w:t xml:space="preserve"> uma importante coesão entre esses sistemas, especialmente pautada pela Convenção Americana sobre Direitos Humanos.</w:t>
      </w:r>
      <w:r w:rsidR="002831F6">
        <w:rPr>
          <w:rFonts w:ascii="Times New Roman" w:hAnsi="Times New Roman" w:cs="Times New Roman"/>
        </w:rPr>
        <w:t xml:space="preserve"> Nesse ambiente, os diálogos judiciais assumem maior responsabilidade na elaboração dos parâmetros comuns, na medida em que versam sobre a interpretação de direitos que acabam por aglutinar todos os povos latino-americanos.</w:t>
      </w:r>
      <w:r w:rsidR="008E663C">
        <w:rPr>
          <w:rFonts w:ascii="Times New Roman" w:hAnsi="Times New Roman" w:cs="Times New Roman"/>
        </w:rPr>
        <w:t xml:space="preserve"> </w:t>
      </w:r>
    </w:p>
    <w:p w14:paraId="4F0D83FD" w14:textId="5189604F" w:rsidR="004316E0" w:rsidRDefault="004316E0" w:rsidP="00420929">
      <w:pPr>
        <w:widowControl w:val="0"/>
        <w:autoSpaceDE w:val="0"/>
        <w:autoSpaceDN w:val="0"/>
        <w:adjustRightInd w:val="0"/>
        <w:jc w:val="both"/>
        <w:rPr>
          <w:rFonts w:ascii="Times New Roman" w:hAnsi="Times New Roman" w:cs="Times New Roman"/>
        </w:rPr>
      </w:pPr>
      <w:r>
        <w:rPr>
          <w:rFonts w:ascii="Times New Roman" w:hAnsi="Times New Roman" w:cs="Times New Roman"/>
        </w:rPr>
        <w:tab/>
        <w:t>Assim como o cruzamento de influências jurisprudenciais promove coesão</w:t>
      </w:r>
      <w:r w:rsidR="00024AEF">
        <w:rPr>
          <w:rFonts w:ascii="Times New Roman" w:hAnsi="Times New Roman" w:cs="Times New Roman"/>
        </w:rPr>
        <w:t xml:space="preserve"> dos</w:t>
      </w:r>
      <w:r>
        <w:rPr>
          <w:rFonts w:ascii="Times New Roman" w:hAnsi="Times New Roman" w:cs="Times New Roman"/>
        </w:rPr>
        <w:t xml:space="preserve"> tribunais </w:t>
      </w:r>
      <w:r w:rsidR="00024AEF">
        <w:rPr>
          <w:rFonts w:ascii="Times New Roman" w:hAnsi="Times New Roman" w:cs="Times New Roman"/>
        </w:rPr>
        <w:t xml:space="preserve">que </w:t>
      </w:r>
      <w:r>
        <w:rPr>
          <w:rFonts w:ascii="Times New Roman" w:hAnsi="Times New Roman" w:cs="Times New Roman"/>
        </w:rPr>
        <w:t xml:space="preserve">integram um bloco jurídico comum, também o compromisso </w:t>
      </w:r>
      <w:r w:rsidR="00024AEF">
        <w:rPr>
          <w:rFonts w:ascii="Times New Roman" w:hAnsi="Times New Roman" w:cs="Times New Roman"/>
        </w:rPr>
        <w:t>assumido por esses</w:t>
      </w:r>
      <w:r w:rsidR="00846E62">
        <w:rPr>
          <w:rFonts w:ascii="Times New Roman" w:hAnsi="Times New Roman" w:cs="Times New Roman"/>
        </w:rPr>
        <w:t xml:space="preserve"> órgãos contribui para estreitar as amarras de uma produção jurídica dialogada.</w:t>
      </w:r>
    </w:p>
    <w:p w14:paraId="55B53E01" w14:textId="77777777" w:rsidR="007C2472" w:rsidRDefault="00E55C8E" w:rsidP="00420929">
      <w:pPr>
        <w:widowControl w:val="0"/>
        <w:autoSpaceDE w:val="0"/>
        <w:autoSpaceDN w:val="0"/>
        <w:adjustRightInd w:val="0"/>
        <w:jc w:val="both"/>
        <w:rPr>
          <w:rFonts w:ascii="Times New Roman" w:hAnsi="Times New Roman" w:cs="Times New Roman"/>
        </w:rPr>
      </w:pPr>
      <w:r>
        <w:rPr>
          <w:rFonts w:ascii="Times New Roman" w:hAnsi="Times New Roman" w:cs="Times New Roman"/>
        </w:rPr>
        <w:tab/>
      </w:r>
      <w:r w:rsidR="00846E62">
        <w:rPr>
          <w:rFonts w:ascii="Times New Roman" w:hAnsi="Times New Roman" w:cs="Times New Roman"/>
        </w:rPr>
        <w:t>Diferentemente do uso do direito comparado via empréstimos jurisprudenciais</w:t>
      </w:r>
      <w:r w:rsidR="006368D4">
        <w:rPr>
          <w:rStyle w:val="FootnoteReference"/>
          <w:rFonts w:ascii="Times New Roman" w:hAnsi="Times New Roman" w:cs="Times New Roman"/>
        </w:rPr>
        <w:footnoteReference w:id="64"/>
      </w:r>
      <w:r w:rsidR="00846E62">
        <w:rPr>
          <w:rFonts w:ascii="Times New Roman" w:hAnsi="Times New Roman" w:cs="Times New Roman"/>
        </w:rPr>
        <w:t>, em uma ação unidirecional em que uma corte aplica entendimentos elaborados por outras</w:t>
      </w:r>
      <w:r w:rsidR="00846E62">
        <w:rPr>
          <w:rStyle w:val="FootnoteReference"/>
          <w:rFonts w:ascii="Times New Roman" w:hAnsi="Times New Roman" w:cs="Times New Roman"/>
        </w:rPr>
        <w:footnoteReference w:id="65"/>
      </w:r>
      <w:r w:rsidR="00846E62">
        <w:rPr>
          <w:rFonts w:ascii="Times New Roman" w:hAnsi="Times New Roman" w:cs="Times New Roman"/>
        </w:rPr>
        <w:t>, os diálogos judiciais mantidos no ICCAL surgem como uma ferramenta deliberadamente voltada para a construção de um direito comum.</w:t>
      </w:r>
      <w:r w:rsidR="006368D4">
        <w:rPr>
          <w:rFonts w:ascii="Times New Roman" w:hAnsi="Times New Roman" w:cs="Times New Roman"/>
        </w:rPr>
        <w:t xml:space="preserve"> </w:t>
      </w:r>
      <w:r w:rsidR="00A64F1E">
        <w:rPr>
          <w:rFonts w:ascii="Times New Roman" w:hAnsi="Times New Roman" w:cs="Times New Roman"/>
        </w:rPr>
        <w:t>A reciprocidade de</w:t>
      </w:r>
      <w:r w:rsidR="006368D4">
        <w:rPr>
          <w:rFonts w:ascii="Times New Roman" w:hAnsi="Times New Roman" w:cs="Times New Roman"/>
        </w:rPr>
        <w:t>ssa mútua influência</w:t>
      </w:r>
      <w:r w:rsidR="00A64F1E">
        <w:rPr>
          <w:rFonts w:ascii="Times New Roman" w:hAnsi="Times New Roman" w:cs="Times New Roman"/>
        </w:rPr>
        <w:t>, contudo,</w:t>
      </w:r>
      <w:r w:rsidR="006368D4">
        <w:rPr>
          <w:rFonts w:ascii="Times New Roman" w:hAnsi="Times New Roman" w:cs="Times New Roman"/>
        </w:rPr>
        <w:t xml:space="preserve"> não precisaria ser </w:t>
      </w:r>
      <w:r w:rsidR="00A64F1E">
        <w:rPr>
          <w:rFonts w:ascii="Times New Roman" w:hAnsi="Times New Roman" w:cs="Times New Roman"/>
        </w:rPr>
        <w:t>direta nem imediata</w:t>
      </w:r>
      <w:r w:rsidR="006368D4">
        <w:rPr>
          <w:rFonts w:ascii="Times New Roman" w:hAnsi="Times New Roman" w:cs="Times New Roman"/>
        </w:rPr>
        <w:t>, tal como um caminho de ida e volta</w:t>
      </w:r>
      <w:r w:rsidR="006368D4" w:rsidRPr="006368D4">
        <w:rPr>
          <w:rFonts w:ascii="Times New Roman" w:hAnsi="Times New Roman" w:cs="Times New Roman"/>
        </w:rPr>
        <w:t xml:space="preserve"> entre os julgados.</w:t>
      </w:r>
      <w:r w:rsidR="006368D4">
        <w:rPr>
          <w:rStyle w:val="FootnoteReference"/>
          <w:rFonts w:ascii="Times New Roman" w:hAnsi="Times New Roman" w:cs="Times New Roman"/>
        </w:rPr>
        <w:footnoteReference w:id="66"/>
      </w:r>
      <w:r w:rsidR="001E5937" w:rsidRPr="006E0DD7">
        <w:rPr>
          <w:rFonts w:ascii="Times New Roman" w:hAnsi="Times New Roman" w:cs="Times New Roman"/>
        </w:rPr>
        <w:t xml:space="preserve"> </w:t>
      </w:r>
      <w:r w:rsidR="006E0DD7" w:rsidRPr="006E0DD7">
        <w:rPr>
          <w:rFonts w:ascii="Times New Roman" w:hAnsi="Times New Roman" w:cs="Times New Roman"/>
        </w:rPr>
        <w:t>Nem sempre</w:t>
      </w:r>
      <w:r w:rsidR="001E5937" w:rsidRPr="001E5937">
        <w:rPr>
          <w:rFonts w:ascii="Times New Roman" w:hAnsi="Times New Roman" w:cs="Times New Roman"/>
        </w:rPr>
        <w:t xml:space="preserve"> a primeira corte, cuja decisão influenciou outra – sendo mediante crítica, ou aceitação – terá a oportunidade de</w:t>
      </w:r>
      <w:r w:rsidR="006E0DD7">
        <w:rPr>
          <w:rFonts w:ascii="Times New Roman" w:hAnsi="Times New Roman" w:cs="Times New Roman"/>
        </w:rPr>
        <w:t xml:space="preserve"> replicar. O diálogo judicial não está</w:t>
      </w:r>
      <w:r w:rsidR="001E5937" w:rsidRPr="001E5937">
        <w:rPr>
          <w:rFonts w:ascii="Times New Roman" w:hAnsi="Times New Roman" w:cs="Times New Roman"/>
        </w:rPr>
        <w:t xml:space="preserve"> exclusivamente na contínua troca de argumentos entre duas cortes, mas </w:t>
      </w:r>
      <w:r w:rsidR="006E0DD7">
        <w:rPr>
          <w:rFonts w:ascii="Times New Roman" w:hAnsi="Times New Roman" w:cs="Times New Roman"/>
        </w:rPr>
        <w:t xml:space="preserve">também </w:t>
      </w:r>
      <w:r w:rsidR="001E5937" w:rsidRPr="001E5937">
        <w:rPr>
          <w:rFonts w:ascii="Times New Roman" w:hAnsi="Times New Roman" w:cs="Times New Roman"/>
        </w:rPr>
        <w:t>na influência da decisão de uma corte nos fundamentos de outra, ou mesmo na rejeição fundamentada dos argumentos estrangeiros.</w:t>
      </w:r>
      <w:r w:rsidR="001E5937">
        <w:rPr>
          <w:rStyle w:val="FootnoteReference"/>
          <w:rFonts w:ascii="Times New Roman" w:hAnsi="Times New Roman" w:cs="Times New Roman"/>
        </w:rPr>
        <w:footnoteReference w:id="67"/>
      </w:r>
      <w:r w:rsidR="004C009C">
        <w:rPr>
          <w:rFonts w:ascii="Times New Roman" w:hAnsi="Times New Roman" w:cs="Times New Roman"/>
        </w:rPr>
        <w:t xml:space="preserve"> </w:t>
      </w:r>
    </w:p>
    <w:p w14:paraId="29E3E4AA" w14:textId="1D3723DA" w:rsidR="00487C2D" w:rsidRDefault="00487C2D" w:rsidP="00420929">
      <w:pPr>
        <w:widowControl w:val="0"/>
        <w:autoSpaceDE w:val="0"/>
        <w:autoSpaceDN w:val="0"/>
        <w:adjustRightInd w:val="0"/>
        <w:ind w:firstLine="720"/>
        <w:jc w:val="both"/>
        <w:rPr>
          <w:rFonts w:ascii="Times New Roman" w:hAnsi="Times New Roman" w:cs="Times New Roman"/>
        </w:rPr>
      </w:pPr>
      <w:r>
        <w:rPr>
          <w:rFonts w:ascii="Times New Roman" w:hAnsi="Times New Roman" w:cs="Times New Roman"/>
        </w:rPr>
        <w:t xml:space="preserve">Em razão do bloco de constitucionalidade, </w:t>
      </w:r>
      <w:r w:rsidR="00102A64">
        <w:rPr>
          <w:rFonts w:ascii="Times New Roman" w:hAnsi="Times New Roman" w:cs="Times New Roman"/>
        </w:rPr>
        <w:t>os diálogos travados entre as cortes no sistema interamericano</w:t>
      </w:r>
      <w:r>
        <w:rPr>
          <w:rFonts w:ascii="Times New Roman" w:hAnsi="Times New Roman" w:cs="Times New Roman"/>
        </w:rPr>
        <w:t xml:space="preserve"> aponta</w:t>
      </w:r>
      <w:r w:rsidR="007C2472">
        <w:rPr>
          <w:rFonts w:ascii="Times New Roman" w:hAnsi="Times New Roman" w:cs="Times New Roman"/>
        </w:rPr>
        <w:t>m</w:t>
      </w:r>
      <w:r>
        <w:rPr>
          <w:rFonts w:ascii="Times New Roman" w:hAnsi="Times New Roman" w:cs="Times New Roman"/>
        </w:rPr>
        <w:t xml:space="preserve"> para uma </w:t>
      </w:r>
      <w:r w:rsidRPr="00487C2D">
        <w:rPr>
          <w:rFonts w:ascii="Times New Roman" w:hAnsi="Times New Roman" w:cs="Times New Roman"/>
        </w:rPr>
        <w:t>progressiva “osmose entre ordenamentos nacionais e internacionais”,</w:t>
      </w:r>
      <w:r w:rsidRPr="00487C2D">
        <w:rPr>
          <w:rStyle w:val="FootnoteReference"/>
          <w:rFonts w:ascii="Times New Roman" w:hAnsi="Times New Roman" w:cs="Times New Roman"/>
        </w:rPr>
        <w:footnoteReference w:id="68"/>
      </w:r>
      <w:r w:rsidRPr="00487C2D">
        <w:rPr>
          <w:rFonts w:ascii="Times New Roman" w:hAnsi="Times New Roman" w:cs="Times New Roman"/>
        </w:rPr>
        <w:t xml:space="preserve"> ainda que muitas vezes se manifestem resistências por parte de certas cortes constitucionais, comprometendo a integridade do sistema.</w:t>
      </w:r>
      <w:r w:rsidRPr="00487C2D">
        <w:rPr>
          <w:rStyle w:val="FootnoteReference"/>
          <w:rFonts w:ascii="Times New Roman" w:hAnsi="Times New Roman" w:cs="Times New Roman"/>
        </w:rPr>
        <w:footnoteReference w:id="69"/>
      </w:r>
      <w:r w:rsidRPr="00487C2D">
        <w:rPr>
          <w:rFonts w:ascii="Times New Roman" w:hAnsi="Times New Roman" w:cs="Times New Roman"/>
        </w:rPr>
        <w:t xml:space="preserve"> </w:t>
      </w:r>
      <w:r w:rsidR="00180A7D">
        <w:rPr>
          <w:rFonts w:ascii="Times New Roman" w:hAnsi="Times New Roman" w:cs="Times New Roman"/>
        </w:rPr>
        <w:t>N</w:t>
      </w:r>
      <w:r>
        <w:rPr>
          <w:rFonts w:ascii="Times New Roman" w:hAnsi="Times New Roman" w:cs="Times New Roman"/>
        </w:rPr>
        <w:t>em sempre as sentenças da Corte Interamericana encontram</w:t>
      </w:r>
      <w:r w:rsidR="003D2A06">
        <w:rPr>
          <w:rFonts w:ascii="Times New Roman" w:hAnsi="Times New Roman" w:cs="Times New Roman"/>
        </w:rPr>
        <w:t xml:space="preserve"> imediata</w:t>
      </w:r>
      <w:r>
        <w:rPr>
          <w:rFonts w:ascii="Times New Roman" w:hAnsi="Times New Roman" w:cs="Times New Roman"/>
        </w:rPr>
        <w:t xml:space="preserve"> receptividade nos sistemas jurídicos nacionais, </w:t>
      </w:r>
      <w:r w:rsidR="003D2A06">
        <w:rPr>
          <w:rFonts w:ascii="Times New Roman" w:hAnsi="Times New Roman" w:cs="Times New Roman"/>
        </w:rPr>
        <w:t xml:space="preserve">podendo </w:t>
      </w:r>
      <w:r>
        <w:rPr>
          <w:rFonts w:ascii="Times New Roman" w:hAnsi="Times New Roman" w:cs="Times New Roman"/>
        </w:rPr>
        <w:t>gera</w:t>
      </w:r>
      <w:r w:rsidR="003D2A06">
        <w:rPr>
          <w:rFonts w:ascii="Times New Roman" w:hAnsi="Times New Roman" w:cs="Times New Roman"/>
        </w:rPr>
        <w:t>r</w:t>
      </w:r>
      <w:r>
        <w:rPr>
          <w:rFonts w:ascii="Times New Roman" w:hAnsi="Times New Roman" w:cs="Times New Roman"/>
        </w:rPr>
        <w:t xml:space="preserve"> movimentos dissonantes. Críticas são válidas na medida em que </w:t>
      </w:r>
      <w:r w:rsidR="006C6D6A">
        <w:rPr>
          <w:rFonts w:ascii="Times New Roman" w:hAnsi="Times New Roman" w:cs="Times New Roman"/>
        </w:rPr>
        <w:t xml:space="preserve">promovem um </w:t>
      </w:r>
      <w:r>
        <w:rPr>
          <w:rFonts w:ascii="Times New Roman" w:hAnsi="Times New Roman" w:cs="Times New Roman"/>
        </w:rPr>
        <w:t>redirecionamento dos diálogos</w:t>
      </w:r>
      <w:r w:rsidR="00331142">
        <w:rPr>
          <w:rFonts w:ascii="Times New Roman" w:hAnsi="Times New Roman" w:cs="Times New Roman"/>
        </w:rPr>
        <w:t xml:space="preserve"> judiciais</w:t>
      </w:r>
      <w:r>
        <w:rPr>
          <w:rFonts w:ascii="Times New Roman" w:hAnsi="Times New Roman" w:cs="Times New Roman"/>
        </w:rPr>
        <w:t xml:space="preserve"> em sentid</w:t>
      </w:r>
      <w:r w:rsidR="00331142">
        <w:rPr>
          <w:rFonts w:ascii="Times New Roman" w:hAnsi="Times New Roman" w:cs="Times New Roman"/>
        </w:rPr>
        <w:t>o construtivo</w:t>
      </w:r>
      <w:r>
        <w:rPr>
          <w:rFonts w:ascii="Times New Roman" w:hAnsi="Times New Roman" w:cs="Times New Roman"/>
        </w:rPr>
        <w:t>, permitindo a</w:t>
      </w:r>
      <w:r w:rsidR="00331142">
        <w:rPr>
          <w:rFonts w:ascii="Times New Roman" w:hAnsi="Times New Roman" w:cs="Times New Roman"/>
        </w:rPr>
        <w:t xml:space="preserve"> elaboração de novos consensos</w:t>
      </w:r>
      <w:r w:rsidR="00D72F3B">
        <w:rPr>
          <w:rFonts w:ascii="Times New Roman" w:hAnsi="Times New Roman" w:cs="Times New Roman"/>
        </w:rPr>
        <w:t>, não totalizantes mas permeáveis à particularidades identitárias de cada sociedade</w:t>
      </w:r>
      <w:r w:rsidR="00331142">
        <w:rPr>
          <w:rFonts w:ascii="Times New Roman" w:hAnsi="Times New Roman" w:cs="Times New Roman"/>
        </w:rPr>
        <w:t xml:space="preserve">. </w:t>
      </w:r>
      <w:r>
        <w:rPr>
          <w:rFonts w:ascii="Times New Roman" w:hAnsi="Times New Roman" w:cs="Times New Roman"/>
        </w:rPr>
        <w:t xml:space="preserve">As dificuldades surgem quando o </w:t>
      </w:r>
      <w:r w:rsidRPr="00331142">
        <w:rPr>
          <w:rFonts w:ascii="Times New Roman" w:hAnsi="Times New Roman" w:cs="Times New Roman"/>
          <w:i/>
        </w:rPr>
        <w:t>backlash</w:t>
      </w:r>
      <w:r>
        <w:rPr>
          <w:rFonts w:ascii="Times New Roman" w:hAnsi="Times New Roman" w:cs="Times New Roman"/>
        </w:rPr>
        <w:t xml:space="preserve"> se dirige ao sistema </w:t>
      </w:r>
      <w:r w:rsidR="00331142">
        <w:rPr>
          <w:rFonts w:ascii="Times New Roman" w:hAnsi="Times New Roman" w:cs="Times New Roman"/>
        </w:rPr>
        <w:t xml:space="preserve">interamericano </w:t>
      </w:r>
      <w:r>
        <w:rPr>
          <w:rFonts w:ascii="Times New Roman" w:hAnsi="Times New Roman" w:cs="Times New Roman"/>
        </w:rPr>
        <w:t>como um todo, demonstrando uma resistência que não deseja aportar novas perspectivas, mas divorciar-se do projeto comum</w:t>
      </w:r>
      <w:r w:rsidR="003D2A06">
        <w:rPr>
          <w:rFonts w:ascii="Times New Roman" w:hAnsi="Times New Roman" w:cs="Times New Roman"/>
        </w:rPr>
        <w:t>, como foi o caso da Venezuela</w:t>
      </w:r>
      <w:r>
        <w:rPr>
          <w:rFonts w:ascii="Times New Roman" w:hAnsi="Times New Roman" w:cs="Times New Roman"/>
        </w:rPr>
        <w:t>.</w:t>
      </w:r>
    </w:p>
    <w:p w14:paraId="7B6E925D" w14:textId="170E20FA" w:rsidR="00C40EBC" w:rsidRPr="00C40EBC" w:rsidRDefault="00BC4F57" w:rsidP="00044404">
      <w:pPr>
        <w:widowControl w:val="0"/>
        <w:autoSpaceDE w:val="0"/>
        <w:autoSpaceDN w:val="0"/>
        <w:adjustRightInd w:val="0"/>
        <w:jc w:val="both"/>
        <w:rPr>
          <w:rFonts w:ascii="Times New Roman" w:hAnsi="Times New Roman" w:cs="Times New Roman"/>
        </w:rPr>
      </w:pPr>
      <w:r>
        <w:rPr>
          <w:rFonts w:ascii="Times New Roman" w:hAnsi="Times New Roman" w:cs="Times New Roman"/>
        </w:rPr>
        <w:lastRenderedPageBreak/>
        <w:tab/>
        <w:t>O que marca os diálogos judiciais</w:t>
      </w:r>
      <w:r w:rsidR="00F95DD2">
        <w:rPr>
          <w:rFonts w:ascii="Times New Roman" w:hAnsi="Times New Roman" w:cs="Times New Roman"/>
        </w:rPr>
        <w:t xml:space="preserve"> no ICCAL</w:t>
      </w:r>
      <w:r>
        <w:rPr>
          <w:rFonts w:ascii="Times New Roman" w:hAnsi="Times New Roman" w:cs="Times New Roman"/>
        </w:rPr>
        <w:t xml:space="preserve"> é seu propósito de harmonização</w:t>
      </w:r>
      <w:r w:rsidR="00430D38">
        <w:rPr>
          <w:rFonts w:ascii="Times New Roman" w:hAnsi="Times New Roman" w:cs="Times New Roman"/>
        </w:rPr>
        <w:t xml:space="preserve"> decorrente de compromissos convencionais assumidos pelos Estados. M</w:t>
      </w:r>
      <w:r>
        <w:rPr>
          <w:rFonts w:ascii="Times New Roman" w:hAnsi="Times New Roman" w:cs="Times New Roman"/>
        </w:rPr>
        <w:t>uito além da incorporação de influências de outros tribunais para a solução de um dado caso concreto, eles visam elaborar standards comuns que viabilizem a coexistência dos sistemas jurídicos (nacio</w:t>
      </w:r>
      <w:r w:rsidRPr="00C40EBC">
        <w:rPr>
          <w:rFonts w:ascii="Times New Roman" w:hAnsi="Times New Roman" w:cs="Times New Roman"/>
        </w:rPr>
        <w:t xml:space="preserve">nais e regional), resguardados os espaços necessários à preservação </w:t>
      </w:r>
      <w:r w:rsidR="003B305D">
        <w:rPr>
          <w:rFonts w:ascii="Times New Roman" w:hAnsi="Times New Roman" w:cs="Times New Roman"/>
        </w:rPr>
        <w:t>de</w:t>
      </w:r>
      <w:r w:rsidRPr="00C40EBC">
        <w:rPr>
          <w:rFonts w:ascii="Times New Roman" w:hAnsi="Times New Roman" w:cs="Times New Roman"/>
        </w:rPr>
        <w:t xml:space="preserve"> identidades culturais específicas.</w:t>
      </w:r>
      <w:r w:rsidR="00044404">
        <w:rPr>
          <w:rFonts w:ascii="Times New Roman" w:hAnsi="Times New Roman" w:cs="Times New Roman"/>
        </w:rPr>
        <w:t xml:space="preserve"> </w:t>
      </w:r>
      <w:r w:rsidR="00C40EBC" w:rsidRPr="00C40EBC">
        <w:rPr>
          <w:rFonts w:ascii="Times New Roman" w:hAnsi="Times New Roman" w:cs="Times New Roman"/>
        </w:rPr>
        <w:t>Um exemplo de</w:t>
      </w:r>
      <w:r w:rsidR="00044404">
        <w:rPr>
          <w:rFonts w:ascii="Times New Roman" w:hAnsi="Times New Roman" w:cs="Times New Roman"/>
        </w:rPr>
        <w:t>sses</w:t>
      </w:r>
      <w:r w:rsidR="00C40EBC" w:rsidRPr="00C40EBC">
        <w:rPr>
          <w:rFonts w:ascii="Times New Roman" w:hAnsi="Times New Roman" w:cs="Times New Roman"/>
        </w:rPr>
        <w:t xml:space="preserve"> diálogos judiciais pode ser encontrado no</w:t>
      </w:r>
      <w:r w:rsidR="00C40EBC">
        <w:rPr>
          <w:rFonts w:ascii="Times New Roman" w:hAnsi="Times New Roman" w:cs="Times New Roman"/>
        </w:rPr>
        <w:t>s julgados envolvendo</w:t>
      </w:r>
      <w:r w:rsidR="00C40EBC" w:rsidRPr="00C40EBC">
        <w:rPr>
          <w:rFonts w:ascii="Times New Roman" w:hAnsi="Times New Roman" w:cs="Times New Roman"/>
        </w:rPr>
        <w:t xml:space="preserve"> </w:t>
      </w:r>
      <w:r w:rsidR="00C40EBC">
        <w:rPr>
          <w:rFonts w:ascii="Times New Roman" w:hAnsi="Times New Roman" w:cs="Times New Roman"/>
        </w:rPr>
        <w:t>a convencionalidade da</w:t>
      </w:r>
      <w:r w:rsidR="00C40EBC" w:rsidRPr="00C40EBC">
        <w:rPr>
          <w:rFonts w:ascii="Times New Roman" w:hAnsi="Times New Roman" w:cs="Times New Roman"/>
        </w:rPr>
        <w:t xml:space="preserve">s leis de anistia, firmadas pelas ditaduras militares como escusa legal a fim de tentar prevenir a responsabilização de seus agentes pela prática de graves violações de direitos humanos. Em 2001, no caso Barrios Altos vs. </w:t>
      </w:r>
      <w:r w:rsidR="00044404">
        <w:rPr>
          <w:rFonts w:ascii="Times New Roman" w:hAnsi="Times New Roman" w:cs="Times New Roman"/>
        </w:rPr>
        <w:t>Peru, a Corte IDH</w:t>
      </w:r>
      <w:r w:rsidR="00C40EBC" w:rsidRPr="00C40EBC">
        <w:rPr>
          <w:rFonts w:ascii="Times New Roman" w:hAnsi="Times New Roman" w:cs="Times New Roman"/>
        </w:rPr>
        <w:t xml:space="preserve"> </w:t>
      </w:r>
      <w:r w:rsidR="00044404">
        <w:rPr>
          <w:rFonts w:ascii="Times New Roman" w:hAnsi="Times New Roman" w:cs="Times New Roman"/>
        </w:rPr>
        <w:t xml:space="preserve">reputou </w:t>
      </w:r>
      <w:r w:rsidR="00C40EBC" w:rsidRPr="00C40EBC">
        <w:rPr>
          <w:rFonts w:ascii="Times New Roman" w:hAnsi="Times New Roman" w:cs="Times New Roman"/>
        </w:rPr>
        <w:t>a lei de anistia criada em 1995 com o objetivo de impedir a investigação e punição pelos atos praticados por militares integrantes do “Grupo Colina”</w:t>
      </w:r>
      <w:r w:rsidR="00044404">
        <w:rPr>
          <w:rFonts w:ascii="Times New Roman" w:hAnsi="Times New Roman" w:cs="Times New Roman"/>
        </w:rPr>
        <w:t xml:space="preserve"> como</w:t>
      </w:r>
      <w:r w:rsidR="00C40EBC" w:rsidRPr="00C40EBC">
        <w:rPr>
          <w:rFonts w:ascii="Times New Roman" w:hAnsi="Times New Roman" w:cs="Times New Roman"/>
        </w:rPr>
        <w:t xml:space="preserve"> contrária à Convenção Americana sobre Direitos Humanos. Referido julgado foi trazido pela Corte Suprema de La Nación, da Argentina, em 2005, no caso Simón, como razão de decidir para o fim de afastar a validade das leis de anistia. A corte constitucional faz menção expressa ao julgado interamericano. A mesma decisão constitucional argentina passou então a integrar a fundamentação da sentença proferida pela Corte IDH no caso Gomes Lund e outros (“Guerrilha do Araguaia”) vs. Brasil, em 2010.  Verificou-se uma verdadeira conversa entre a Corte IDH e a Suprema Corte de la Nación da Argentina sobre as leis de anistia. </w:t>
      </w:r>
    </w:p>
    <w:p w14:paraId="437D1C04" w14:textId="783DA5F4" w:rsidR="00487C2D" w:rsidRDefault="001102C6" w:rsidP="00420929">
      <w:pPr>
        <w:widowControl w:val="0"/>
        <w:autoSpaceDE w:val="0"/>
        <w:autoSpaceDN w:val="0"/>
        <w:adjustRightInd w:val="0"/>
        <w:jc w:val="both"/>
        <w:rPr>
          <w:rFonts w:ascii="Times New Roman" w:hAnsi="Times New Roman" w:cs="Times New Roman"/>
        </w:rPr>
      </w:pPr>
      <w:r>
        <w:rPr>
          <w:rFonts w:ascii="Times New Roman" w:hAnsi="Times New Roman" w:cs="Times New Roman"/>
        </w:rPr>
        <w:tab/>
        <w:t>A partir dessa proposta harmonizadora, os diálogos judiciais podem ser tanto verticais horizontais.</w:t>
      </w:r>
      <w:r w:rsidR="001B55C1">
        <w:rPr>
          <w:rStyle w:val="FootnoteReference"/>
          <w:rFonts w:ascii="Times New Roman" w:hAnsi="Times New Roman" w:cs="Times New Roman"/>
        </w:rPr>
        <w:footnoteReference w:id="70"/>
      </w:r>
      <w:r>
        <w:rPr>
          <w:rFonts w:ascii="Times New Roman" w:hAnsi="Times New Roman" w:cs="Times New Roman"/>
        </w:rPr>
        <w:t xml:space="preserve"> Enquanto os primeiros se dão entre cortes mantidas em níveis diferentes do sistema interamericano, como as cortes constitucionais e a Corte Interamericana, os últimos </w:t>
      </w:r>
      <w:r w:rsidR="001B55C1">
        <w:rPr>
          <w:rFonts w:ascii="Times New Roman" w:hAnsi="Times New Roman" w:cs="Times New Roman"/>
        </w:rPr>
        <w:t>se verificam entre jurisdições do mesmo nível, como as próprias cortes constitucionais, ou ainda entre a Corte Interamericana e a Corte Europeia de Direitos Humanos.</w:t>
      </w:r>
      <w:r w:rsidR="008F7805">
        <w:rPr>
          <w:rFonts w:ascii="Times New Roman" w:hAnsi="Times New Roman" w:cs="Times New Roman"/>
        </w:rPr>
        <w:t xml:space="preserve"> </w:t>
      </w:r>
    </w:p>
    <w:p w14:paraId="5BF18238" w14:textId="1413E054" w:rsidR="00D1056E" w:rsidRPr="00330B22" w:rsidRDefault="00D1056E" w:rsidP="00420929">
      <w:pPr>
        <w:widowControl w:val="0"/>
        <w:autoSpaceDE w:val="0"/>
        <w:autoSpaceDN w:val="0"/>
        <w:adjustRightInd w:val="0"/>
        <w:jc w:val="both"/>
        <w:rPr>
          <w:rFonts w:ascii="Times New Roman" w:hAnsi="Times New Roman" w:cs="Times New Roman"/>
        </w:rPr>
      </w:pPr>
      <w:r>
        <w:rPr>
          <w:rFonts w:ascii="Times New Roman" w:hAnsi="Times New Roman" w:cs="Times New Roman"/>
        </w:rPr>
        <w:tab/>
        <w:t>A perspectiva horizontal dos diálogos judiciais no ICCAL muitas vezes se realiza como uma resposta à</w:t>
      </w:r>
      <w:r w:rsidRPr="00330B22">
        <w:rPr>
          <w:rFonts w:ascii="Times New Roman" w:hAnsi="Times New Roman" w:cs="Times New Roman"/>
        </w:rPr>
        <w:t xml:space="preserve"> necessidade de as cortes tratarem de temas carentes de disciplina legislativa, ou mesmo de atualização evolutiva. A vinculação dessas cortes à Convenção Americana sobre Direitos Humanos serve de incentivo à percepção de como atuam seus pares</w:t>
      </w:r>
      <w:r w:rsidRPr="00330B22">
        <w:rPr>
          <w:rStyle w:val="FootnoteReference"/>
          <w:rFonts w:ascii="Times New Roman" w:hAnsi="Times New Roman" w:cs="Times New Roman"/>
        </w:rPr>
        <w:footnoteReference w:id="71"/>
      </w:r>
      <w:r w:rsidRPr="00330B22">
        <w:rPr>
          <w:rFonts w:ascii="Times New Roman" w:hAnsi="Times New Roman" w:cs="Times New Roman"/>
        </w:rPr>
        <w:t xml:space="preserve"> um processo cooperativo de troca recíproca de argumentos, sem que nenhum dos interlocutores possa clamar por primazia em relação ao outro.</w:t>
      </w:r>
      <w:r w:rsidRPr="00330B22">
        <w:rPr>
          <w:rStyle w:val="FootnoteReference"/>
          <w:rFonts w:ascii="Times New Roman" w:hAnsi="Times New Roman" w:cs="Times New Roman"/>
        </w:rPr>
        <w:footnoteReference w:id="72"/>
      </w:r>
    </w:p>
    <w:p w14:paraId="675A7A6C" w14:textId="751ABD83" w:rsidR="00EF2C3F" w:rsidRPr="002A731E" w:rsidRDefault="00330B22" w:rsidP="00420929">
      <w:pPr>
        <w:widowControl w:val="0"/>
        <w:autoSpaceDE w:val="0"/>
        <w:autoSpaceDN w:val="0"/>
        <w:adjustRightInd w:val="0"/>
        <w:jc w:val="both"/>
        <w:rPr>
          <w:rFonts w:ascii="Times New Roman" w:hAnsi="Times New Roman" w:cs="Times New Roman"/>
          <w:vertAlign w:val="superscript"/>
        </w:rPr>
      </w:pPr>
      <w:r>
        <w:rPr>
          <w:rFonts w:ascii="Times New Roman" w:hAnsi="Times New Roman" w:cs="Times New Roman"/>
        </w:rPr>
        <w:tab/>
      </w:r>
      <w:r w:rsidR="002725C7">
        <w:rPr>
          <w:rFonts w:ascii="Times New Roman" w:hAnsi="Times New Roman" w:cs="Times New Roman"/>
        </w:rPr>
        <w:t>Os diá</w:t>
      </w:r>
      <w:r w:rsidR="00FA2B20">
        <w:rPr>
          <w:rFonts w:ascii="Times New Roman" w:hAnsi="Times New Roman" w:cs="Times New Roman"/>
        </w:rPr>
        <w:t xml:space="preserve">logos verticais são marcados por uma </w:t>
      </w:r>
      <w:r w:rsidR="00EF2C3F">
        <w:rPr>
          <w:rFonts w:ascii="Times New Roman" w:hAnsi="Times New Roman" w:cs="Times New Roman"/>
        </w:rPr>
        <w:t xml:space="preserve">profunda </w:t>
      </w:r>
      <w:r w:rsidR="00FA2B20">
        <w:rPr>
          <w:rFonts w:ascii="Times New Roman" w:hAnsi="Times New Roman" w:cs="Times New Roman"/>
        </w:rPr>
        <w:t>interação entre os níveis doméstico e regional do sistema</w:t>
      </w:r>
      <w:r w:rsidR="00EF2C3F">
        <w:rPr>
          <w:rFonts w:ascii="Times New Roman" w:hAnsi="Times New Roman" w:cs="Times New Roman"/>
        </w:rPr>
        <w:t xml:space="preserve"> interamericano, notadamente em virtude da </w:t>
      </w:r>
      <w:r w:rsidR="00EF2C3F" w:rsidRPr="00EF2C3F">
        <w:rPr>
          <w:rFonts w:ascii="Times New Roman" w:hAnsi="Times New Roman" w:cs="Times New Roman"/>
        </w:rPr>
        <w:t>doutrina do controle de convencionalidade</w:t>
      </w:r>
      <w:r w:rsidR="002A731E" w:rsidRPr="002A731E">
        <w:rPr>
          <w:rStyle w:val="FootnoteReference"/>
          <w:rFonts w:ascii="Times New Roman" w:hAnsi="Times New Roman" w:cs="Times New Roman"/>
        </w:rPr>
        <w:t xml:space="preserve"> </w:t>
      </w:r>
      <w:r w:rsidR="002A731E" w:rsidRPr="00EF2C3F">
        <w:rPr>
          <w:rStyle w:val="FootnoteReference"/>
          <w:rFonts w:ascii="Times New Roman" w:hAnsi="Times New Roman" w:cs="Times New Roman"/>
        </w:rPr>
        <w:footnoteReference w:id="73"/>
      </w:r>
      <w:r w:rsidR="004946E3">
        <w:rPr>
          <w:rFonts w:ascii="Times New Roman" w:hAnsi="Times New Roman" w:cs="Times New Roman"/>
        </w:rPr>
        <w:t xml:space="preserve"> em que</w:t>
      </w:r>
      <w:r w:rsidR="002A731E">
        <w:rPr>
          <w:rFonts w:ascii="Times New Roman" w:hAnsi="Times New Roman" w:cs="Times New Roman"/>
        </w:rPr>
        <w:t xml:space="preserve"> </w:t>
      </w:r>
      <w:r w:rsidR="00EF2C3F" w:rsidRPr="00EF2C3F">
        <w:rPr>
          <w:rFonts w:ascii="Times New Roman" w:hAnsi="Times New Roman" w:cs="Times New Roman"/>
        </w:rPr>
        <w:t>a Corte a</w:t>
      </w:r>
      <w:r w:rsidR="002A731E">
        <w:rPr>
          <w:rFonts w:ascii="Times New Roman" w:hAnsi="Times New Roman" w:cs="Times New Roman"/>
        </w:rPr>
        <w:t>ssumiu</w:t>
      </w:r>
      <w:r w:rsidR="00EF2C3F" w:rsidRPr="00EF2C3F">
        <w:rPr>
          <w:rFonts w:ascii="Times New Roman" w:hAnsi="Times New Roman" w:cs="Times New Roman"/>
        </w:rPr>
        <w:t xml:space="preserve"> o papel de intérprete autorizada das normas da Convenção Americana.</w:t>
      </w:r>
      <w:r w:rsidR="002A731E">
        <w:rPr>
          <w:rFonts w:ascii="Times New Roman" w:hAnsi="Times New Roman" w:cs="Times New Roman"/>
        </w:rPr>
        <w:t xml:space="preserve"> Mais além, o </w:t>
      </w:r>
      <w:r w:rsidR="002A731E" w:rsidRPr="002A731E">
        <w:rPr>
          <w:rFonts w:ascii="Times New Roman" w:hAnsi="Times New Roman" w:cs="Times New Roman"/>
        </w:rPr>
        <w:t xml:space="preserve">controle </w:t>
      </w:r>
      <w:r w:rsidR="00EF2C3F" w:rsidRPr="002A731E">
        <w:rPr>
          <w:rFonts w:ascii="Times New Roman" w:hAnsi="Times New Roman" w:cs="Times New Roman"/>
        </w:rPr>
        <w:t>de convencionalidade intensificou esses diálogos</w:t>
      </w:r>
      <w:r w:rsidR="004946E3">
        <w:rPr>
          <w:rFonts w:ascii="Times New Roman" w:hAnsi="Times New Roman" w:cs="Times New Roman"/>
        </w:rPr>
        <w:t xml:space="preserve"> ao alçar </w:t>
      </w:r>
      <w:r w:rsidR="00EF2C3F" w:rsidRPr="002A731E">
        <w:rPr>
          <w:rFonts w:ascii="Times New Roman" w:hAnsi="Times New Roman" w:cs="Times New Roman"/>
        </w:rPr>
        <w:t>cada integrante das jurisdições locais (e em especial as constitucionais) à qualidade de “juiz interamericano”</w:t>
      </w:r>
      <w:r w:rsidR="00EF2C3F" w:rsidRPr="002A731E">
        <w:rPr>
          <w:rStyle w:val="FootnoteReference"/>
          <w:rFonts w:ascii="Times New Roman" w:hAnsi="Times New Roman" w:cs="Times New Roman"/>
        </w:rPr>
        <w:footnoteReference w:id="74"/>
      </w:r>
      <w:r w:rsidR="002A731E">
        <w:rPr>
          <w:rFonts w:ascii="Times New Roman" w:hAnsi="Times New Roman" w:cs="Times New Roman"/>
        </w:rPr>
        <w:t xml:space="preserve">, devendo considerar em </w:t>
      </w:r>
      <w:r w:rsidR="00EF2C3F" w:rsidRPr="002A731E">
        <w:rPr>
          <w:rFonts w:ascii="Times New Roman" w:hAnsi="Times New Roman" w:cs="Times New Roman"/>
        </w:rPr>
        <w:t xml:space="preserve">suas decisões </w:t>
      </w:r>
      <w:r w:rsidR="002A731E">
        <w:rPr>
          <w:rFonts w:ascii="Times New Roman" w:hAnsi="Times New Roman" w:cs="Times New Roman"/>
        </w:rPr>
        <w:t>a jurisprudência produzida</w:t>
      </w:r>
      <w:r w:rsidR="00EF2C3F" w:rsidRPr="002A731E">
        <w:rPr>
          <w:rFonts w:ascii="Times New Roman" w:hAnsi="Times New Roman" w:cs="Times New Roman"/>
        </w:rPr>
        <w:t xml:space="preserve"> pela Corte IDH. Em diversos setores, as esferas de competências de juízes nacionais e supranacionais passaram a se cruzar, especialmente quando a jurisdição doméstica promove um controle de constitucionalidade de leis com base em normas </w:t>
      </w:r>
      <w:r w:rsidR="00EF2C3F" w:rsidRPr="002A731E">
        <w:rPr>
          <w:rFonts w:ascii="Times New Roman" w:hAnsi="Times New Roman" w:cs="Times New Roman"/>
        </w:rPr>
        <w:lastRenderedPageBreak/>
        <w:t>constitucionais de fonte internaci</w:t>
      </w:r>
      <w:r w:rsidR="001677CD">
        <w:rPr>
          <w:rFonts w:ascii="Times New Roman" w:hAnsi="Times New Roman" w:cs="Times New Roman"/>
        </w:rPr>
        <w:t>on</w:t>
      </w:r>
      <w:r w:rsidR="00EF2C3F" w:rsidRPr="002A731E">
        <w:rPr>
          <w:rFonts w:ascii="Times New Roman" w:hAnsi="Times New Roman" w:cs="Times New Roman"/>
        </w:rPr>
        <w:t xml:space="preserve">al. Normas internacionais são assim interpretadas por juízes nacionais, e também normas constitucionais são interpretadas por juízes supranacionais – o primeiro processo se realiza internamente, e o segundo no âmbito externo. É a partir da dinâmica dos diálogos judiciais verticais que esses dois resultados hermenêuticos se entrecruzam, gerando novos sentidos, </w:t>
      </w:r>
      <w:r w:rsidR="00AC13E5">
        <w:rPr>
          <w:rFonts w:ascii="Times New Roman" w:hAnsi="Times New Roman" w:cs="Times New Roman"/>
        </w:rPr>
        <w:t>em</w:t>
      </w:r>
      <w:r w:rsidR="00EF2C3F" w:rsidRPr="002A731E">
        <w:rPr>
          <w:rFonts w:ascii="Times New Roman" w:hAnsi="Times New Roman" w:cs="Times New Roman"/>
        </w:rPr>
        <w:t xml:space="preserve"> um processo de influência constante e recíproca.</w:t>
      </w:r>
      <w:r w:rsidR="00EF2C3F" w:rsidRPr="002A731E">
        <w:rPr>
          <w:rStyle w:val="FootnoteReference"/>
          <w:rFonts w:ascii="Times New Roman" w:hAnsi="Times New Roman" w:cs="Times New Roman"/>
        </w:rPr>
        <w:t xml:space="preserve"> </w:t>
      </w:r>
      <w:r w:rsidR="00EF2C3F" w:rsidRPr="002A731E">
        <w:rPr>
          <w:rStyle w:val="FootnoteReference"/>
          <w:rFonts w:ascii="Times New Roman" w:hAnsi="Times New Roman" w:cs="Times New Roman"/>
        </w:rPr>
        <w:footnoteReference w:id="75"/>
      </w:r>
    </w:p>
    <w:p w14:paraId="35433AB4" w14:textId="2264F2B5" w:rsidR="002C365D" w:rsidRPr="00827F12" w:rsidRDefault="00A368E8" w:rsidP="00420929">
      <w:pPr>
        <w:widowControl w:val="0"/>
        <w:autoSpaceDE w:val="0"/>
        <w:autoSpaceDN w:val="0"/>
        <w:adjustRightInd w:val="0"/>
        <w:jc w:val="both"/>
        <w:rPr>
          <w:rFonts w:ascii="Times New Roman" w:hAnsi="Times New Roman" w:cs="Times New Roman"/>
        </w:rPr>
      </w:pPr>
      <w:r>
        <w:rPr>
          <w:rFonts w:ascii="Times New Roman" w:hAnsi="Times New Roman" w:cs="Times New Roman"/>
        </w:rPr>
        <w:tab/>
      </w:r>
      <w:r w:rsidR="002C365D">
        <w:rPr>
          <w:rFonts w:ascii="Times New Roman" w:hAnsi="Times New Roman" w:cs="Times New Roman"/>
        </w:rPr>
        <w:t>Tal fenômeno evidencia a multidimensionalidade dos diálogos judiciais no ICCAL</w:t>
      </w:r>
      <w:r w:rsidR="00F97644">
        <w:rPr>
          <w:rFonts w:ascii="Times New Roman" w:hAnsi="Times New Roman" w:cs="Times New Roman"/>
        </w:rPr>
        <w:t>. Os</w:t>
      </w:r>
      <w:r w:rsidR="002C365D" w:rsidRPr="00827F12">
        <w:rPr>
          <w:rFonts w:ascii="Times New Roman" w:hAnsi="Times New Roman" w:cs="Times New Roman"/>
        </w:rPr>
        <w:t xml:space="preserve"> fluxos argumentativos </w:t>
      </w:r>
      <w:r w:rsidR="00851E76">
        <w:rPr>
          <w:rFonts w:ascii="Times New Roman" w:hAnsi="Times New Roman" w:cs="Times New Roman"/>
        </w:rPr>
        <w:t>podem afluir</w:t>
      </w:r>
      <w:r w:rsidR="007E7F80">
        <w:rPr>
          <w:rFonts w:ascii="Times New Roman" w:hAnsi="Times New Roman" w:cs="Times New Roman"/>
        </w:rPr>
        <w:t xml:space="preserve"> tanto</w:t>
      </w:r>
      <w:r w:rsidR="00851E76">
        <w:rPr>
          <w:rFonts w:ascii="Times New Roman" w:hAnsi="Times New Roman" w:cs="Times New Roman"/>
        </w:rPr>
        <w:t xml:space="preserve"> da Corte IDH para as cortes nacionais (</w:t>
      </w:r>
      <w:r w:rsidR="00851E76" w:rsidRPr="00851E76">
        <w:rPr>
          <w:rFonts w:ascii="Times New Roman" w:hAnsi="Times New Roman" w:cs="Times New Roman"/>
          <w:i/>
        </w:rPr>
        <w:t>top-down</w:t>
      </w:r>
      <w:r w:rsidR="00851E76" w:rsidRPr="00827F12">
        <w:rPr>
          <w:rFonts w:ascii="Times New Roman" w:hAnsi="Times New Roman" w:cs="Times New Roman"/>
        </w:rPr>
        <w:t xml:space="preserve">), </w:t>
      </w:r>
      <w:r w:rsidR="00851E76">
        <w:rPr>
          <w:rFonts w:ascii="Times New Roman" w:hAnsi="Times New Roman" w:cs="Times New Roman"/>
        </w:rPr>
        <w:t xml:space="preserve">em </w:t>
      </w:r>
      <w:r w:rsidR="007E7F80">
        <w:rPr>
          <w:rFonts w:ascii="Times New Roman" w:hAnsi="Times New Roman" w:cs="Times New Roman"/>
        </w:rPr>
        <w:t>uma</w:t>
      </w:r>
      <w:r w:rsidR="002C365D" w:rsidRPr="00827F12">
        <w:rPr>
          <w:rFonts w:ascii="Times New Roman" w:hAnsi="Times New Roman" w:cs="Times New Roman"/>
        </w:rPr>
        <w:t xml:space="preserve"> constitucionalização descendente</w:t>
      </w:r>
      <w:r w:rsidR="007E7F80">
        <w:rPr>
          <w:rFonts w:ascii="Times New Roman" w:hAnsi="Times New Roman" w:cs="Times New Roman"/>
        </w:rPr>
        <w:t xml:space="preserve"> via</w:t>
      </w:r>
      <w:r w:rsidR="002C365D" w:rsidRPr="00827F12">
        <w:rPr>
          <w:rFonts w:ascii="Times New Roman" w:hAnsi="Times New Roman" w:cs="Times New Roman"/>
        </w:rPr>
        <w:t xml:space="preserve"> controle de convencionalidade das normas domésticas</w:t>
      </w:r>
      <w:r w:rsidR="007E7F80">
        <w:rPr>
          <w:rFonts w:ascii="Times New Roman" w:hAnsi="Times New Roman" w:cs="Times New Roman"/>
        </w:rPr>
        <w:t>, quanto</w:t>
      </w:r>
      <w:r w:rsidR="00851E76">
        <w:rPr>
          <w:rFonts w:ascii="Times New Roman" w:hAnsi="Times New Roman" w:cs="Times New Roman"/>
        </w:rPr>
        <w:t xml:space="preserve"> a partir das próprias cortes constitucionais em </w:t>
      </w:r>
      <w:r w:rsidR="007E7F80">
        <w:rPr>
          <w:rFonts w:ascii="Times New Roman" w:hAnsi="Times New Roman" w:cs="Times New Roman"/>
        </w:rPr>
        <w:t>um</w:t>
      </w:r>
      <w:r w:rsidR="00851E76">
        <w:rPr>
          <w:rFonts w:ascii="Times New Roman" w:hAnsi="Times New Roman" w:cs="Times New Roman"/>
        </w:rPr>
        <w:t>a constitucionalização em</w:t>
      </w:r>
      <w:r w:rsidR="002C365D" w:rsidRPr="00827F12">
        <w:rPr>
          <w:rFonts w:ascii="Times New Roman" w:hAnsi="Times New Roman" w:cs="Times New Roman"/>
        </w:rPr>
        <w:t xml:space="preserve"> sentido ascendente</w:t>
      </w:r>
      <w:r w:rsidR="007E7F80">
        <w:rPr>
          <w:rFonts w:ascii="Times New Roman" w:hAnsi="Times New Roman" w:cs="Times New Roman"/>
        </w:rPr>
        <w:t xml:space="preserve"> (</w:t>
      </w:r>
      <w:r w:rsidR="007E7F80">
        <w:rPr>
          <w:rFonts w:ascii="Times New Roman" w:hAnsi="Times New Roman" w:cs="Times New Roman"/>
          <w:i/>
        </w:rPr>
        <w:t>bottom-</w:t>
      </w:r>
      <w:r w:rsidR="007E7F80" w:rsidRPr="00851E76">
        <w:rPr>
          <w:rFonts w:ascii="Times New Roman" w:hAnsi="Times New Roman" w:cs="Times New Roman"/>
          <w:i/>
        </w:rPr>
        <w:t>up</w:t>
      </w:r>
      <w:r w:rsidR="007E7F80">
        <w:rPr>
          <w:rFonts w:ascii="Times New Roman" w:hAnsi="Times New Roman" w:cs="Times New Roman"/>
          <w:i/>
        </w:rPr>
        <w:t>)</w:t>
      </w:r>
      <w:r w:rsidR="002C365D" w:rsidRPr="00827F12">
        <w:rPr>
          <w:rFonts w:ascii="Times New Roman" w:hAnsi="Times New Roman" w:cs="Times New Roman"/>
        </w:rPr>
        <w:t xml:space="preserve">, </w:t>
      </w:r>
      <w:r w:rsidR="007E7F80">
        <w:rPr>
          <w:rFonts w:ascii="Times New Roman" w:hAnsi="Times New Roman" w:cs="Times New Roman"/>
        </w:rPr>
        <w:t>mediante a interpretação de</w:t>
      </w:r>
      <w:r w:rsidR="002C365D" w:rsidRPr="00827F12">
        <w:rPr>
          <w:rFonts w:ascii="Times New Roman" w:hAnsi="Times New Roman" w:cs="Times New Roman"/>
        </w:rPr>
        <w:t xml:space="preserve"> normas convencionais p</w:t>
      </w:r>
      <w:r w:rsidR="00481E07">
        <w:rPr>
          <w:rFonts w:ascii="Times New Roman" w:hAnsi="Times New Roman" w:cs="Times New Roman"/>
        </w:rPr>
        <w:t>or essas</w:t>
      </w:r>
      <w:r w:rsidR="002C365D" w:rsidRPr="00827F12">
        <w:rPr>
          <w:rFonts w:ascii="Times New Roman" w:hAnsi="Times New Roman" w:cs="Times New Roman"/>
        </w:rPr>
        <w:t xml:space="preserve"> cortes, </w:t>
      </w:r>
      <w:r w:rsidR="00827F12" w:rsidRPr="00827F12">
        <w:rPr>
          <w:rFonts w:ascii="Times New Roman" w:hAnsi="Times New Roman" w:cs="Times New Roman"/>
        </w:rPr>
        <w:t>igualmente contribuindo</w:t>
      </w:r>
      <w:r w:rsidR="002C365D" w:rsidRPr="00827F12">
        <w:rPr>
          <w:rFonts w:ascii="Times New Roman" w:hAnsi="Times New Roman" w:cs="Times New Roman"/>
        </w:rPr>
        <w:t xml:space="preserve"> para os parâmetros estabelecidos pela própria Corte IDH.</w:t>
      </w:r>
      <w:r w:rsidR="002C365D" w:rsidRPr="00827F12">
        <w:rPr>
          <w:rStyle w:val="FootnoteReference"/>
          <w:rFonts w:ascii="Times New Roman" w:hAnsi="Times New Roman" w:cs="Times New Roman"/>
        </w:rPr>
        <w:footnoteReference w:id="76"/>
      </w:r>
    </w:p>
    <w:p w14:paraId="47349002" w14:textId="0E985D04" w:rsidR="00851E76" w:rsidRPr="00851E76" w:rsidRDefault="00583049" w:rsidP="00420929">
      <w:pPr>
        <w:ind w:firstLine="720"/>
        <w:jc w:val="both"/>
        <w:rPr>
          <w:rFonts w:ascii="Times New Roman" w:hAnsi="Times New Roman" w:cs="Times New Roman"/>
        </w:rPr>
      </w:pPr>
      <w:r>
        <w:rPr>
          <w:rFonts w:ascii="Times New Roman" w:hAnsi="Times New Roman" w:cs="Times New Roman"/>
        </w:rPr>
        <w:t>Diante</w:t>
      </w:r>
      <w:r w:rsidR="00851E76" w:rsidRPr="00851E76">
        <w:rPr>
          <w:rFonts w:ascii="Times New Roman" w:hAnsi="Times New Roman" w:cs="Times New Roman"/>
        </w:rPr>
        <w:t xml:space="preserve"> desse ambiente regional marcado pelo comprometimento com a construção de standards comuns, </w:t>
      </w:r>
      <w:r w:rsidR="00D906A1">
        <w:rPr>
          <w:rFonts w:ascii="Times New Roman" w:hAnsi="Times New Roman" w:cs="Times New Roman"/>
        </w:rPr>
        <w:t xml:space="preserve">os diálogos judiciais assumem um caráter </w:t>
      </w:r>
      <w:r w:rsidR="00851E76" w:rsidRPr="00851E76">
        <w:rPr>
          <w:rFonts w:ascii="Times New Roman" w:hAnsi="Times New Roman" w:cs="Times New Roman"/>
        </w:rPr>
        <w:t xml:space="preserve">coevolutivo. Se os instrumentos jurídicos estão abertos à evolução de sentido, os diálogos desempenham um papel fundamental a partir de um jogo de influências recíprocas, já que a interação para a interpretação das normas constitucionais e internacionais canaliza sua </w:t>
      </w:r>
      <w:r w:rsidR="006B6293">
        <w:rPr>
          <w:rFonts w:ascii="Times New Roman" w:hAnsi="Times New Roman" w:cs="Times New Roman"/>
        </w:rPr>
        <w:t>influência e evolução</w:t>
      </w:r>
      <w:r w:rsidR="00851E76" w:rsidRPr="00851E76">
        <w:rPr>
          <w:rFonts w:ascii="Times New Roman" w:hAnsi="Times New Roman" w:cs="Times New Roman"/>
        </w:rPr>
        <w:t>.</w:t>
      </w:r>
      <w:r w:rsidR="00851E76" w:rsidRPr="00851E76">
        <w:rPr>
          <w:rStyle w:val="FootnoteReference"/>
          <w:rFonts w:ascii="Times New Roman" w:hAnsi="Times New Roman" w:cs="Times New Roman"/>
          <w:lang w:val="es-ES_tradnl"/>
        </w:rPr>
        <w:footnoteReference w:id="77"/>
      </w:r>
      <w:r w:rsidR="00851E76" w:rsidRPr="00851E76">
        <w:rPr>
          <w:rFonts w:ascii="Times New Roman" w:hAnsi="Times New Roman" w:cs="Times New Roman"/>
        </w:rPr>
        <w:t xml:space="preserve"> Nesse sentido, </w:t>
      </w:r>
      <w:r w:rsidR="00D755C3">
        <w:rPr>
          <w:rFonts w:ascii="Times New Roman" w:hAnsi="Times New Roman" w:cs="Times New Roman"/>
        </w:rPr>
        <w:t xml:space="preserve">os novos </w:t>
      </w:r>
      <w:r w:rsidR="00D755C3" w:rsidRPr="00851E76">
        <w:rPr>
          <w:rFonts w:ascii="Times New Roman" w:hAnsi="Times New Roman" w:cs="Times New Roman"/>
        </w:rPr>
        <w:t xml:space="preserve">standards em direitos humanos </w:t>
      </w:r>
      <w:r w:rsidR="00D755C3">
        <w:rPr>
          <w:rFonts w:ascii="Times New Roman" w:hAnsi="Times New Roman" w:cs="Times New Roman"/>
        </w:rPr>
        <w:t xml:space="preserve">podem advir </w:t>
      </w:r>
      <w:r w:rsidR="00851E76" w:rsidRPr="00851E76">
        <w:rPr>
          <w:rFonts w:ascii="Times New Roman" w:hAnsi="Times New Roman" w:cs="Times New Roman"/>
        </w:rPr>
        <w:t>tanto</w:t>
      </w:r>
      <w:r w:rsidR="00D755C3">
        <w:rPr>
          <w:rFonts w:ascii="Times New Roman" w:hAnsi="Times New Roman" w:cs="Times New Roman"/>
        </w:rPr>
        <w:t xml:space="preserve"> de</w:t>
      </w:r>
      <w:r w:rsidR="00851E76" w:rsidRPr="00851E76">
        <w:rPr>
          <w:rFonts w:ascii="Times New Roman" w:hAnsi="Times New Roman" w:cs="Times New Roman"/>
        </w:rPr>
        <w:t xml:space="preserve"> cortes domésticas quanto </w:t>
      </w:r>
      <w:r w:rsidR="00D755C3">
        <w:rPr>
          <w:rFonts w:ascii="Times New Roman" w:hAnsi="Times New Roman" w:cs="Times New Roman"/>
        </w:rPr>
        <w:t>da Corte ID</w:t>
      </w:r>
      <w:r w:rsidR="00851E76" w:rsidRPr="00851E76">
        <w:rPr>
          <w:rFonts w:ascii="Times New Roman" w:hAnsi="Times New Roman" w:cs="Times New Roman"/>
        </w:rPr>
        <w:t>.</w:t>
      </w:r>
      <w:r w:rsidR="00851E76" w:rsidRPr="00851E76">
        <w:rPr>
          <w:rStyle w:val="FootnoteReference"/>
          <w:rFonts w:ascii="Times New Roman" w:hAnsi="Times New Roman" w:cs="Times New Roman"/>
        </w:rPr>
        <w:footnoteReference w:id="78"/>
      </w:r>
      <w:r w:rsidR="00851E76" w:rsidRPr="00851E76">
        <w:rPr>
          <w:rFonts w:ascii="Times New Roman" w:hAnsi="Times New Roman" w:cs="Times New Roman"/>
        </w:rPr>
        <w:t xml:space="preserve"> </w:t>
      </w:r>
      <w:r w:rsidR="00D755C3">
        <w:rPr>
          <w:rFonts w:ascii="Times New Roman" w:hAnsi="Times New Roman" w:cs="Times New Roman"/>
        </w:rPr>
        <w:t xml:space="preserve">Trata-se de um </w:t>
      </w:r>
      <w:r w:rsidR="00851E76" w:rsidRPr="00851E76">
        <w:rPr>
          <w:rFonts w:ascii="Times New Roman" w:hAnsi="Times New Roman" w:cs="Times New Roman"/>
        </w:rPr>
        <w:t xml:space="preserve">diálogo marcado por (i) policentrismo, em virtude da diversidade de intérpretes dos direitos humanos para a construção dos standards regionais; (ii) integralidade, pois todas as cortes envolvidas podem figurar como origem ou destino desses standards regionais; (iii) deliberação, em que a Corte regional atua como um </w:t>
      </w:r>
      <w:r w:rsidR="00851E76" w:rsidRPr="006310C6">
        <w:rPr>
          <w:rFonts w:ascii="Times New Roman" w:hAnsi="Times New Roman" w:cs="Times New Roman"/>
          <w:i/>
        </w:rPr>
        <w:t>primo inter pares</w:t>
      </w:r>
      <w:r w:rsidR="00851E76" w:rsidRPr="00851E76">
        <w:rPr>
          <w:rFonts w:ascii="Times New Roman" w:hAnsi="Times New Roman" w:cs="Times New Roman"/>
        </w:rPr>
        <w:t xml:space="preserve"> em uma rede deliberativa transnacional, e não um órgão hierárquico de cassação; (iv) multidirecionalidade, pois as comunicações entre as cortes se realizam em diversos sentidos, da Corte supranacional para as nacionais ou o inverso, ou ainda entre as cortes nacionais entre si.</w:t>
      </w:r>
      <w:r w:rsidR="00851E76" w:rsidRPr="00851E76">
        <w:rPr>
          <w:rStyle w:val="FootnoteReference"/>
          <w:rFonts w:ascii="Times New Roman" w:hAnsi="Times New Roman" w:cs="Times New Roman"/>
        </w:rPr>
        <w:footnoteReference w:id="79"/>
      </w:r>
    </w:p>
    <w:p w14:paraId="2F3DCC24" w14:textId="224317B5" w:rsidR="00B13367" w:rsidRDefault="007261F0" w:rsidP="00420929">
      <w:pPr>
        <w:widowControl w:val="0"/>
        <w:autoSpaceDE w:val="0"/>
        <w:autoSpaceDN w:val="0"/>
        <w:adjustRightInd w:val="0"/>
        <w:jc w:val="both"/>
        <w:rPr>
          <w:rFonts w:ascii="Times New Roman" w:hAnsi="Times New Roman" w:cs="Times New Roman"/>
        </w:rPr>
      </w:pPr>
      <w:r>
        <w:rPr>
          <w:rFonts w:ascii="Times New Roman" w:hAnsi="Times New Roman" w:cs="Times New Roman"/>
        </w:rPr>
        <w:tab/>
        <w:t>No</w:t>
      </w:r>
      <w:r w:rsidR="00632821">
        <w:rPr>
          <w:rFonts w:ascii="Times New Roman" w:hAnsi="Times New Roman" w:cs="Times New Roman"/>
        </w:rPr>
        <w:t>s diálogos judiciais</w:t>
      </w:r>
      <w:r>
        <w:rPr>
          <w:rFonts w:ascii="Times New Roman" w:hAnsi="Times New Roman" w:cs="Times New Roman"/>
        </w:rPr>
        <w:t xml:space="preserve"> mantidos no ICCAL</w:t>
      </w:r>
      <w:r w:rsidR="00632821">
        <w:rPr>
          <w:rFonts w:ascii="Times New Roman" w:hAnsi="Times New Roman" w:cs="Times New Roman"/>
        </w:rPr>
        <w:t xml:space="preserve">, </w:t>
      </w:r>
      <w:r>
        <w:rPr>
          <w:rFonts w:ascii="Times New Roman" w:hAnsi="Times New Roman" w:cs="Times New Roman"/>
        </w:rPr>
        <w:t>ainda que se considere sua multidimensionalidade, é preciso reconhe</w:t>
      </w:r>
      <w:r w:rsidR="00C97C20">
        <w:rPr>
          <w:rFonts w:ascii="Times New Roman" w:hAnsi="Times New Roman" w:cs="Times New Roman"/>
        </w:rPr>
        <w:t>cer que a jurisprudê</w:t>
      </w:r>
      <w:r>
        <w:rPr>
          <w:rFonts w:ascii="Times New Roman" w:hAnsi="Times New Roman" w:cs="Times New Roman"/>
        </w:rPr>
        <w:t xml:space="preserve">ncia da Corte IDH exerce um papel central, especialmente em virtude da força vinculante a ela atribuída pelos artigos 62.1 e 68 da </w:t>
      </w:r>
      <w:r w:rsidR="00632821">
        <w:rPr>
          <w:rFonts w:ascii="Times New Roman" w:hAnsi="Times New Roman" w:cs="Times New Roman"/>
        </w:rPr>
        <w:t>Convenção Americana sobre Direitos Humanos</w:t>
      </w:r>
      <w:r>
        <w:rPr>
          <w:rFonts w:ascii="Times New Roman" w:hAnsi="Times New Roman" w:cs="Times New Roman"/>
        </w:rPr>
        <w:t>. T</w:t>
      </w:r>
      <w:r w:rsidR="000B62FC">
        <w:rPr>
          <w:rFonts w:ascii="Times New Roman" w:hAnsi="Times New Roman" w:cs="Times New Roman"/>
        </w:rPr>
        <w:t>al como um vértice a partir do qual derivam os processos hermenêuticos</w:t>
      </w:r>
      <w:r w:rsidR="005820E1">
        <w:rPr>
          <w:rFonts w:ascii="Times New Roman" w:hAnsi="Times New Roman" w:cs="Times New Roman"/>
        </w:rPr>
        <w:t>, as decisões proferidas pela Corte IDH – tanto em controle de convencionalidade quanto em opin</w:t>
      </w:r>
      <w:r w:rsidR="00C97C20">
        <w:rPr>
          <w:rFonts w:ascii="Times New Roman" w:hAnsi="Times New Roman" w:cs="Times New Roman"/>
        </w:rPr>
        <w:t>i</w:t>
      </w:r>
      <w:r w:rsidR="005820E1">
        <w:rPr>
          <w:rFonts w:ascii="Times New Roman" w:hAnsi="Times New Roman" w:cs="Times New Roman"/>
        </w:rPr>
        <w:t xml:space="preserve">ões consultivas – </w:t>
      </w:r>
      <w:r w:rsidR="00381EDD">
        <w:rPr>
          <w:rFonts w:ascii="Times New Roman" w:hAnsi="Times New Roman" w:cs="Times New Roman"/>
        </w:rPr>
        <w:t>desencadeia</w:t>
      </w:r>
      <w:r w:rsidR="005820E1">
        <w:rPr>
          <w:rFonts w:ascii="Times New Roman" w:hAnsi="Times New Roman" w:cs="Times New Roman"/>
        </w:rPr>
        <w:t>m</w:t>
      </w:r>
      <w:r w:rsidR="000B62FC">
        <w:rPr>
          <w:rFonts w:ascii="Times New Roman" w:hAnsi="Times New Roman" w:cs="Times New Roman"/>
        </w:rPr>
        <w:t xml:space="preserve"> uma vinculação especial</w:t>
      </w:r>
      <w:r w:rsidR="00660121">
        <w:rPr>
          <w:rFonts w:ascii="Times New Roman" w:hAnsi="Times New Roman" w:cs="Times New Roman"/>
        </w:rPr>
        <w:t>,</w:t>
      </w:r>
      <w:r w:rsidR="005820E1" w:rsidRPr="005820E1">
        <w:rPr>
          <w:rStyle w:val="FootnoteReference"/>
          <w:rFonts w:ascii="Arial" w:hAnsi="Arial" w:cs="Arial"/>
        </w:rPr>
        <w:t xml:space="preserve"> </w:t>
      </w:r>
      <w:r w:rsidR="005820E1">
        <w:rPr>
          <w:rStyle w:val="FootnoteReference"/>
          <w:rFonts w:ascii="Arial" w:hAnsi="Arial" w:cs="Arial"/>
        </w:rPr>
        <w:footnoteReference w:id="80"/>
      </w:r>
      <w:r w:rsidR="005820E1">
        <w:rPr>
          <w:rFonts w:ascii="Times New Roman" w:hAnsi="Times New Roman" w:cs="Times New Roman"/>
        </w:rPr>
        <w:t xml:space="preserve"> </w:t>
      </w:r>
      <w:r w:rsidR="00660121">
        <w:rPr>
          <w:rFonts w:ascii="Times New Roman" w:hAnsi="Times New Roman" w:cs="Times New Roman"/>
        </w:rPr>
        <w:t xml:space="preserve">obrigando juízes nacionais a levá-las em consideração tal como um </w:t>
      </w:r>
      <w:r w:rsidR="00660121">
        <w:rPr>
          <w:rFonts w:ascii="Times New Roman" w:hAnsi="Times New Roman" w:cs="Times New Roman"/>
        </w:rPr>
        <w:lastRenderedPageBreak/>
        <w:t>precedente argumentativo.</w:t>
      </w:r>
      <w:r w:rsidR="00166373">
        <w:rPr>
          <w:rStyle w:val="FootnoteReference"/>
          <w:rFonts w:ascii="Times New Roman" w:hAnsi="Times New Roman" w:cs="Times New Roman"/>
        </w:rPr>
        <w:footnoteReference w:id="81"/>
      </w:r>
      <w:r w:rsidR="00660121">
        <w:rPr>
          <w:rFonts w:ascii="Times New Roman" w:hAnsi="Times New Roman" w:cs="Times New Roman"/>
        </w:rPr>
        <w:t xml:space="preserve"> </w:t>
      </w:r>
    </w:p>
    <w:p w14:paraId="3C27F442" w14:textId="7414347B" w:rsidR="007261F0" w:rsidRPr="002C2DAD" w:rsidRDefault="00AD5E57" w:rsidP="00420929">
      <w:pPr>
        <w:widowControl w:val="0"/>
        <w:autoSpaceDE w:val="0"/>
        <w:autoSpaceDN w:val="0"/>
        <w:adjustRightInd w:val="0"/>
        <w:ind w:firstLine="720"/>
        <w:jc w:val="both"/>
        <w:rPr>
          <w:rFonts w:ascii="Times New Roman" w:hAnsi="Times New Roman" w:cs="Times New Roman"/>
        </w:rPr>
      </w:pPr>
      <w:r>
        <w:rPr>
          <w:rFonts w:ascii="Times New Roman" w:hAnsi="Times New Roman" w:cs="Times New Roman"/>
        </w:rPr>
        <w:t>Essa jurisprudência supranacional não representa, saliente-se, a</w:t>
      </w:r>
      <w:r w:rsidR="005820E1">
        <w:rPr>
          <w:rFonts w:ascii="Times New Roman" w:hAnsi="Times New Roman" w:cs="Times New Roman"/>
        </w:rPr>
        <w:t xml:space="preserve"> última palavra na interpretação</w:t>
      </w:r>
      <w:r>
        <w:rPr>
          <w:rFonts w:ascii="Times New Roman" w:hAnsi="Times New Roman" w:cs="Times New Roman"/>
        </w:rPr>
        <w:t xml:space="preserve"> das normas de direitos humanos</w:t>
      </w:r>
      <w:r w:rsidR="00B8451B">
        <w:rPr>
          <w:rFonts w:ascii="Times New Roman" w:hAnsi="Times New Roman" w:cs="Times New Roman"/>
        </w:rPr>
        <w:t>, nem sugere que</w:t>
      </w:r>
      <w:r w:rsidR="00660121">
        <w:rPr>
          <w:rFonts w:ascii="Times New Roman" w:hAnsi="Times New Roman" w:cs="Times New Roman"/>
        </w:rPr>
        <w:t xml:space="preserve"> a Corte IDH estaria autorizada a atuar como uma corte de cassação</w:t>
      </w:r>
      <w:r w:rsidR="00D82DF4">
        <w:rPr>
          <w:rStyle w:val="FootnoteReference"/>
          <w:rFonts w:ascii="Times New Roman" w:hAnsi="Times New Roman" w:cs="Times New Roman"/>
        </w:rPr>
        <w:footnoteReference w:id="82"/>
      </w:r>
      <w:r w:rsidR="00660121">
        <w:rPr>
          <w:rFonts w:ascii="Times New Roman" w:hAnsi="Times New Roman" w:cs="Times New Roman"/>
        </w:rPr>
        <w:t>. Seu papel é</w:t>
      </w:r>
      <w:r w:rsidR="005820E1">
        <w:rPr>
          <w:rFonts w:ascii="Times New Roman" w:hAnsi="Times New Roman" w:cs="Times New Roman"/>
        </w:rPr>
        <w:t xml:space="preserve"> fornece</w:t>
      </w:r>
      <w:r w:rsidR="00660121">
        <w:rPr>
          <w:rFonts w:ascii="Times New Roman" w:hAnsi="Times New Roman" w:cs="Times New Roman"/>
        </w:rPr>
        <w:t>r</w:t>
      </w:r>
      <w:r w:rsidR="005820E1">
        <w:rPr>
          <w:rFonts w:ascii="Times New Roman" w:hAnsi="Times New Roman" w:cs="Times New Roman"/>
        </w:rPr>
        <w:t xml:space="preserve"> uma solução definitiva para o caso que</w:t>
      </w:r>
      <w:r w:rsidR="00660121">
        <w:rPr>
          <w:rFonts w:ascii="Times New Roman" w:hAnsi="Times New Roman" w:cs="Times New Roman"/>
        </w:rPr>
        <w:t xml:space="preserve"> lhe é</w:t>
      </w:r>
      <w:r w:rsidR="005820E1">
        <w:rPr>
          <w:rFonts w:ascii="Times New Roman" w:hAnsi="Times New Roman" w:cs="Times New Roman"/>
        </w:rPr>
        <w:t xml:space="preserve"> submetido</w:t>
      </w:r>
      <w:r w:rsidR="00660121">
        <w:rPr>
          <w:rFonts w:ascii="Times New Roman" w:hAnsi="Times New Roman" w:cs="Times New Roman"/>
        </w:rPr>
        <w:t>, e através desse julgado orientar o sentido dos diálogos judiciais</w:t>
      </w:r>
      <w:r w:rsidR="00B13367">
        <w:rPr>
          <w:rFonts w:ascii="Times New Roman" w:hAnsi="Times New Roman" w:cs="Times New Roman"/>
        </w:rPr>
        <w:t xml:space="preserve"> funcionando como um elo de ligação entre as diversas decisões judiciais sobre a mesma matéria</w:t>
      </w:r>
      <w:r w:rsidR="005820E1">
        <w:rPr>
          <w:rFonts w:ascii="Times New Roman" w:hAnsi="Times New Roman" w:cs="Times New Roman"/>
        </w:rPr>
        <w:t>. A interpretação e definição dos direitos humanos têm um caráter dinâmico que não se coaduna com posições engessadas.</w:t>
      </w:r>
      <w:r w:rsidR="005820E1" w:rsidRPr="005820E1">
        <w:rPr>
          <w:rStyle w:val="FootnoteReference"/>
          <w:rFonts w:ascii="Arial" w:hAnsi="Arial" w:cs="Arial"/>
        </w:rPr>
        <w:t xml:space="preserve"> </w:t>
      </w:r>
      <w:r w:rsidR="005820E1">
        <w:rPr>
          <w:rStyle w:val="FootnoteReference"/>
          <w:rFonts w:ascii="Arial" w:hAnsi="Arial" w:cs="Arial"/>
        </w:rPr>
        <w:footnoteReference w:id="83"/>
      </w:r>
    </w:p>
    <w:p w14:paraId="50EE56A8" w14:textId="34DEEC90" w:rsidR="00C3740A" w:rsidRPr="0001179B" w:rsidRDefault="00C3740A" w:rsidP="00420929">
      <w:pPr>
        <w:ind w:firstLine="720"/>
        <w:jc w:val="both"/>
        <w:rPr>
          <w:rFonts w:ascii="Times New Roman" w:hAnsi="Times New Roman" w:cs="Times New Roman"/>
        </w:rPr>
      </w:pPr>
      <w:r w:rsidRPr="002C2DAD">
        <w:rPr>
          <w:rFonts w:ascii="Times New Roman" w:hAnsi="Times New Roman" w:cs="Times New Roman"/>
        </w:rPr>
        <w:t>Em sistemas como o ICCAL, os diálogos judiciais assumem o papel de “autêntica necessidade existencial” para a garantia dos direitos humanos</w:t>
      </w:r>
      <w:r w:rsidR="00273C75" w:rsidRPr="002C2DAD">
        <w:rPr>
          <w:rFonts w:ascii="Times New Roman" w:hAnsi="Times New Roman" w:cs="Times New Roman"/>
        </w:rPr>
        <w:t>,</w:t>
      </w:r>
      <w:r w:rsidRPr="002C2DAD">
        <w:rPr>
          <w:rStyle w:val="FootnoteReference"/>
          <w:rFonts w:ascii="Times New Roman" w:hAnsi="Times New Roman" w:cs="Times New Roman"/>
        </w:rPr>
        <w:footnoteReference w:id="84"/>
      </w:r>
      <w:r w:rsidR="00273C75" w:rsidRPr="002C2DAD">
        <w:rPr>
          <w:rFonts w:ascii="Times New Roman" w:hAnsi="Times New Roman" w:cs="Times New Roman"/>
        </w:rPr>
        <w:t xml:space="preserve"> na medida em que </w:t>
      </w:r>
      <w:r w:rsidRPr="002C2DAD">
        <w:rPr>
          <w:rFonts w:ascii="Times New Roman" w:hAnsi="Times New Roman" w:cs="Times New Roman"/>
        </w:rPr>
        <w:t xml:space="preserve">conformam, criam os sentidos das normas de direitos humanos, tendo por base </w:t>
      </w:r>
      <w:r w:rsidR="00273C75" w:rsidRPr="002C2DAD">
        <w:rPr>
          <w:rFonts w:ascii="Times New Roman" w:hAnsi="Times New Roman" w:cs="Times New Roman"/>
        </w:rPr>
        <w:t>o direito positivo nacional e internacional interpretado pel</w:t>
      </w:r>
      <w:r w:rsidRPr="002C2DAD">
        <w:rPr>
          <w:rFonts w:ascii="Times New Roman" w:hAnsi="Times New Roman" w:cs="Times New Roman"/>
        </w:rPr>
        <w:t>os diversos interlocutores do sistema.</w:t>
      </w:r>
      <w:r w:rsidR="0001179B">
        <w:rPr>
          <w:rFonts w:ascii="Times New Roman" w:hAnsi="Times New Roman" w:cs="Times New Roman"/>
        </w:rPr>
        <w:t xml:space="preserve"> Ainda que a Corte Interamericana profira uma sentença final para um dado litígio</w:t>
      </w:r>
      <w:r w:rsidR="0001179B" w:rsidRPr="0001179B">
        <w:rPr>
          <w:rFonts w:ascii="Times New Roman" w:hAnsi="Times New Roman" w:cs="Times New Roman"/>
        </w:rPr>
        <w:t>, no processo de</w:t>
      </w:r>
      <w:r w:rsidRPr="0001179B">
        <w:rPr>
          <w:rFonts w:ascii="Times New Roman" w:hAnsi="Times New Roman" w:cs="Times New Roman"/>
        </w:rPr>
        <w:t xml:space="preserve"> construção dos sentidos dos direitos humanos, </w:t>
      </w:r>
      <w:r w:rsidR="0001179B" w:rsidRPr="0001179B">
        <w:rPr>
          <w:rFonts w:ascii="Times New Roman" w:hAnsi="Times New Roman" w:cs="Times New Roman"/>
        </w:rPr>
        <w:t xml:space="preserve">ela </w:t>
      </w:r>
      <w:r w:rsidRPr="0001179B">
        <w:rPr>
          <w:rFonts w:ascii="Times New Roman" w:hAnsi="Times New Roman" w:cs="Times New Roman"/>
        </w:rPr>
        <w:t>corresponderá a uma contribuição a ser recebida e reforçada, ou eventualmente ultrapassada.</w:t>
      </w:r>
      <w:r w:rsidRPr="0001179B">
        <w:rPr>
          <w:rStyle w:val="FootnoteReference"/>
          <w:rFonts w:ascii="Times New Roman" w:hAnsi="Times New Roman" w:cs="Times New Roman"/>
        </w:rPr>
        <w:footnoteReference w:id="85"/>
      </w:r>
      <w:r w:rsidRPr="0001179B">
        <w:rPr>
          <w:rFonts w:ascii="Times New Roman" w:hAnsi="Times New Roman" w:cs="Times New Roman"/>
        </w:rPr>
        <w:t xml:space="preserve"> No lugar do exercício puro e simples de autoridade de uma corte nacional ou supranacional,</w:t>
      </w:r>
      <w:r w:rsidRPr="0001179B">
        <w:rPr>
          <w:rStyle w:val="FootnoteReference"/>
          <w:rFonts w:ascii="Times New Roman" w:hAnsi="Times New Roman" w:cs="Times New Roman"/>
        </w:rPr>
        <w:footnoteReference w:id="86"/>
      </w:r>
      <w:r w:rsidRPr="0001179B">
        <w:rPr>
          <w:rFonts w:ascii="Times New Roman" w:hAnsi="Times New Roman" w:cs="Times New Roman"/>
        </w:rPr>
        <w:t xml:space="preserve"> um comprometimento dos juízes envolvidos, conscientes do pluralismo jurídico de matiz constitucional em que estão inseridos, e de seu papel primordial no sentido de promover a necessária harmonização.</w:t>
      </w:r>
    </w:p>
    <w:p w14:paraId="5963D04A" w14:textId="2E14C20D" w:rsidR="00462CCF" w:rsidRDefault="00EA7541" w:rsidP="00420929">
      <w:pPr>
        <w:ind w:firstLine="720"/>
        <w:jc w:val="both"/>
        <w:rPr>
          <w:rFonts w:ascii="Times New Roman" w:hAnsi="Times New Roman" w:cs="Times New Roman"/>
        </w:rPr>
      </w:pPr>
      <w:r w:rsidRPr="00EA7541">
        <w:rPr>
          <w:rFonts w:ascii="Times New Roman" w:hAnsi="Times New Roman" w:cs="Times New Roman"/>
        </w:rPr>
        <w:t xml:space="preserve">Dessa realidade se pode deduzir que </w:t>
      </w:r>
      <w:r w:rsidR="00C3740A" w:rsidRPr="00EA7541">
        <w:rPr>
          <w:rFonts w:ascii="Times New Roman" w:hAnsi="Times New Roman" w:cs="Times New Roman"/>
        </w:rPr>
        <w:t>o nível de vinculação entre os interlocutores</w:t>
      </w:r>
      <w:r w:rsidRPr="00EA7541">
        <w:rPr>
          <w:rFonts w:ascii="Times New Roman" w:hAnsi="Times New Roman" w:cs="Times New Roman"/>
        </w:rPr>
        <w:t xml:space="preserve"> do ICCAL</w:t>
      </w:r>
      <w:r w:rsidR="00C3740A" w:rsidRPr="00EA7541">
        <w:rPr>
          <w:rFonts w:ascii="Times New Roman" w:hAnsi="Times New Roman" w:cs="Times New Roman"/>
        </w:rPr>
        <w:t xml:space="preserve"> será maior, a necessidade de se engajar no diálogo mais premente. A espontaneidade </w:t>
      </w:r>
      <w:r w:rsidRPr="00EA7541">
        <w:rPr>
          <w:rFonts w:ascii="Times New Roman" w:hAnsi="Times New Roman" w:cs="Times New Roman"/>
        </w:rPr>
        <w:t>desses diálogos está</w:t>
      </w:r>
      <w:r w:rsidR="00C3740A" w:rsidRPr="00EA7541">
        <w:rPr>
          <w:rFonts w:ascii="Times New Roman" w:hAnsi="Times New Roman" w:cs="Times New Roman"/>
        </w:rPr>
        <w:t xml:space="preserve"> na ausência de força coercitiva da decisão, que seria ori</w:t>
      </w:r>
      <w:r w:rsidR="00703FC8">
        <w:rPr>
          <w:rFonts w:ascii="Times New Roman" w:hAnsi="Times New Roman" w:cs="Times New Roman"/>
        </w:rPr>
        <w:t>u</w:t>
      </w:r>
      <w:r w:rsidR="00C3740A" w:rsidRPr="00EA7541">
        <w:rPr>
          <w:rFonts w:ascii="Times New Roman" w:hAnsi="Times New Roman" w:cs="Times New Roman"/>
        </w:rPr>
        <w:t xml:space="preserve">nda de uma típica formação hierárquica. </w:t>
      </w:r>
      <w:r w:rsidRPr="00EA7541">
        <w:rPr>
          <w:rFonts w:ascii="Times New Roman" w:hAnsi="Times New Roman" w:cs="Times New Roman"/>
        </w:rPr>
        <w:t>As cortes integrantes do ICCAL são titulares de uma espécie de</w:t>
      </w:r>
      <w:r w:rsidR="00C3740A" w:rsidRPr="00EA7541">
        <w:rPr>
          <w:rFonts w:ascii="Times New Roman" w:hAnsi="Times New Roman" w:cs="Times New Roman"/>
        </w:rPr>
        <w:t xml:space="preserve"> “liberdade vigiada”, que dá direito ao dissenso, porém não à indiferença.</w:t>
      </w:r>
    </w:p>
    <w:p w14:paraId="01D748D1" w14:textId="2902F0BD" w:rsidR="001015FB" w:rsidRDefault="00FB5D8D" w:rsidP="00420929">
      <w:pPr>
        <w:ind w:firstLine="720"/>
        <w:jc w:val="both"/>
        <w:rPr>
          <w:rFonts w:ascii="Times New Roman" w:hAnsi="Times New Roman" w:cs="Times New Roman"/>
          <w:color w:val="000000"/>
        </w:rPr>
      </w:pPr>
      <w:r>
        <w:rPr>
          <w:rFonts w:ascii="Times New Roman" w:hAnsi="Times New Roman" w:cs="Times New Roman"/>
          <w:color w:val="000000"/>
        </w:rPr>
        <w:t>Assim</w:t>
      </w:r>
      <w:r w:rsidR="001015FB">
        <w:rPr>
          <w:rFonts w:ascii="Times New Roman" w:hAnsi="Times New Roman" w:cs="Times New Roman"/>
          <w:color w:val="000000"/>
        </w:rPr>
        <w:t xml:space="preserve">, os diálogos judiciais exercem um papel fundamental na formação do </w:t>
      </w:r>
      <w:r w:rsidR="001015FB" w:rsidRPr="00FB5D8D">
        <w:rPr>
          <w:rFonts w:ascii="Times New Roman" w:hAnsi="Times New Roman" w:cs="Times New Roman"/>
          <w:i/>
          <w:color w:val="000000"/>
        </w:rPr>
        <w:t>Ius Commune</w:t>
      </w:r>
      <w:r w:rsidR="00836E24">
        <w:rPr>
          <w:rFonts w:ascii="Times New Roman" w:hAnsi="Times New Roman" w:cs="Times New Roman"/>
          <w:color w:val="000000"/>
        </w:rPr>
        <w:t xml:space="preserve"> pois viabilizam uma mútu</w:t>
      </w:r>
      <w:r w:rsidR="001015FB">
        <w:rPr>
          <w:rFonts w:ascii="Times New Roman" w:hAnsi="Times New Roman" w:cs="Times New Roman"/>
          <w:color w:val="000000"/>
        </w:rPr>
        <w:t xml:space="preserve">a influência jurisprudencial </w:t>
      </w:r>
      <w:r w:rsidR="007F099E">
        <w:rPr>
          <w:rFonts w:ascii="Times New Roman" w:hAnsi="Times New Roman" w:cs="Times New Roman"/>
          <w:color w:val="000000"/>
        </w:rPr>
        <w:t xml:space="preserve">capaz de </w:t>
      </w:r>
      <w:r w:rsidR="001015FB">
        <w:rPr>
          <w:rFonts w:ascii="Times New Roman" w:hAnsi="Times New Roman" w:cs="Times New Roman"/>
          <w:color w:val="000000"/>
        </w:rPr>
        <w:t>gera</w:t>
      </w:r>
      <w:r w:rsidR="007F099E">
        <w:rPr>
          <w:rFonts w:ascii="Times New Roman" w:hAnsi="Times New Roman" w:cs="Times New Roman"/>
          <w:color w:val="000000"/>
        </w:rPr>
        <w:t>r</w:t>
      </w:r>
      <w:r w:rsidR="001015FB">
        <w:rPr>
          <w:rFonts w:ascii="Times New Roman" w:hAnsi="Times New Roman" w:cs="Times New Roman"/>
          <w:color w:val="000000"/>
        </w:rPr>
        <w:t xml:space="preserve"> uma “comunidade de soluções”.</w:t>
      </w:r>
      <w:r w:rsidR="001015FB">
        <w:rPr>
          <w:rStyle w:val="FootnoteReference"/>
          <w:rFonts w:ascii="Times New Roman" w:hAnsi="Times New Roman" w:cs="Times New Roman"/>
          <w:color w:val="000000"/>
        </w:rPr>
        <w:footnoteReference w:id="87"/>
      </w:r>
      <w:r w:rsidR="000744CD">
        <w:rPr>
          <w:rFonts w:ascii="Times New Roman" w:hAnsi="Times New Roman" w:cs="Times New Roman"/>
          <w:color w:val="000000"/>
        </w:rPr>
        <w:t xml:space="preserve"> Ainda que não sejam a única ferramenta </w:t>
      </w:r>
      <w:r w:rsidR="00836E24">
        <w:rPr>
          <w:rFonts w:ascii="Times New Roman" w:hAnsi="Times New Roman" w:cs="Times New Roman"/>
          <w:color w:val="000000"/>
        </w:rPr>
        <w:t>a</w:t>
      </w:r>
      <w:r w:rsidR="000744CD">
        <w:rPr>
          <w:rFonts w:ascii="Times New Roman" w:hAnsi="Times New Roman" w:cs="Times New Roman"/>
          <w:color w:val="000000"/>
        </w:rPr>
        <w:t xml:space="preserve"> viabiliza</w:t>
      </w:r>
      <w:r w:rsidR="00836E24">
        <w:rPr>
          <w:rFonts w:ascii="Times New Roman" w:hAnsi="Times New Roman" w:cs="Times New Roman"/>
          <w:color w:val="000000"/>
        </w:rPr>
        <w:t>r</w:t>
      </w:r>
      <w:r w:rsidR="000744CD">
        <w:rPr>
          <w:rFonts w:ascii="Times New Roman" w:hAnsi="Times New Roman" w:cs="Times New Roman"/>
          <w:color w:val="000000"/>
        </w:rPr>
        <w:t xml:space="preserve"> essa formação, já que são essenciais pontes </w:t>
      </w:r>
      <w:r w:rsidR="00B113C2">
        <w:rPr>
          <w:rFonts w:ascii="Times New Roman" w:hAnsi="Times New Roman" w:cs="Times New Roman"/>
          <w:color w:val="000000"/>
        </w:rPr>
        <w:t>de natureza política,</w:t>
      </w:r>
      <w:r w:rsidR="000744CD">
        <w:rPr>
          <w:rFonts w:ascii="Times New Roman" w:hAnsi="Times New Roman" w:cs="Times New Roman"/>
          <w:color w:val="000000"/>
        </w:rPr>
        <w:t xml:space="preserve"> social </w:t>
      </w:r>
      <w:r w:rsidR="00B113C2">
        <w:rPr>
          <w:rFonts w:ascii="Times New Roman" w:hAnsi="Times New Roman" w:cs="Times New Roman"/>
          <w:color w:val="000000"/>
        </w:rPr>
        <w:t xml:space="preserve">e cultural </w:t>
      </w:r>
      <w:r w:rsidR="000744CD">
        <w:rPr>
          <w:rFonts w:ascii="Times New Roman" w:hAnsi="Times New Roman" w:cs="Times New Roman"/>
          <w:color w:val="000000"/>
        </w:rPr>
        <w:t xml:space="preserve">a viabilizar as decisões judiciais e a pautar políticas públicas voltadas para a realização dos direitos </w:t>
      </w:r>
      <w:r w:rsidR="000744CD">
        <w:rPr>
          <w:rFonts w:ascii="Times New Roman" w:hAnsi="Times New Roman" w:cs="Times New Roman"/>
          <w:color w:val="000000"/>
        </w:rPr>
        <w:lastRenderedPageBreak/>
        <w:t>humanos</w:t>
      </w:r>
      <w:r w:rsidR="00842470">
        <w:rPr>
          <w:rFonts w:ascii="Times New Roman" w:hAnsi="Times New Roman" w:cs="Times New Roman"/>
          <w:color w:val="000000"/>
        </w:rPr>
        <w:t>,</w:t>
      </w:r>
      <w:r w:rsidR="00C00E93">
        <w:rPr>
          <w:rStyle w:val="FootnoteReference"/>
          <w:rFonts w:ascii="Times New Roman" w:hAnsi="Times New Roman" w:cs="Times New Roman"/>
          <w:color w:val="000000"/>
        </w:rPr>
        <w:footnoteReference w:id="88"/>
      </w:r>
      <w:r w:rsidR="000744CD">
        <w:rPr>
          <w:rFonts w:ascii="Times New Roman" w:hAnsi="Times New Roman" w:cs="Times New Roman"/>
          <w:color w:val="000000"/>
        </w:rPr>
        <w:t xml:space="preserve"> </w:t>
      </w:r>
      <w:r w:rsidR="00836E24">
        <w:rPr>
          <w:rFonts w:ascii="Times New Roman" w:hAnsi="Times New Roman" w:cs="Times New Roman"/>
          <w:color w:val="000000"/>
        </w:rPr>
        <w:t>os diálogos judiciais</w:t>
      </w:r>
      <w:r w:rsidR="00B113C2">
        <w:rPr>
          <w:rFonts w:ascii="Times New Roman" w:hAnsi="Times New Roman" w:cs="Times New Roman"/>
          <w:color w:val="000000"/>
        </w:rPr>
        <w:t xml:space="preserve"> </w:t>
      </w:r>
      <w:r w:rsidR="00CC7FC4">
        <w:rPr>
          <w:rFonts w:ascii="Times New Roman" w:hAnsi="Times New Roman" w:cs="Times New Roman"/>
          <w:color w:val="000000"/>
        </w:rPr>
        <w:t>têm o condão de</w:t>
      </w:r>
      <w:r w:rsidR="00B113C2">
        <w:rPr>
          <w:rFonts w:ascii="Times New Roman" w:hAnsi="Times New Roman" w:cs="Times New Roman"/>
          <w:color w:val="000000"/>
        </w:rPr>
        <w:t xml:space="preserve"> impulsionar as demais pontes, </w:t>
      </w:r>
      <w:r w:rsidR="00CC7FC4">
        <w:rPr>
          <w:rFonts w:ascii="Times New Roman" w:hAnsi="Times New Roman" w:cs="Times New Roman"/>
          <w:color w:val="000000"/>
        </w:rPr>
        <w:t>em</w:t>
      </w:r>
      <w:r w:rsidR="00B113C2">
        <w:rPr>
          <w:rFonts w:ascii="Times New Roman" w:hAnsi="Times New Roman" w:cs="Times New Roman"/>
          <w:color w:val="000000"/>
        </w:rPr>
        <w:t xml:space="preserve"> ritmos diferenciados</w:t>
      </w:r>
      <w:r w:rsidR="001F2393">
        <w:rPr>
          <w:rFonts w:ascii="Times New Roman" w:hAnsi="Times New Roman" w:cs="Times New Roman"/>
          <w:color w:val="000000"/>
        </w:rPr>
        <w:t>, a depender das condições reais de cada comunidade latino-americana.</w:t>
      </w:r>
    </w:p>
    <w:p w14:paraId="4E11166B" w14:textId="331AA9C0" w:rsidR="007F099E" w:rsidRDefault="007F099E" w:rsidP="00420929">
      <w:pPr>
        <w:ind w:firstLine="720"/>
        <w:jc w:val="both"/>
        <w:rPr>
          <w:rFonts w:ascii="Times New Roman" w:hAnsi="Times New Roman" w:cs="Times New Roman"/>
          <w:color w:val="000000"/>
        </w:rPr>
      </w:pPr>
      <w:r>
        <w:rPr>
          <w:rFonts w:ascii="Times New Roman" w:hAnsi="Times New Roman" w:cs="Times New Roman"/>
          <w:color w:val="000000"/>
        </w:rPr>
        <w:t xml:space="preserve">Diante desse quadro, a Corte Interamericana </w:t>
      </w:r>
      <w:r w:rsidR="00A83E5C">
        <w:rPr>
          <w:rFonts w:ascii="Times New Roman" w:hAnsi="Times New Roman" w:cs="Times New Roman"/>
          <w:color w:val="000000"/>
        </w:rPr>
        <w:t>assume dois</w:t>
      </w:r>
      <w:r w:rsidR="004E5F3E">
        <w:rPr>
          <w:rFonts w:ascii="Times New Roman" w:hAnsi="Times New Roman" w:cs="Times New Roman"/>
          <w:color w:val="000000"/>
        </w:rPr>
        <w:t xml:space="preserve"> papeis essenciais que determinam tanto a formação do ICCAL quanto a sua implementação prática: a harmonização do plura</w:t>
      </w:r>
      <w:r w:rsidR="00A83E5C">
        <w:rPr>
          <w:rFonts w:ascii="Times New Roman" w:hAnsi="Times New Roman" w:cs="Times New Roman"/>
          <w:color w:val="000000"/>
        </w:rPr>
        <w:t>lismo jurídico latino-americano e</w:t>
      </w:r>
      <w:r w:rsidR="004E5F3E">
        <w:rPr>
          <w:rFonts w:ascii="Times New Roman" w:hAnsi="Times New Roman" w:cs="Times New Roman"/>
          <w:color w:val="000000"/>
        </w:rPr>
        <w:t xml:space="preserve"> o impulsionamento de transformações estruturais e sociais.</w:t>
      </w:r>
      <w:r w:rsidR="00A83E5C">
        <w:rPr>
          <w:rFonts w:ascii="Times New Roman" w:hAnsi="Times New Roman" w:cs="Times New Roman"/>
          <w:color w:val="000000"/>
        </w:rPr>
        <w:t xml:space="preserve"> </w:t>
      </w:r>
      <w:r w:rsidR="00083D64">
        <w:rPr>
          <w:rFonts w:ascii="Times New Roman" w:hAnsi="Times New Roman" w:cs="Times New Roman"/>
          <w:color w:val="000000"/>
        </w:rPr>
        <w:t>Os diálogos judiciais têm muito a contribuir para o</w:t>
      </w:r>
      <w:r w:rsidR="00A83E5C">
        <w:rPr>
          <w:rFonts w:ascii="Times New Roman" w:hAnsi="Times New Roman" w:cs="Times New Roman"/>
          <w:color w:val="000000"/>
        </w:rPr>
        <w:t xml:space="preserve"> exercício d</w:t>
      </w:r>
      <w:r w:rsidR="0028714E">
        <w:rPr>
          <w:rFonts w:ascii="Times New Roman" w:hAnsi="Times New Roman" w:cs="Times New Roman"/>
          <w:color w:val="000000"/>
        </w:rPr>
        <w:t>essas funções.</w:t>
      </w:r>
    </w:p>
    <w:p w14:paraId="218F1DB5" w14:textId="77777777" w:rsidR="00AD6E9D" w:rsidRDefault="00AD6E9D" w:rsidP="00420929">
      <w:pPr>
        <w:ind w:firstLine="720"/>
        <w:jc w:val="both"/>
        <w:rPr>
          <w:rFonts w:ascii="Times New Roman" w:hAnsi="Times New Roman" w:cs="Times New Roman"/>
        </w:rPr>
      </w:pPr>
    </w:p>
    <w:p w14:paraId="09C39F96" w14:textId="77777777" w:rsidR="00D90312" w:rsidRDefault="00D90312" w:rsidP="00420929">
      <w:pPr>
        <w:ind w:firstLine="720"/>
        <w:jc w:val="both"/>
        <w:rPr>
          <w:rFonts w:ascii="Times New Roman" w:hAnsi="Times New Roman" w:cs="Times New Roman"/>
        </w:rPr>
      </w:pPr>
    </w:p>
    <w:p w14:paraId="66ED8873" w14:textId="2EC2A37E" w:rsidR="004D39D7" w:rsidRPr="006E15C7" w:rsidRDefault="00753042" w:rsidP="006E15C7">
      <w:pPr>
        <w:pStyle w:val="ListParagraph"/>
        <w:numPr>
          <w:ilvl w:val="0"/>
          <w:numId w:val="2"/>
        </w:numPr>
        <w:jc w:val="both"/>
        <w:rPr>
          <w:rFonts w:ascii="Times New Roman" w:hAnsi="Times New Roman" w:cs="Times New Roman"/>
          <w:b/>
          <w:i/>
        </w:rPr>
      </w:pPr>
      <w:r>
        <w:rPr>
          <w:rFonts w:ascii="Times New Roman" w:hAnsi="Times New Roman" w:cs="Times New Roman"/>
          <w:b/>
        </w:rPr>
        <w:t xml:space="preserve">HARMONIZAÇÃO E TRANSFORMAÇÃO NO </w:t>
      </w:r>
      <w:r w:rsidR="004D39D7" w:rsidRPr="006E15C7">
        <w:rPr>
          <w:rFonts w:ascii="Times New Roman" w:hAnsi="Times New Roman" w:cs="Times New Roman"/>
          <w:b/>
          <w:i/>
        </w:rPr>
        <w:t>IUS CONSTITUTIONALE COMMUNE</w:t>
      </w:r>
      <w:r>
        <w:rPr>
          <w:rFonts w:ascii="Times New Roman" w:hAnsi="Times New Roman" w:cs="Times New Roman"/>
          <w:b/>
          <w:i/>
        </w:rPr>
        <w:t xml:space="preserve"> </w:t>
      </w:r>
      <w:r>
        <w:rPr>
          <w:rFonts w:ascii="Times New Roman" w:hAnsi="Times New Roman" w:cs="Times New Roman"/>
          <w:b/>
        </w:rPr>
        <w:t>LATINO-AMERICANO</w:t>
      </w:r>
    </w:p>
    <w:p w14:paraId="26D5C782" w14:textId="77777777" w:rsidR="004D39D7" w:rsidRDefault="004D39D7" w:rsidP="00420929">
      <w:pPr>
        <w:jc w:val="both"/>
        <w:rPr>
          <w:rFonts w:ascii="Times New Roman" w:hAnsi="Times New Roman" w:cs="Times New Roman"/>
        </w:rPr>
      </w:pPr>
    </w:p>
    <w:p w14:paraId="30CDF731" w14:textId="77777777" w:rsidR="00D90312" w:rsidRDefault="00D90312" w:rsidP="00420929">
      <w:pPr>
        <w:jc w:val="both"/>
        <w:rPr>
          <w:rFonts w:ascii="Times New Roman" w:hAnsi="Times New Roman" w:cs="Times New Roman"/>
        </w:rPr>
      </w:pPr>
    </w:p>
    <w:p w14:paraId="1403BAF4" w14:textId="5DCB672E" w:rsidR="00DB15DD" w:rsidRDefault="00FD7FC3" w:rsidP="00420929">
      <w:pPr>
        <w:ind w:firstLine="720"/>
        <w:jc w:val="both"/>
        <w:rPr>
          <w:rFonts w:ascii="Times New Roman" w:hAnsi="Times New Roman" w:cs="Times New Roman"/>
        </w:rPr>
      </w:pPr>
      <w:r>
        <w:rPr>
          <w:rFonts w:ascii="Times New Roman" w:hAnsi="Times New Roman" w:cs="Times New Roman"/>
        </w:rPr>
        <w:t xml:space="preserve">A Corte Interamericana </w:t>
      </w:r>
      <w:r w:rsidR="00AC01E7">
        <w:rPr>
          <w:rFonts w:ascii="Times New Roman" w:hAnsi="Times New Roman" w:cs="Times New Roman"/>
        </w:rPr>
        <w:t xml:space="preserve">corresponde a </w:t>
      </w:r>
      <w:r>
        <w:rPr>
          <w:rFonts w:ascii="Times New Roman" w:hAnsi="Times New Roman" w:cs="Times New Roman"/>
        </w:rPr>
        <w:t xml:space="preserve">um pilar </w:t>
      </w:r>
      <w:r w:rsidR="00AC01E7">
        <w:rPr>
          <w:rFonts w:ascii="Times New Roman" w:hAnsi="Times New Roman" w:cs="Times New Roman"/>
        </w:rPr>
        <w:t xml:space="preserve">essencial do sistema interamericano de direitos humanos: sua jurisprudência tem eficácia orientadora e integradora dos diversos regimes jurídicos de tutela dos direitos humanos, </w:t>
      </w:r>
      <w:r w:rsidR="002B0178">
        <w:rPr>
          <w:rFonts w:ascii="Times New Roman" w:hAnsi="Times New Roman" w:cs="Times New Roman"/>
        </w:rPr>
        <w:t xml:space="preserve">conduzindo-os para a construção </w:t>
      </w:r>
      <w:r w:rsidR="00AC01E7">
        <w:rPr>
          <w:rFonts w:ascii="Times New Roman" w:hAnsi="Times New Roman" w:cs="Times New Roman"/>
        </w:rPr>
        <w:t xml:space="preserve">do </w:t>
      </w:r>
      <w:r w:rsidR="00AC01E7" w:rsidRPr="00AC01E7">
        <w:rPr>
          <w:rFonts w:ascii="Times New Roman" w:hAnsi="Times New Roman" w:cs="Times New Roman"/>
          <w:i/>
        </w:rPr>
        <w:t>Ius Constitutionale Commune</w:t>
      </w:r>
      <w:r w:rsidR="00AC01E7">
        <w:rPr>
          <w:rFonts w:ascii="Times New Roman" w:hAnsi="Times New Roman" w:cs="Times New Roman"/>
        </w:rPr>
        <w:t>.</w:t>
      </w:r>
      <w:r w:rsidR="00AC01E7">
        <w:rPr>
          <w:rStyle w:val="FootnoteReference"/>
          <w:rFonts w:ascii="Times New Roman" w:hAnsi="Times New Roman" w:cs="Times New Roman"/>
        </w:rPr>
        <w:footnoteReference w:id="89"/>
      </w:r>
      <w:r w:rsidR="00776529">
        <w:rPr>
          <w:rFonts w:ascii="Times New Roman" w:hAnsi="Times New Roman" w:cs="Times New Roman"/>
        </w:rPr>
        <w:t xml:space="preserve"> </w:t>
      </w:r>
      <w:r w:rsidR="00E33541">
        <w:rPr>
          <w:rFonts w:ascii="Times New Roman" w:hAnsi="Times New Roman" w:cs="Times New Roman"/>
        </w:rPr>
        <w:t xml:space="preserve">Dos trinta e cinco Estados que integram a OEA, considerando a entrada de Cuba, vinte reconhecem sua jurisdição: </w:t>
      </w:r>
      <w:r w:rsidR="00E33541" w:rsidRPr="00796275">
        <w:rPr>
          <w:rFonts w:ascii="Times New Roman" w:hAnsi="Times New Roman" w:cs="Times New Roman"/>
        </w:rPr>
        <w:t>Argentina, Barbados, Bolívia, Brasil, Chile, Colômbia, Costa Rica, Equador, El Salvador, Guatemala, Haiti, Honduras, México, Nicarágua, Panamá, Paraguai, Peru, República Dominicana, Suriname e Uruguai.</w:t>
      </w:r>
      <w:r w:rsidR="00E33541">
        <w:rPr>
          <w:rStyle w:val="FootnoteReference"/>
          <w:rFonts w:ascii="Times New Roman" w:hAnsi="Times New Roman" w:cs="Times New Roman"/>
        </w:rPr>
        <w:footnoteReference w:id="90"/>
      </w:r>
      <w:r w:rsidR="00E33541">
        <w:rPr>
          <w:rFonts w:ascii="Times New Roman" w:hAnsi="Times New Roman" w:cs="Times New Roman"/>
        </w:rPr>
        <w:t xml:space="preserve"> Saliente-se que Trinidad y Tobago e Venezuela já integraram esse grupo, porém a denúncia do primeiro entrou em vigor em 1999 e do segundo em 2013.</w:t>
      </w:r>
      <w:r w:rsidR="00E33541">
        <w:rPr>
          <w:rStyle w:val="FootnoteReference"/>
          <w:rFonts w:ascii="Times New Roman" w:hAnsi="Times New Roman" w:cs="Times New Roman"/>
        </w:rPr>
        <w:footnoteReference w:id="91"/>
      </w:r>
      <w:r w:rsidR="00E33541">
        <w:rPr>
          <w:rFonts w:ascii="Times New Roman" w:hAnsi="Times New Roman" w:cs="Times New Roman"/>
        </w:rPr>
        <w:t xml:space="preserve"> </w:t>
      </w:r>
    </w:p>
    <w:p w14:paraId="4D8278C7" w14:textId="54A6F5A0" w:rsidR="00BE30BC" w:rsidRDefault="00776529" w:rsidP="00420929">
      <w:pPr>
        <w:ind w:firstLine="720"/>
        <w:jc w:val="both"/>
        <w:rPr>
          <w:rFonts w:ascii="Times New Roman" w:hAnsi="Times New Roman" w:cs="Times New Roman"/>
        </w:rPr>
      </w:pPr>
      <w:r>
        <w:rPr>
          <w:rFonts w:ascii="Times New Roman" w:hAnsi="Times New Roman" w:cs="Times New Roman"/>
        </w:rPr>
        <w:t>Para Sérgio García Ramirez, na medida em que a vocação institucional da Corte IDH ultrapassa a solução de litígios individuais, já que suas sentenças procuram estabelecer definições de direitos humanos válidas para todo o continente latino-americano, ela assumiria uma competência semelhante à das cortes constitucionais em sua ação uniformizadora.</w:t>
      </w:r>
      <w:r>
        <w:rPr>
          <w:rStyle w:val="FootnoteReference"/>
          <w:rFonts w:ascii="Times New Roman" w:hAnsi="Times New Roman" w:cs="Times New Roman"/>
        </w:rPr>
        <w:footnoteReference w:id="92"/>
      </w:r>
      <w:r>
        <w:rPr>
          <w:rFonts w:ascii="Times New Roman" w:hAnsi="Times New Roman" w:cs="Times New Roman"/>
        </w:rPr>
        <w:t xml:space="preserve"> Ressalte-se, contudo, que </w:t>
      </w:r>
      <w:r w:rsidR="001D1671">
        <w:rPr>
          <w:rFonts w:ascii="Times New Roman" w:hAnsi="Times New Roman" w:cs="Times New Roman"/>
        </w:rPr>
        <w:t xml:space="preserve">a atuação da corte supranacional não deve ser exatamente </w:t>
      </w:r>
      <w:r w:rsidR="00716ED7">
        <w:rPr>
          <w:rFonts w:ascii="Times New Roman" w:hAnsi="Times New Roman" w:cs="Times New Roman"/>
        </w:rPr>
        <w:t>padroniz</w:t>
      </w:r>
      <w:r w:rsidR="001D1671">
        <w:rPr>
          <w:rFonts w:ascii="Times New Roman" w:hAnsi="Times New Roman" w:cs="Times New Roman"/>
        </w:rPr>
        <w:t>a</w:t>
      </w:r>
      <w:r w:rsidR="00716ED7">
        <w:rPr>
          <w:rFonts w:ascii="Times New Roman" w:hAnsi="Times New Roman" w:cs="Times New Roman"/>
        </w:rPr>
        <w:t>dora</w:t>
      </w:r>
      <w:r w:rsidR="001D1671">
        <w:rPr>
          <w:rFonts w:ascii="Times New Roman" w:hAnsi="Times New Roman" w:cs="Times New Roman"/>
        </w:rPr>
        <w:t>, mas sim harmonizadora</w:t>
      </w:r>
      <w:r>
        <w:rPr>
          <w:rFonts w:ascii="Times New Roman" w:hAnsi="Times New Roman" w:cs="Times New Roman"/>
        </w:rPr>
        <w:t>,</w:t>
      </w:r>
      <w:r w:rsidR="001D1671">
        <w:rPr>
          <w:rFonts w:ascii="Times New Roman" w:hAnsi="Times New Roman" w:cs="Times New Roman"/>
        </w:rPr>
        <w:t xml:space="preserve"> em q</w:t>
      </w:r>
      <w:r w:rsidR="002B0178">
        <w:rPr>
          <w:rFonts w:ascii="Times New Roman" w:hAnsi="Times New Roman" w:cs="Times New Roman"/>
        </w:rPr>
        <w:t>ue haja espaço para dissonâncias</w:t>
      </w:r>
      <w:r w:rsidR="00BB0885">
        <w:rPr>
          <w:rFonts w:ascii="Times New Roman" w:hAnsi="Times New Roman" w:cs="Times New Roman"/>
        </w:rPr>
        <w:t xml:space="preserve"> e particularidades. Não</w:t>
      </w:r>
      <w:r w:rsidR="001D1671">
        <w:rPr>
          <w:rFonts w:ascii="Times New Roman" w:hAnsi="Times New Roman" w:cs="Times New Roman"/>
        </w:rPr>
        <w:t xml:space="preserve"> cabe à Corte IDH invalidar normas internas dos Estados, </w:t>
      </w:r>
      <w:r w:rsidR="00CB3F17">
        <w:rPr>
          <w:rFonts w:ascii="Times New Roman" w:hAnsi="Times New Roman" w:cs="Times New Roman"/>
        </w:rPr>
        <w:t>já que sobre esse tema suas sentenças tem caráter declaratório.</w:t>
      </w:r>
      <w:r w:rsidR="001E14EC">
        <w:rPr>
          <w:rFonts w:ascii="Times New Roman" w:hAnsi="Times New Roman" w:cs="Times New Roman"/>
        </w:rPr>
        <w:t xml:space="preserve"> </w:t>
      </w:r>
    </w:p>
    <w:p w14:paraId="3D5E89D0" w14:textId="3D0364CE" w:rsidR="00FD7FC3" w:rsidRDefault="001E14EC" w:rsidP="00420929">
      <w:pPr>
        <w:ind w:firstLine="720"/>
        <w:jc w:val="both"/>
        <w:rPr>
          <w:rFonts w:ascii="Times New Roman" w:hAnsi="Times New Roman" w:cs="Times New Roman"/>
        </w:rPr>
      </w:pPr>
      <w:r>
        <w:rPr>
          <w:rFonts w:ascii="Times New Roman" w:hAnsi="Times New Roman" w:cs="Times New Roman"/>
        </w:rPr>
        <w:lastRenderedPageBreak/>
        <w:t xml:space="preserve">A autoridade pública que caracteriza essa corte, </w:t>
      </w:r>
      <w:r w:rsidR="00C50DD0">
        <w:rPr>
          <w:rFonts w:ascii="Times New Roman" w:hAnsi="Times New Roman" w:cs="Times New Roman"/>
        </w:rPr>
        <w:t>mediante a qual</w:t>
      </w:r>
      <w:r w:rsidR="00EE4741">
        <w:rPr>
          <w:rFonts w:ascii="Times New Roman" w:hAnsi="Times New Roman" w:cs="Times New Roman"/>
        </w:rPr>
        <w:t xml:space="preserve"> se</w:t>
      </w:r>
      <w:r w:rsidR="00C50DD0">
        <w:rPr>
          <w:rFonts w:ascii="Times New Roman" w:hAnsi="Times New Roman" w:cs="Times New Roman"/>
        </w:rPr>
        <w:t xml:space="preserve"> erige o</w:t>
      </w:r>
      <w:r>
        <w:rPr>
          <w:rFonts w:ascii="Times New Roman" w:hAnsi="Times New Roman" w:cs="Times New Roman"/>
        </w:rPr>
        <w:t xml:space="preserve"> </w:t>
      </w:r>
      <w:r w:rsidRPr="006F40F2">
        <w:rPr>
          <w:rFonts w:ascii="Times New Roman" w:hAnsi="Times New Roman" w:cs="Times New Roman"/>
          <w:i/>
        </w:rPr>
        <w:t>Ius Constitutionale Commune</w:t>
      </w:r>
      <w:r w:rsidR="00842470">
        <w:rPr>
          <w:rFonts w:ascii="Times New Roman" w:hAnsi="Times New Roman" w:cs="Times New Roman"/>
          <w:i/>
        </w:rPr>
        <w:t>,</w:t>
      </w:r>
      <w:r>
        <w:rPr>
          <w:rFonts w:ascii="Times New Roman" w:hAnsi="Times New Roman" w:cs="Times New Roman"/>
        </w:rPr>
        <w:t xml:space="preserve"> </w:t>
      </w:r>
      <w:r w:rsidR="00C50DD0">
        <w:rPr>
          <w:rFonts w:ascii="Times New Roman" w:hAnsi="Times New Roman" w:cs="Times New Roman"/>
        </w:rPr>
        <w:t>está presente na sua aptidão para influenciar a liberdade dos indivíduos e a autonomia dos Estados</w:t>
      </w:r>
      <w:r w:rsidR="005E3DD9">
        <w:rPr>
          <w:rStyle w:val="FootnoteReference"/>
          <w:rFonts w:ascii="Times New Roman" w:hAnsi="Times New Roman" w:cs="Times New Roman"/>
        </w:rPr>
        <w:footnoteReference w:id="93"/>
      </w:r>
      <w:r w:rsidR="00C50DD0">
        <w:rPr>
          <w:rFonts w:ascii="Times New Roman" w:hAnsi="Times New Roman" w:cs="Times New Roman"/>
        </w:rPr>
        <w:t>, com base em um argumento de princípio:</w:t>
      </w:r>
    </w:p>
    <w:p w14:paraId="4591A21F" w14:textId="77777777" w:rsidR="008402B3" w:rsidRDefault="008402B3" w:rsidP="00420929">
      <w:pPr>
        <w:ind w:firstLine="720"/>
        <w:jc w:val="both"/>
        <w:rPr>
          <w:rFonts w:ascii="Times New Roman" w:hAnsi="Times New Roman" w:cs="Times New Roman"/>
        </w:rPr>
      </w:pPr>
    </w:p>
    <w:p w14:paraId="44CE0FCD" w14:textId="7F4EEC28" w:rsidR="00C50DD0" w:rsidRPr="00C50DD0" w:rsidRDefault="00C50DD0" w:rsidP="00420929">
      <w:pPr>
        <w:ind w:left="2268"/>
        <w:jc w:val="both"/>
        <w:rPr>
          <w:rFonts w:ascii="Times New Roman" w:hAnsi="Times New Roman" w:cs="Times New Roman"/>
          <w:i/>
          <w:sz w:val="22"/>
          <w:szCs w:val="22"/>
        </w:rPr>
      </w:pPr>
      <w:r w:rsidRPr="00C50DD0">
        <w:rPr>
          <w:rFonts w:ascii="Times New Roman" w:hAnsi="Times New Roman" w:cs="Times New Roman"/>
          <w:i/>
          <w:sz w:val="22"/>
          <w:szCs w:val="22"/>
        </w:rPr>
        <w:t>Si el derecho público es concebido en la tradición liberal-democrática como el sistema para proteger los principios de libertad individual y para permitir la autodeterminación colectiva, este debe abarcar todo acto que impacte estos princípios, siempre que dicho impacto sea lo suficientemente significativo como para que surja la cuestión de la legitimidad.</w:t>
      </w:r>
      <w:r>
        <w:rPr>
          <w:rStyle w:val="FootnoteReference"/>
          <w:rFonts w:ascii="Times New Roman" w:hAnsi="Times New Roman" w:cs="Times New Roman"/>
          <w:i/>
          <w:sz w:val="22"/>
          <w:szCs w:val="22"/>
        </w:rPr>
        <w:footnoteReference w:id="94"/>
      </w:r>
    </w:p>
    <w:p w14:paraId="2CA9C980" w14:textId="77777777" w:rsidR="00164E79" w:rsidRDefault="00117AA9" w:rsidP="00420929">
      <w:pPr>
        <w:jc w:val="both"/>
        <w:rPr>
          <w:rFonts w:ascii="Times New Roman" w:hAnsi="Times New Roman" w:cs="Times New Roman"/>
        </w:rPr>
      </w:pPr>
      <w:r>
        <w:rPr>
          <w:rFonts w:ascii="Times New Roman" w:hAnsi="Times New Roman" w:cs="Times New Roman"/>
        </w:rPr>
        <w:tab/>
      </w:r>
    </w:p>
    <w:p w14:paraId="0A3EB54C" w14:textId="7FDA8B6F" w:rsidR="00C50DD0" w:rsidRDefault="00117AA9" w:rsidP="00420929">
      <w:pPr>
        <w:ind w:firstLine="720"/>
        <w:jc w:val="both"/>
        <w:rPr>
          <w:rFonts w:ascii="Times New Roman" w:hAnsi="Times New Roman" w:cs="Times New Roman"/>
        </w:rPr>
      </w:pPr>
      <w:r>
        <w:rPr>
          <w:rFonts w:ascii="Times New Roman" w:hAnsi="Times New Roman" w:cs="Times New Roman"/>
        </w:rPr>
        <w:t>Nessa seara, as decisões tomadas pela Corte Interamericana – tanto no exercício de sua competência contenciosa como na competência consultiva</w:t>
      </w:r>
      <w:r w:rsidR="000F4899">
        <w:rPr>
          <w:rStyle w:val="FootnoteReference"/>
          <w:rFonts w:ascii="Times New Roman" w:hAnsi="Times New Roman" w:cs="Times New Roman"/>
        </w:rPr>
        <w:footnoteReference w:id="95"/>
      </w:r>
      <w:r>
        <w:rPr>
          <w:rFonts w:ascii="Times New Roman" w:hAnsi="Times New Roman" w:cs="Times New Roman"/>
        </w:rPr>
        <w:t xml:space="preserve"> – representam um precedente judicial internacional a ser considerado pelos Estados</w:t>
      </w:r>
      <w:r w:rsidR="000F4899">
        <w:rPr>
          <w:rFonts w:ascii="Times New Roman" w:hAnsi="Times New Roman" w:cs="Times New Roman"/>
        </w:rPr>
        <w:t>, especialmente tendo em vista que referidas decisões criam Direito</w:t>
      </w:r>
      <w:r w:rsidR="000F4899">
        <w:rPr>
          <w:rStyle w:val="FootnoteReference"/>
          <w:rFonts w:ascii="Times New Roman" w:hAnsi="Times New Roman" w:cs="Times New Roman"/>
        </w:rPr>
        <w:footnoteReference w:id="96"/>
      </w:r>
      <w:r w:rsidR="00541F81">
        <w:rPr>
          <w:rFonts w:ascii="Times New Roman" w:hAnsi="Times New Roman" w:cs="Times New Roman"/>
        </w:rPr>
        <w:t>. Das sentenças, medidas provisionais e opiniões consultivas emanadas da Corte se erige</w:t>
      </w:r>
      <w:r w:rsidR="00ED2D1F">
        <w:rPr>
          <w:rFonts w:ascii="Times New Roman" w:hAnsi="Times New Roman" w:cs="Times New Roman"/>
        </w:rPr>
        <w:t xml:space="preserve"> um verdadeiro </w:t>
      </w:r>
      <w:r w:rsidR="00ED2D1F" w:rsidRPr="00ED2D1F">
        <w:rPr>
          <w:rFonts w:ascii="Times New Roman" w:hAnsi="Times New Roman" w:cs="Times New Roman"/>
          <w:i/>
        </w:rPr>
        <w:t>corpus iuris</w:t>
      </w:r>
      <w:r w:rsidR="00ED2D1F">
        <w:rPr>
          <w:rFonts w:ascii="Times New Roman" w:hAnsi="Times New Roman" w:cs="Times New Roman"/>
        </w:rPr>
        <w:t xml:space="preserve"> voltado para a realidade latino-americana, </w:t>
      </w:r>
      <w:r w:rsidR="00541F81">
        <w:rPr>
          <w:rFonts w:ascii="Times New Roman" w:hAnsi="Times New Roman" w:cs="Times New Roman"/>
        </w:rPr>
        <w:t>emergente de</w:t>
      </w:r>
      <w:r w:rsidR="00ED2D1F">
        <w:rPr>
          <w:rFonts w:ascii="Times New Roman" w:hAnsi="Times New Roman" w:cs="Times New Roman"/>
        </w:rPr>
        <w:t xml:space="preserve"> conflitos</w:t>
      </w:r>
      <w:r w:rsidR="00541F81">
        <w:rPr>
          <w:rFonts w:ascii="Times New Roman" w:hAnsi="Times New Roman" w:cs="Times New Roman"/>
        </w:rPr>
        <w:t xml:space="preserve"> apresentados por mecanismos de participação popular que foram agregados ao</w:t>
      </w:r>
      <w:r w:rsidR="00ED2D1F">
        <w:rPr>
          <w:rFonts w:ascii="Times New Roman" w:hAnsi="Times New Roman" w:cs="Times New Roman"/>
        </w:rPr>
        <w:t xml:space="preserve"> processo judicial inter</w:t>
      </w:r>
      <w:r w:rsidR="00541F81">
        <w:rPr>
          <w:rFonts w:ascii="Times New Roman" w:hAnsi="Times New Roman" w:cs="Times New Roman"/>
        </w:rPr>
        <w:t xml:space="preserve">americano, como </w:t>
      </w:r>
      <w:r w:rsidR="00ED2D1F">
        <w:rPr>
          <w:rFonts w:ascii="Times New Roman" w:hAnsi="Times New Roman" w:cs="Times New Roman"/>
        </w:rPr>
        <w:t>as sessões públicas, as tomadas de depoimentos e as sessões itinerantes.</w:t>
      </w:r>
      <w:r w:rsidR="00C024D7">
        <w:rPr>
          <w:rFonts w:ascii="Times New Roman" w:hAnsi="Times New Roman" w:cs="Times New Roman"/>
        </w:rPr>
        <w:t xml:space="preserve"> De fato, os diálogos mantidos pela Corte IDH com a sociedade civil têm respaldado sua legitimidade e impulsionado sua autoridade</w:t>
      </w:r>
      <w:r w:rsidR="00083D64">
        <w:rPr>
          <w:rFonts w:ascii="Times New Roman" w:hAnsi="Times New Roman" w:cs="Times New Roman"/>
        </w:rPr>
        <w:t>.</w:t>
      </w:r>
      <w:r w:rsidR="00400BE7" w:rsidRPr="00400BE7">
        <w:rPr>
          <w:rStyle w:val="FootnoteReference"/>
          <w:rFonts w:ascii="Times New Roman" w:hAnsi="Times New Roman" w:cs="Times New Roman"/>
        </w:rPr>
        <w:t xml:space="preserve"> </w:t>
      </w:r>
      <w:r w:rsidR="00400BE7">
        <w:rPr>
          <w:rStyle w:val="FootnoteReference"/>
          <w:rFonts w:ascii="Times New Roman" w:hAnsi="Times New Roman" w:cs="Times New Roman"/>
        </w:rPr>
        <w:footnoteReference w:id="97"/>
      </w:r>
      <w:r w:rsidR="00FF1F5B">
        <w:rPr>
          <w:rFonts w:ascii="Times New Roman" w:hAnsi="Times New Roman" w:cs="Times New Roman"/>
        </w:rPr>
        <w:t xml:space="preserve"> Nesse sentido, foi de grande importância a alteração regimental ocorrida em 1996, que permitiu a participação das vítimas nos processos junto à Corte para narrar os danos sofridos e indicar os melhores meios de repará-los.</w:t>
      </w:r>
      <w:r w:rsidR="00FF1F5B">
        <w:rPr>
          <w:rStyle w:val="FootnoteReference"/>
          <w:rFonts w:ascii="Times New Roman" w:hAnsi="Times New Roman" w:cs="Times New Roman"/>
        </w:rPr>
        <w:footnoteReference w:id="98"/>
      </w:r>
    </w:p>
    <w:p w14:paraId="47AC5C90" w14:textId="786987D8" w:rsidR="00FD4C1A" w:rsidRDefault="00BA2B7D" w:rsidP="00420929">
      <w:pPr>
        <w:jc w:val="both"/>
        <w:rPr>
          <w:rFonts w:ascii="Times New Roman" w:hAnsi="Times New Roman" w:cs="Times New Roman"/>
          <w:color w:val="000000"/>
        </w:rPr>
      </w:pPr>
      <w:r>
        <w:rPr>
          <w:rFonts w:ascii="Times New Roman" w:hAnsi="Times New Roman" w:cs="Times New Roman"/>
        </w:rPr>
        <w:tab/>
      </w:r>
      <w:r w:rsidR="00681829">
        <w:rPr>
          <w:rFonts w:ascii="Times New Roman" w:hAnsi="Times New Roman" w:cs="Times New Roman"/>
        </w:rPr>
        <w:t xml:space="preserve">Tal como um vértice dos diálogos judiciais mantidos no ICCAL, a Corte Interamericana logra exercer </w:t>
      </w:r>
      <w:r w:rsidR="0072374F">
        <w:rPr>
          <w:rFonts w:ascii="Times New Roman" w:hAnsi="Times New Roman" w:cs="Times New Roman"/>
        </w:rPr>
        <w:t>dois</w:t>
      </w:r>
      <w:r w:rsidR="00CC3361">
        <w:rPr>
          <w:rFonts w:ascii="Times New Roman" w:hAnsi="Times New Roman" w:cs="Times New Roman"/>
        </w:rPr>
        <w:t xml:space="preserve"> papeis primordiais: </w:t>
      </w:r>
      <w:r w:rsidR="00CC3361">
        <w:rPr>
          <w:rFonts w:ascii="Times New Roman" w:hAnsi="Times New Roman" w:cs="Times New Roman"/>
          <w:color w:val="000000"/>
        </w:rPr>
        <w:t>a harmonização do pluralismo jurídico latino-americano através</w:t>
      </w:r>
      <w:r w:rsidR="0072374F">
        <w:rPr>
          <w:rFonts w:ascii="Times New Roman" w:hAnsi="Times New Roman" w:cs="Times New Roman"/>
          <w:color w:val="000000"/>
        </w:rPr>
        <w:t xml:space="preserve"> da</w:t>
      </w:r>
      <w:r w:rsidR="003D6B3B">
        <w:rPr>
          <w:rFonts w:ascii="Times New Roman" w:hAnsi="Times New Roman" w:cs="Times New Roman"/>
          <w:color w:val="000000"/>
        </w:rPr>
        <w:t xml:space="preserve"> interpretação e aplicação da</w:t>
      </w:r>
      <w:r w:rsidR="0072374F">
        <w:rPr>
          <w:rFonts w:ascii="Times New Roman" w:hAnsi="Times New Roman" w:cs="Times New Roman"/>
          <w:color w:val="000000"/>
        </w:rPr>
        <w:t>s normas de direitos humanos</w:t>
      </w:r>
      <w:r w:rsidR="003D6B3B">
        <w:rPr>
          <w:rFonts w:ascii="Times New Roman" w:hAnsi="Times New Roman" w:cs="Times New Roman"/>
          <w:color w:val="000000"/>
        </w:rPr>
        <w:t>,</w:t>
      </w:r>
      <w:r w:rsidR="0072374F">
        <w:rPr>
          <w:rFonts w:ascii="Times New Roman" w:hAnsi="Times New Roman" w:cs="Times New Roman"/>
          <w:color w:val="000000"/>
        </w:rPr>
        <w:t xml:space="preserve"> e</w:t>
      </w:r>
      <w:r w:rsidR="00CC3361">
        <w:rPr>
          <w:rFonts w:ascii="Times New Roman" w:hAnsi="Times New Roman" w:cs="Times New Roman"/>
          <w:color w:val="000000"/>
        </w:rPr>
        <w:t xml:space="preserve"> o impulsionamento de transformações estruturais e sociais.</w:t>
      </w:r>
    </w:p>
    <w:p w14:paraId="1F487348" w14:textId="77777777" w:rsidR="00BF74C9" w:rsidRDefault="00BF74C9" w:rsidP="00420929">
      <w:pPr>
        <w:jc w:val="both"/>
        <w:rPr>
          <w:rFonts w:ascii="Times New Roman" w:hAnsi="Times New Roman" w:cs="Times New Roman"/>
          <w:color w:val="000000"/>
        </w:rPr>
      </w:pPr>
    </w:p>
    <w:p w14:paraId="397B51F8" w14:textId="56474C79" w:rsidR="00BF74C9" w:rsidRPr="00BF74C9" w:rsidRDefault="00BF74C9" w:rsidP="00420929">
      <w:pPr>
        <w:pStyle w:val="ListParagraph"/>
        <w:numPr>
          <w:ilvl w:val="1"/>
          <w:numId w:val="2"/>
        </w:numPr>
        <w:jc w:val="both"/>
        <w:rPr>
          <w:rFonts w:ascii="Times New Roman" w:hAnsi="Times New Roman" w:cs="Times New Roman"/>
          <w:b/>
          <w:color w:val="000000"/>
        </w:rPr>
      </w:pPr>
      <w:r w:rsidRPr="00BF74C9">
        <w:rPr>
          <w:rFonts w:ascii="Times New Roman" w:hAnsi="Times New Roman" w:cs="Times New Roman"/>
          <w:b/>
          <w:color w:val="000000"/>
        </w:rPr>
        <w:t>FUNÇÃO HARMONIZADORA</w:t>
      </w:r>
      <w:r w:rsidR="008626A0">
        <w:rPr>
          <w:rFonts w:ascii="Times New Roman" w:hAnsi="Times New Roman" w:cs="Times New Roman"/>
          <w:b/>
          <w:color w:val="000000"/>
        </w:rPr>
        <w:t xml:space="preserve"> </w:t>
      </w:r>
    </w:p>
    <w:p w14:paraId="57AA44A3" w14:textId="77777777" w:rsidR="00BF74C9" w:rsidRDefault="00BF74C9" w:rsidP="00420929">
      <w:pPr>
        <w:jc w:val="both"/>
        <w:rPr>
          <w:rFonts w:ascii="Times New Roman" w:hAnsi="Times New Roman" w:cs="Times New Roman"/>
        </w:rPr>
      </w:pPr>
    </w:p>
    <w:p w14:paraId="5F6C9484" w14:textId="2E223577" w:rsidR="00BF74C9" w:rsidRDefault="00251950" w:rsidP="00066DE3">
      <w:pPr>
        <w:ind w:firstLine="720"/>
        <w:jc w:val="both"/>
        <w:rPr>
          <w:rFonts w:ascii="Times New Roman" w:hAnsi="Times New Roman" w:cs="Times New Roman"/>
        </w:rPr>
      </w:pPr>
      <w:r>
        <w:rPr>
          <w:rFonts w:ascii="Times New Roman" w:hAnsi="Times New Roman" w:cs="Times New Roman"/>
        </w:rPr>
        <w:t xml:space="preserve">Diferentemente de uma corte constitucional, que visa padronizar </w:t>
      </w:r>
      <w:r w:rsidR="00695C94">
        <w:rPr>
          <w:rFonts w:ascii="Times New Roman" w:hAnsi="Times New Roman" w:cs="Times New Roman"/>
        </w:rPr>
        <w:t xml:space="preserve">a produção jurídica dentro de um dado território mediante o exercício do controle de constitucionalidade, a Corte </w:t>
      </w:r>
      <w:r w:rsidR="00695C94">
        <w:rPr>
          <w:rFonts w:ascii="Times New Roman" w:hAnsi="Times New Roman" w:cs="Times New Roman"/>
        </w:rPr>
        <w:lastRenderedPageBreak/>
        <w:t>IDH exerce uma função harmonizadora</w:t>
      </w:r>
      <w:r w:rsidR="00A611A9">
        <w:rPr>
          <w:rStyle w:val="FootnoteReference"/>
          <w:rFonts w:ascii="Times New Roman" w:hAnsi="Times New Roman" w:cs="Times New Roman"/>
        </w:rPr>
        <w:footnoteReference w:id="99"/>
      </w:r>
      <w:r w:rsidR="00695C94">
        <w:rPr>
          <w:rFonts w:ascii="Times New Roman" w:hAnsi="Times New Roman" w:cs="Times New Roman"/>
        </w:rPr>
        <w:t>, em que certos padrões essenciais para a proteção dos direitos humanos, a garantia da democracia e do estado de direito são construídos através de sua atuação dialogada com as demais cortes, porém sem descuidar da preservação das identidades nacionais que se revelam em seus sistemas jurídicos.</w:t>
      </w:r>
      <w:r w:rsidR="00976C84">
        <w:rPr>
          <w:rFonts w:ascii="Times New Roman" w:hAnsi="Times New Roman" w:cs="Times New Roman"/>
        </w:rPr>
        <w:t xml:space="preserve"> </w:t>
      </w:r>
      <w:r w:rsidR="00066DE3">
        <w:rPr>
          <w:rFonts w:ascii="Times New Roman" w:hAnsi="Times New Roman" w:cs="Times New Roman"/>
        </w:rPr>
        <w:t>No</w:t>
      </w:r>
      <w:r w:rsidR="00976C84">
        <w:rPr>
          <w:rFonts w:ascii="Times New Roman" w:hAnsi="Times New Roman" w:cs="Times New Roman"/>
        </w:rPr>
        <w:t xml:space="preserve"> ICCAL, é elevado o nível de coesão entre as ordens jurídicas a partir do vértice semântico ditado pela Convenção Americana de Direitos Humanos</w:t>
      </w:r>
      <w:r w:rsidR="002172B5">
        <w:rPr>
          <w:rFonts w:ascii="Times New Roman" w:hAnsi="Times New Roman" w:cs="Times New Roman"/>
        </w:rPr>
        <w:t xml:space="preserve">, </w:t>
      </w:r>
      <w:r w:rsidR="00A77381">
        <w:rPr>
          <w:rFonts w:ascii="Times New Roman" w:hAnsi="Times New Roman" w:cs="Times New Roman"/>
        </w:rPr>
        <w:t xml:space="preserve">a </w:t>
      </w:r>
      <w:r w:rsidR="002172B5">
        <w:rPr>
          <w:rFonts w:ascii="Times New Roman" w:hAnsi="Times New Roman" w:cs="Times New Roman"/>
        </w:rPr>
        <w:t>demanda</w:t>
      </w:r>
      <w:r w:rsidR="00A77381">
        <w:rPr>
          <w:rFonts w:ascii="Times New Roman" w:hAnsi="Times New Roman" w:cs="Times New Roman"/>
        </w:rPr>
        <w:t>r</w:t>
      </w:r>
      <w:r w:rsidR="002172B5">
        <w:rPr>
          <w:rFonts w:ascii="Times New Roman" w:hAnsi="Times New Roman" w:cs="Times New Roman"/>
        </w:rPr>
        <w:t xml:space="preserve"> uma compatibilização das </w:t>
      </w:r>
      <w:r w:rsidR="00A77381">
        <w:rPr>
          <w:rFonts w:ascii="Times New Roman" w:hAnsi="Times New Roman" w:cs="Times New Roman"/>
        </w:rPr>
        <w:t>distintas interpretações das normas jurídicas de eficácia comum sem contudo privar os Estados – e as cortes constitucionais – de uma certa flexibilidade que permita adaptar a implementação dessas normas de direitos humanos a sua realidade social, econômica e política.</w:t>
      </w:r>
      <w:r w:rsidR="00A110E6">
        <w:rPr>
          <w:rStyle w:val="FootnoteReference"/>
          <w:rFonts w:ascii="Times New Roman" w:hAnsi="Times New Roman" w:cs="Times New Roman"/>
        </w:rPr>
        <w:footnoteReference w:id="100"/>
      </w:r>
    </w:p>
    <w:p w14:paraId="499D0AC8" w14:textId="552C4CED" w:rsidR="00A611A9" w:rsidRDefault="004D6FFC" w:rsidP="00420929">
      <w:pPr>
        <w:ind w:firstLine="720"/>
        <w:jc w:val="both"/>
        <w:rPr>
          <w:rFonts w:ascii="Times New Roman" w:hAnsi="Times New Roman" w:cs="Times New Roman"/>
        </w:rPr>
      </w:pPr>
      <w:r w:rsidRPr="004D6FFC">
        <w:rPr>
          <w:rFonts w:ascii="Times New Roman" w:hAnsi="Times New Roman" w:cs="Times New Roman"/>
          <w:color w:val="000000"/>
        </w:rPr>
        <w:t xml:space="preserve">O processo de harmonização se operacionaliza caso a caso, </w:t>
      </w:r>
      <w:r>
        <w:rPr>
          <w:rFonts w:ascii="Times New Roman" w:hAnsi="Times New Roman" w:cs="Times New Roman"/>
          <w:color w:val="000000"/>
        </w:rPr>
        <w:t xml:space="preserve">pois o diálogo judicial coevolutivo subverte </w:t>
      </w:r>
      <w:r w:rsidRPr="004D6FFC">
        <w:rPr>
          <w:rFonts w:ascii="Times New Roman" w:hAnsi="Times New Roman" w:cs="Times New Roman"/>
          <w:color w:val="000000"/>
        </w:rPr>
        <w:t xml:space="preserve">as hierarquias na medida em que normas constitucionais eventualmente </w:t>
      </w:r>
      <w:r>
        <w:rPr>
          <w:rFonts w:ascii="Times New Roman" w:hAnsi="Times New Roman" w:cs="Times New Roman"/>
          <w:color w:val="000000"/>
        </w:rPr>
        <w:t>influenciam</w:t>
      </w:r>
      <w:r w:rsidRPr="004D6FFC">
        <w:rPr>
          <w:rFonts w:ascii="Times New Roman" w:hAnsi="Times New Roman" w:cs="Times New Roman"/>
          <w:color w:val="000000"/>
        </w:rPr>
        <w:t xml:space="preserve"> o sentido e o alcance de normas supranacionais. Justamente em razão do elevado grau de abstração das normas gerais, como as normas de direitos humanos, juízes e administradores nacionais detém uma margem para definir o conteúdo de um preceito normativo interno.</w:t>
      </w:r>
      <w:r w:rsidRPr="004D6FFC">
        <w:rPr>
          <w:rStyle w:val="FootnoteReference"/>
          <w:rFonts w:ascii="Times New Roman" w:hAnsi="Times New Roman" w:cs="Times New Roman"/>
          <w:color w:val="000000"/>
        </w:rPr>
        <w:footnoteReference w:id="101"/>
      </w:r>
      <w:r w:rsidR="009C29AE">
        <w:rPr>
          <w:rFonts w:ascii="Times New Roman" w:hAnsi="Times New Roman" w:cs="Times New Roman"/>
          <w:color w:val="000000"/>
        </w:rPr>
        <w:t xml:space="preserve"> </w:t>
      </w:r>
      <w:r w:rsidR="00A611A9">
        <w:rPr>
          <w:rFonts w:ascii="Times New Roman" w:hAnsi="Times New Roman" w:cs="Times New Roman"/>
          <w:color w:val="000000"/>
        </w:rPr>
        <w:t>Trata-se de</w:t>
      </w:r>
      <w:r w:rsidR="00A611A9">
        <w:rPr>
          <w:rFonts w:ascii="Times New Roman" w:hAnsi="Times New Roman" w:cs="Times New Roman"/>
        </w:rPr>
        <w:t xml:space="preserve"> uma</w:t>
      </w:r>
      <w:r w:rsidR="00A611A9" w:rsidRPr="00A611A9">
        <w:rPr>
          <w:rFonts w:ascii="Times New Roman" w:hAnsi="Times New Roman" w:cs="Times New Roman"/>
        </w:rPr>
        <w:t xml:space="preserve"> ordenação dinâmica de “hierarquias emaranhadas”, </w:t>
      </w:r>
      <w:r w:rsidR="00A611A9">
        <w:rPr>
          <w:rFonts w:ascii="Times New Roman" w:hAnsi="Times New Roman" w:cs="Times New Roman"/>
        </w:rPr>
        <w:t xml:space="preserve">em </w:t>
      </w:r>
      <w:r w:rsidR="00A611A9" w:rsidRPr="00A611A9">
        <w:rPr>
          <w:rFonts w:ascii="Times New Roman" w:hAnsi="Times New Roman" w:cs="Times New Roman"/>
        </w:rPr>
        <w:t>que</w:t>
      </w:r>
      <w:r w:rsidR="00A611A9">
        <w:rPr>
          <w:rFonts w:ascii="Times New Roman" w:hAnsi="Times New Roman" w:cs="Times New Roman"/>
        </w:rPr>
        <w:t xml:space="preserve"> o direito constitucional se internacionaliza, e o direito regional</w:t>
      </w:r>
      <w:r w:rsidR="00A611A9" w:rsidRPr="00A611A9">
        <w:rPr>
          <w:rFonts w:ascii="Times New Roman" w:hAnsi="Times New Roman" w:cs="Times New Roman"/>
        </w:rPr>
        <w:t xml:space="preserve"> se </w:t>
      </w:r>
      <w:r w:rsidR="00A611A9">
        <w:rPr>
          <w:rFonts w:ascii="Times New Roman" w:hAnsi="Times New Roman" w:cs="Times New Roman"/>
        </w:rPr>
        <w:t>constitucionaliza</w:t>
      </w:r>
      <w:r w:rsidR="00A611A9" w:rsidRPr="00A611A9">
        <w:rPr>
          <w:rFonts w:ascii="Times New Roman" w:hAnsi="Times New Roman" w:cs="Times New Roman"/>
        </w:rPr>
        <w:t>.</w:t>
      </w:r>
      <w:r w:rsidR="00A611A9" w:rsidRPr="00A611A9">
        <w:rPr>
          <w:rStyle w:val="FootnoteReference"/>
          <w:rFonts w:ascii="Times New Roman" w:hAnsi="Times New Roman" w:cs="Times New Roman"/>
        </w:rPr>
        <w:footnoteReference w:id="102"/>
      </w:r>
      <w:r w:rsidR="00A611A9" w:rsidRPr="00A611A9">
        <w:rPr>
          <w:rFonts w:ascii="Times New Roman" w:hAnsi="Times New Roman" w:cs="Times New Roman"/>
        </w:rPr>
        <w:t xml:space="preserve"> Essa interação promovida pela abertura das normas constitucionais à integração supranacional cria “espaços constitucionais” – não em sentido hierárquico, mas como espaços de influência, interdependência e complementariedade recíprocas</w:t>
      </w:r>
      <w:r w:rsidR="00960B1D">
        <w:rPr>
          <w:rFonts w:ascii="Times New Roman" w:hAnsi="Times New Roman" w:cs="Times New Roman"/>
        </w:rPr>
        <w:t>.</w:t>
      </w:r>
      <w:r w:rsidR="00A611A9" w:rsidRPr="00A611A9">
        <w:rPr>
          <w:rStyle w:val="FootnoteReference"/>
          <w:rFonts w:ascii="Times New Roman" w:hAnsi="Times New Roman" w:cs="Times New Roman"/>
        </w:rPr>
        <w:footnoteReference w:id="103"/>
      </w:r>
      <w:r w:rsidR="00A611A9" w:rsidRPr="00A611A9">
        <w:rPr>
          <w:rFonts w:ascii="Times New Roman" w:hAnsi="Times New Roman" w:cs="Times New Roman"/>
        </w:rPr>
        <w:t>Paralelamente, verifica-se um movimento centrípeto, tendente à centralização normativa de princípios comuns na esfera supranacional, e outro centrífugo, em que as esferas normativas nacionais e locais fogem da integração em busca da preservação de certos espaços de autonomia.</w:t>
      </w:r>
      <w:r w:rsidR="00A611A9" w:rsidRPr="00A611A9">
        <w:rPr>
          <w:rStyle w:val="FootnoteReference"/>
          <w:rFonts w:ascii="Times New Roman" w:hAnsi="Times New Roman" w:cs="Times New Roman"/>
        </w:rPr>
        <w:footnoteReference w:id="104"/>
      </w:r>
    </w:p>
    <w:p w14:paraId="66C8DEEB" w14:textId="5579A83B" w:rsidR="0073611E" w:rsidRDefault="00031F9E" w:rsidP="00420929">
      <w:pPr>
        <w:ind w:firstLine="720"/>
        <w:jc w:val="both"/>
        <w:rPr>
          <w:rFonts w:ascii="Times New Roman" w:hAnsi="Times New Roman" w:cs="Times New Roman"/>
        </w:rPr>
      </w:pPr>
      <w:r>
        <w:rPr>
          <w:rFonts w:ascii="Times New Roman" w:hAnsi="Times New Roman" w:cs="Times New Roman"/>
        </w:rPr>
        <w:t>O pluralismo jurídico presente no ICCAL assume assim um caráter dialógico e se manifesta em três diferentes aspectos:</w:t>
      </w:r>
      <w:r w:rsidR="00B117F5" w:rsidRPr="00B117F5">
        <w:t xml:space="preserve"> </w:t>
      </w:r>
      <w:r w:rsidR="0073611E">
        <w:t xml:space="preserve">(i) </w:t>
      </w:r>
      <w:r w:rsidR="005609D5">
        <w:rPr>
          <w:rFonts w:ascii="Times New Roman" w:hAnsi="Times New Roman" w:cs="Times New Roman"/>
        </w:rPr>
        <w:t>a existê</w:t>
      </w:r>
      <w:r w:rsidR="00B117F5" w:rsidRPr="00B117F5">
        <w:rPr>
          <w:rFonts w:ascii="Times New Roman" w:hAnsi="Times New Roman" w:cs="Times New Roman"/>
        </w:rPr>
        <w:t>ncia de grupos sociais divergentes em valores, interesses e modos de vida;</w:t>
      </w:r>
      <w:r w:rsidR="0073611E">
        <w:rPr>
          <w:rFonts w:ascii="Times New Roman" w:hAnsi="Times New Roman" w:cs="Times New Roman"/>
        </w:rPr>
        <w:t xml:space="preserve"> (ii)</w:t>
      </w:r>
      <w:r w:rsidR="00B117F5" w:rsidRPr="00B117F5">
        <w:rPr>
          <w:rFonts w:ascii="Times New Roman" w:hAnsi="Times New Roman" w:cs="Times New Roman"/>
        </w:rPr>
        <w:t xml:space="preserve"> uma normatividade social paralela ao direito estatal; </w:t>
      </w:r>
      <w:r w:rsidR="00B117F5">
        <w:rPr>
          <w:rFonts w:ascii="Times New Roman" w:hAnsi="Times New Roman" w:cs="Times New Roman"/>
        </w:rPr>
        <w:t>e</w:t>
      </w:r>
      <w:r w:rsidR="0073611E">
        <w:rPr>
          <w:rFonts w:ascii="Times New Roman" w:hAnsi="Times New Roman" w:cs="Times New Roman"/>
        </w:rPr>
        <w:t xml:space="preserve"> (iii)</w:t>
      </w:r>
      <w:r w:rsidR="00B117F5">
        <w:rPr>
          <w:rFonts w:ascii="Times New Roman" w:hAnsi="Times New Roman" w:cs="Times New Roman"/>
        </w:rPr>
        <w:t xml:space="preserve"> </w:t>
      </w:r>
      <w:r w:rsidR="00B117F5" w:rsidRPr="00B117F5">
        <w:rPr>
          <w:rFonts w:ascii="Times New Roman" w:hAnsi="Times New Roman" w:cs="Times New Roman"/>
        </w:rPr>
        <w:t>a interação entre os diversos sistemas jurídicos, especialmente no nível doméstico e regional.</w:t>
      </w:r>
      <w:r w:rsidR="00B117F5">
        <w:rPr>
          <w:rStyle w:val="FootnoteReference"/>
          <w:rFonts w:ascii="Times New Roman" w:hAnsi="Times New Roman" w:cs="Times New Roman"/>
        </w:rPr>
        <w:footnoteReference w:id="105"/>
      </w:r>
      <w:r w:rsidR="00AF0ACB">
        <w:rPr>
          <w:rFonts w:ascii="Times New Roman" w:hAnsi="Times New Roman" w:cs="Times New Roman"/>
        </w:rPr>
        <w:t xml:space="preserve"> </w:t>
      </w:r>
    </w:p>
    <w:p w14:paraId="5DFD2F6D" w14:textId="3D174C7D" w:rsidR="008626A0" w:rsidRPr="00A63367" w:rsidRDefault="00AF0ACB" w:rsidP="00420929">
      <w:pPr>
        <w:ind w:firstLine="720"/>
        <w:jc w:val="both"/>
        <w:rPr>
          <w:rFonts w:ascii="Times New Roman" w:hAnsi="Times New Roman" w:cs="Times New Roman"/>
        </w:rPr>
      </w:pPr>
      <w:r>
        <w:rPr>
          <w:rFonts w:ascii="Times New Roman" w:hAnsi="Times New Roman" w:cs="Times New Roman"/>
        </w:rPr>
        <w:t>Uma particularidade do ICCAL que evidencia os dois primeiros aspectos é a necessidade de participação do processo de construção normativa dos grupos indígenas</w:t>
      </w:r>
      <w:r w:rsidR="002F29D3">
        <w:rPr>
          <w:rFonts w:ascii="Times New Roman" w:hAnsi="Times New Roman" w:cs="Times New Roman"/>
        </w:rPr>
        <w:t>, já que não só eles são pautados por um modo de vida característico e diverso dos demais grupos, como produzem todo um código normativo a pautar suas ações.</w:t>
      </w:r>
      <w:r w:rsidR="00A63367">
        <w:rPr>
          <w:rFonts w:ascii="Times New Roman" w:hAnsi="Times New Roman" w:cs="Times New Roman"/>
        </w:rPr>
        <w:t xml:space="preserve"> A fim de viabilizar o diálogo entre as diversas concepções culturais e normativas dentro de seu </w:t>
      </w:r>
      <w:r w:rsidR="00A63367" w:rsidRPr="00A63367">
        <w:rPr>
          <w:rFonts w:ascii="Times New Roman" w:hAnsi="Times New Roman" w:cs="Times New Roman"/>
        </w:rPr>
        <w:t xml:space="preserve">território, o </w:t>
      </w:r>
      <w:r w:rsidR="008626A0" w:rsidRPr="00A63367">
        <w:rPr>
          <w:rFonts w:ascii="Times New Roman" w:hAnsi="Times New Roman" w:cs="Times New Roman"/>
        </w:rPr>
        <w:t>México declarou que sua nação é pluricultural e inclu</w:t>
      </w:r>
      <w:r w:rsidR="00107FE7">
        <w:rPr>
          <w:rFonts w:ascii="Times New Roman" w:hAnsi="Times New Roman" w:cs="Times New Roman"/>
        </w:rPr>
        <w:t>ía as populações indígenas (arti</w:t>
      </w:r>
      <w:r w:rsidR="008626A0" w:rsidRPr="00A63367">
        <w:rPr>
          <w:rFonts w:ascii="Times New Roman" w:hAnsi="Times New Roman" w:cs="Times New Roman"/>
        </w:rPr>
        <w:t>go 2 da Constituição). A Constituição da Bolívia de 2009 integrou os princípios éticos das populações indí</w:t>
      </w:r>
      <w:r w:rsidR="00107FE7">
        <w:rPr>
          <w:rFonts w:ascii="Times New Roman" w:hAnsi="Times New Roman" w:cs="Times New Roman"/>
        </w:rPr>
        <w:t>genas, e inclusive suas concepçõ</w:t>
      </w:r>
      <w:r w:rsidR="008626A0" w:rsidRPr="00A63367">
        <w:rPr>
          <w:rFonts w:ascii="Times New Roman" w:hAnsi="Times New Roman" w:cs="Times New Roman"/>
        </w:rPr>
        <w:t>es normativas de propriedade.</w:t>
      </w:r>
      <w:r w:rsidR="00A63367" w:rsidRPr="00A63367">
        <w:rPr>
          <w:rFonts w:ascii="Times New Roman" w:hAnsi="Times New Roman" w:cs="Times New Roman"/>
        </w:rPr>
        <w:t xml:space="preserve"> Como coloca von Bogdandy, “</w:t>
      </w:r>
      <w:r w:rsidR="008626A0" w:rsidRPr="008F754A">
        <w:rPr>
          <w:rFonts w:ascii="Times New Roman" w:hAnsi="Times New Roman" w:cs="Times New Roman"/>
          <w:i/>
        </w:rPr>
        <w:t>such provisions are not understood as folklore but rather as potentially trendsetting, and are theorized in the vocabulary of  pluralism</w:t>
      </w:r>
      <w:r w:rsidR="00A63367" w:rsidRPr="00A63367">
        <w:rPr>
          <w:rFonts w:ascii="Times New Roman" w:hAnsi="Times New Roman" w:cs="Times New Roman"/>
        </w:rPr>
        <w:t xml:space="preserve">”, de modo que a construção do </w:t>
      </w:r>
      <w:r w:rsidR="00A63367" w:rsidRPr="00A63367">
        <w:rPr>
          <w:rFonts w:ascii="Times New Roman" w:hAnsi="Times New Roman" w:cs="Times New Roman"/>
        </w:rPr>
        <w:lastRenderedPageBreak/>
        <w:t>ICCAL seja compatível com a diversidade das diferentes manifestações culturais dos povos latino-americanos.</w:t>
      </w:r>
      <w:r w:rsidR="00A63367">
        <w:rPr>
          <w:rStyle w:val="FootnoteReference"/>
          <w:rFonts w:ascii="Times New Roman" w:hAnsi="Times New Roman" w:cs="Times New Roman"/>
        </w:rPr>
        <w:footnoteReference w:id="106"/>
      </w:r>
    </w:p>
    <w:p w14:paraId="6AB480D0" w14:textId="0FD814F4" w:rsidR="009E0424" w:rsidRDefault="00811B0B" w:rsidP="00420929">
      <w:pPr>
        <w:ind w:firstLine="720"/>
        <w:jc w:val="both"/>
        <w:rPr>
          <w:rFonts w:ascii="Times New Roman" w:hAnsi="Times New Roman" w:cs="Times New Roman"/>
          <w:color w:val="000000"/>
        </w:rPr>
      </w:pPr>
      <w:r>
        <w:rPr>
          <w:rFonts w:ascii="Times New Roman" w:hAnsi="Times New Roman" w:cs="Times New Roman"/>
          <w:color w:val="000000"/>
        </w:rPr>
        <w:t xml:space="preserve">Um exemplo de como </w:t>
      </w:r>
      <w:r w:rsidR="001C49BC">
        <w:rPr>
          <w:rFonts w:ascii="Times New Roman" w:hAnsi="Times New Roman" w:cs="Times New Roman"/>
          <w:color w:val="000000"/>
        </w:rPr>
        <w:t xml:space="preserve">a Corte IDH articula </w:t>
      </w:r>
      <w:r>
        <w:rPr>
          <w:rFonts w:ascii="Times New Roman" w:hAnsi="Times New Roman" w:cs="Times New Roman"/>
          <w:color w:val="000000"/>
        </w:rPr>
        <w:t xml:space="preserve">as noções de direitos humanos </w:t>
      </w:r>
      <w:r w:rsidR="001C49BC">
        <w:rPr>
          <w:rFonts w:ascii="Times New Roman" w:hAnsi="Times New Roman" w:cs="Times New Roman"/>
          <w:color w:val="000000"/>
        </w:rPr>
        <w:t>em respeito</w:t>
      </w:r>
      <w:r w:rsidR="007A6BC0">
        <w:rPr>
          <w:rFonts w:ascii="Times New Roman" w:hAnsi="Times New Roman" w:cs="Times New Roman"/>
          <w:color w:val="000000"/>
        </w:rPr>
        <w:t xml:space="preserve"> à</w:t>
      </w:r>
      <w:r>
        <w:rPr>
          <w:rFonts w:ascii="Times New Roman" w:hAnsi="Times New Roman" w:cs="Times New Roman"/>
          <w:color w:val="000000"/>
        </w:rPr>
        <w:t xml:space="preserve"> diversidade</w:t>
      </w:r>
      <w:r w:rsidR="001C49BC">
        <w:rPr>
          <w:rFonts w:ascii="Times New Roman" w:hAnsi="Times New Roman" w:cs="Times New Roman"/>
          <w:color w:val="000000"/>
        </w:rPr>
        <w:t xml:space="preserve"> cultural e social</w:t>
      </w:r>
      <w:r w:rsidR="0065794A">
        <w:rPr>
          <w:rFonts w:ascii="Times New Roman" w:hAnsi="Times New Roman" w:cs="Times New Roman"/>
          <w:color w:val="000000"/>
        </w:rPr>
        <w:t xml:space="preserve"> (i), bem como compatibiliza ordens jurídicas paralelas (ii),</w:t>
      </w:r>
      <w:r>
        <w:rPr>
          <w:rFonts w:ascii="Times New Roman" w:hAnsi="Times New Roman" w:cs="Times New Roman"/>
          <w:color w:val="000000"/>
        </w:rPr>
        <w:t xml:space="preserve"> se </w:t>
      </w:r>
      <w:r w:rsidR="007A6BC0">
        <w:rPr>
          <w:rFonts w:ascii="Times New Roman" w:hAnsi="Times New Roman" w:cs="Times New Roman"/>
          <w:color w:val="000000"/>
        </w:rPr>
        <w:t>verifica</w:t>
      </w:r>
      <w:r>
        <w:rPr>
          <w:rFonts w:ascii="Times New Roman" w:hAnsi="Times New Roman" w:cs="Times New Roman"/>
          <w:color w:val="000000"/>
        </w:rPr>
        <w:t xml:space="preserve"> no julgamento do caso</w:t>
      </w:r>
      <w:r w:rsidR="00370BEB">
        <w:rPr>
          <w:rFonts w:ascii="Times New Roman" w:hAnsi="Times New Roman" w:cs="Times New Roman"/>
          <w:color w:val="000000"/>
        </w:rPr>
        <w:t xml:space="preserve"> Povo Indígena Xucuru vs. Brasil, </w:t>
      </w:r>
      <w:r>
        <w:rPr>
          <w:rFonts w:ascii="Times New Roman" w:hAnsi="Times New Roman" w:cs="Times New Roman"/>
          <w:color w:val="000000"/>
        </w:rPr>
        <w:t xml:space="preserve">em que </w:t>
      </w:r>
      <w:r w:rsidR="00370BEB">
        <w:rPr>
          <w:rFonts w:ascii="Times New Roman" w:hAnsi="Times New Roman" w:cs="Times New Roman"/>
          <w:color w:val="000000"/>
        </w:rPr>
        <w:t xml:space="preserve">o direito humano à propriedade </w:t>
      </w:r>
      <w:r w:rsidR="001C49BC">
        <w:rPr>
          <w:rFonts w:ascii="Times New Roman" w:hAnsi="Times New Roman" w:cs="Times New Roman"/>
          <w:color w:val="000000"/>
        </w:rPr>
        <w:t>foi analisado à luz</w:t>
      </w:r>
      <w:r w:rsidR="00370BEB">
        <w:rPr>
          <w:rFonts w:ascii="Times New Roman" w:hAnsi="Times New Roman" w:cs="Times New Roman"/>
          <w:color w:val="000000"/>
        </w:rPr>
        <w:t xml:space="preserve"> d</w:t>
      </w:r>
      <w:r w:rsidR="007A6BC0">
        <w:rPr>
          <w:rFonts w:ascii="Times New Roman" w:hAnsi="Times New Roman" w:cs="Times New Roman"/>
          <w:color w:val="000000"/>
        </w:rPr>
        <w:t>as particularidades culturais daquele grupo social</w:t>
      </w:r>
      <w:r w:rsidR="009E0424">
        <w:rPr>
          <w:rFonts w:ascii="Times New Roman" w:hAnsi="Times New Roman" w:cs="Times New Roman"/>
          <w:color w:val="000000"/>
        </w:rPr>
        <w:t>:</w:t>
      </w:r>
    </w:p>
    <w:p w14:paraId="076F903D" w14:textId="6188A185" w:rsidR="008626A0" w:rsidRDefault="009E0424" w:rsidP="00420929">
      <w:pPr>
        <w:ind w:left="2268"/>
        <w:jc w:val="both"/>
        <w:rPr>
          <w:rFonts w:ascii="Times New Roman" w:hAnsi="Times New Roman" w:cs="Times New Roman"/>
          <w:i/>
          <w:color w:val="000000"/>
          <w:sz w:val="22"/>
          <w:szCs w:val="22"/>
        </w:rPr>
      </w:pPr>
      <w:r w:rsidRPr="009E0424">
        <w:rPr>
          <w:rFonts w:ascii="Times New Roman" w:hAnsi="Times New Roman" w:cs="Times New Roman"/>
          <w:i/>
          <w:sz w:val="22"/>
          <w:szCs w:val="22"/>
        </w:rPr>
        <w:t>La Corte recuerda que el artículo 21 de la Convención Americana protege la estrecha vinculación que los pueblos indígenas guardan con sus tierras, así como con sus recursos naturales y los elementos incorporales que se desprendan de ellos.</w:t>
      </w:r>
      <w:r w:rsidRPr="009E0424">
        <w:rPr>
          <w:rFonts w:ascii="Times New Roman" w:hAnsi="Times New Roman" w:cs="Times New Roman"/>
          <w:i/>
          <w:sz w:val="22"/>
          <w:szCs w:val="22"/>
          <w:lang w:val="es-ES"/>
        </w:rPr>
        <w:t xml:space="preserve"> </w:t>
      </w:r>
      <w:r w:rsidRPr="009E0424">
        <w:rPr>
          <w:rFonts w:ascii="Times New Roman" w:hAnsi="Times New Roman" w:cs="Times New Roman"/>
          <w:i/>
          <w:sz w:val="22"/>
          <w:szCs w:val="22"/>
        </w:rPr>
        <w:t>Entre los pueblos indígenas y tribales existe una tradición comunitaria sobre una forma comunal de la propiedad colectiva de la tierra, en el sentido de que la pertenencia de ésta no se centra en un individuo sino en el grupo y su comunidad. Tales nociones del dominio y de la posesión sobre las tierras no necesariamente corresponden a la concepción clásica de propiedad, pero la Corte ha establecido que merecen igual protección del artículo 21 de la Convención Americana. Desconocer las versiones específicas del derecho al uso y goce de los bienes, dadas por la cultura, usos, costumbres y creencias de cada pueblo, equivaldría a sostener que sólo existe una forma de usar y disponer de los bienes, lo que a su vez significaría hacer ilusoria la protección de tal disposición a estos colectivos. Al desconocerse el derecho ancestral de los miembros de las comunidades indígenas sobre sus territorios, se podría estar afectando otros derechos básicos, como el derecho a la identidad cultural y la supervivencia misma de las comunidades indígenas y sus miembros.</w:t>
      </w:r>
      <w:r>
        <w:rPr>
          <w:rStyle w:val="FootnoteReference"/>
          <w:rFonts w:ascii="Times New Roman" w:hAnsi="Times New Roman" w:cs="Times New Roman"/>
          <w:i/>
          <w:sz w:val="22"/>
          <w:szCs w:val="22"/>
        </w:rPr>
        <w:footnoteReference w:id="107"/>
      </w:r>
    </w:p>
    <w:p w14:paraId="51A9496D" w14:textId="77777777" w:rsidR="0064762E" w:rsidRPr="0064762E" w:rsidRDefault="0064762E" w:rsidP="00420929">
      <w:pPr>
        <w:ind w:left="2268"/>
        <w:jc w:val="both"/>
        <w:rPr>
          <w:rFonts w:ascii="Times New Roman" w:hAnsi="Times New Roman" w:cs="Times New Roman"/>
          <w:i/>
          <w:color w:val="000000"/>
          <w:sz w:val="22"/>
          <w:szCs w:val="22"/>
        </w:rPr>
      </w:pPr>
    </w:p>
    <w:p w14:paraId="274F3106" w14:textId="69A24927" w:rsidR="004D6FFC" w:rsidRPr="004D6FFC" w:rsidRDefault="00E524AA" w:rsidP="00420929">
      <w:pPr>
        <w:ind w:firstLine="720"/>
        <w:jc w:val="both"/>
        <w:rPr>
          <w:rFonts w:ascii="Times New Roman" w:hAnsi="Times New Roman" w:cs="Times New Roman"/>
        </w:rPr>
      </w:pPr>
      <w:r>
        <w:rPr>
          <w:rFonts w:ascii="Times New Roman" w:hAnsi="Times New Roman" w:cs="Times New Roman"/>
          <w:color w:val="000000"/>
        </w:rPr>
        <w:t>Já a</w:t>
      </w:r>
      <w:r w:rsidR="00BC6603">
        <w:rPr>
          <w:rFonts w:ascii="Times New Roman" w:hAnsi="Times New Roman" w:cs="Times New Roman"/>
          <w:color w:val="000000"/>
        </w:rPr>
        <w:t xml:space="preserve"> harmonização</w:t>
      </w:r>
      <w:r>
        <w:rPr>
          <w:rFonts w:ascii="Times New Roman" w:hAnsi="Times New Roman" w:cs="Times New Roman"/>
          <w:color w:val="000000"/>
        </w:rPr>
        <w:t xml:space="preserve"> entre normas jurídicas domésticas e regionais</w:t>
      </w:r>
      <w:r w:rsidR="00BC6603">
        <w:rPr>
          <w:rFonts w:ascii="Times New Roman" w:hAnsi="Times New Roman" w:cs="Times New Roman"/>
          <w:color w:val="000000"/>
        </w:rPr>
        <w:t xml:space="preserve"> no ICCAL</w:t>
      </w:r>
      <w:r w:rsidR="00BB0885">
        <w:rPr>
          <w:rFonts w:ascii="Times New Roman" w:hAnsi="Times New Roman" w:cs="Times New Roman"/>
          <w:color w:val="000000"/>
        </w:rPr>
        <w:t xml:space="preserve"> (iii)</w:t>
      </w:r>
      <w:r w:rsidR="009C29AE">
        <w:rPr>
          <w:rFonts w:ascii="Times New Roman" w:hAnsi="Times New Roman" w:cs="Times New Roman"/>
          <w:color w:val="000000"/>
        </w:rPr>
        <w:t xml:space="preserve"> é catalizada pela Corte IDH</w:t>
      </w:r>
      <w:r w:rsidR="00582A7C">
        <w:rPr>
          <w:rFonts w:ascii="Times New Roman" w:hAnsi="Times New Roman" w:cs="Times New Roman"/>
          <w:color w:val="000000"/>
        </w:rPr>
        <w:t xml:space="preserve">, </w:t>
      </w:r>
      <w:r w:rsidR="00BF64FA">
        <w:rPr>
          <w:rFonts w:ascii="Times New Roman" w:hAnsi="Times New Roman" w:cs="Times New Roman"/>
          <w:color w:val="000000"/>
        </w:rPr>
        <w:t xml:space="preserve">em que a formação do </w:t>
      </w:r>
      <w:r w:rsidR="00BF64FA">
        <w:rPr>
          <w:rFonts w:ascii="Times New Roman" w:hAnsi="Times New Roman" w:cs="Times New Roman"/>
          <w:i/>
          <w:color w:val="000000"/>
        </w:rPr>
        <w:t xml:space="preserve">corpus juris </w:t>
      </w:r>
      <w:r w:rsidR="00BF64FA">
        <w:rPr>
          <w:rFonts w:ascii="Times New Roman" w:hAnsi="Times New Roman" w:cs="Times New Roman"/>
          <w:color w:val="000000"/>
        </w:rPr>
        <w:t xml:space="preserve">interamericano conta especialmente com o protagonismo dos órgãos jurisdicionais, </w:t>
      </w:r>
      <w:r w:rsidR="0064762E">
        <w:rPr>
          <w:rFonts w:ascii="Times New Roman" w:hAnsi="Times New Roman" w:cs="Times New Roman"/>
          <w:color w:val="000000"/>
        </w:rPr>
        <w:t>através de um</w:t>
      </w:r>
      <w:r w:rsidR="0005026B">
        <w:rPr>
          <w:rFonts w:ascii="Times New Roman" w:hAnsi="Times New Roman" w:cs="Times New Roman"/>
          <w:color w:val="000000"/>
        </w:rPr>
        <w:t xml:space="preserve"> diálogo judicial vertical</w:t>
      </w:r>
      <w:r w:rsidR="00BF64FA">
        <w:rPr>
          <w:rFonts w:ascii="Times New Roman" w:hAnsi="Times New Roman" w:cs="Times New Roman"/>
          <w:color w:val="000000"/>
        </w:rPr>
        <w:t xml:space="preserve">. Em </w:t>
      </w:r>
      <w:r w:rsidR="00C85635">
        <w:rPr>
          <w:rFonts w:ascii="Times New Roman" w:hAnsi="Times New Roman" w:cs="Times New Roman"/>
          <w:color w:val="000000"/>
        </w:rPr>
        <w:t>caso de</w:t>
      </w:r>
      <w:r w:rsidR="00BF64FA">
        <w:rPr>
          <w:rFonts w:ascii="Times New Roman" w:hAnsi="Times New Roman" w:cs="Times New Roman"/>
          <w:color w:val="000000"/>
        </w:rPr>
        <w:t xml:space="preserve"> divergê</w:t>
      </w:r>
      <w:r w:rsidR="00C85635">
        <w:rPr>
          <w:rFonts w:ascii="Times New Roman" w:hAnsi="Times New Roman" w:cs="Times New Roman"/>
          <w:color w:val="000000"/>
        </w:rPr>
        <w:t>ncias na</w:t>
      </w:r>
      <w:r w:rsidR="00BF64FA">
        <w:rPr>
          <w:rFonts w:ascii="Times New Roman" w:hAnsi="Times New Roman" w:cs="Times New Roman"/>
          <w:color w:val="000000"/>
        </w:rPr>
        <w:t xml:space="preserve"> interpretação</w:t>
      </w:r>
      <w:r w:rsidR="00C85635">
        <w:rPr>
          <w:rFonts w:ascii="Times New Roman" w:hAnsi="Times New Roman" w:cs="Times New Roman"/>
          <w:color w:val="000000"/>
        </w:rPr>
        <w:t xml:space="preserve"> dos direitos humanos, </w:t>
      </w:r>
      <w:r w:rsidR="0064762E">
        <w:rPr>
          <w:rFonts w:ascii="Times New Roman" w:hAnsi="Times New Roman" w:cs="Times New Roman"/>
          <w:color w:val="000000"/>
        </w:rPr>
        <w:t>a Corte IDH assume uma</w:t>
      </w:r>
      <w:r w:rsidR="00C85635">
        <w:rPr>
          <w:rFonts w:ascii="Times New Roman" w:hAnsi="Times New Roman" w:cs="Times New Roman"/>
          <w:color w:val="000000"/>
        </w:rPr>
        <w:t xml:space="preserve"> posição privilegiada na determinação dos novos standards para a região</w:t>
      </w:r>
      <w:r w:rsidR="00352A70">
        <w:rPr>
          <w:rFonts w:ascii="Times New Roman" w:hAnsi="Times New Roman" w:cs="Times New Roman"/>
          <w:color w:val="000000"/>
        </w:rPr>
        <w:t xml:space="preserve">, </w:t>
      </w:r>
      <w:r w:rsidR="0064762E">
        <w:rPr>
          <w:rFonts w:ascii="Times New Roman" w:hAnsi="Times New Roman" w:cs="Times New Roman"/>
          <w:color w:val="000000"/>
        </w:rPr>
        <w:t xml:space="preserve">sem com isso determinar uma relação hierárquica com as demais cortes nacionais, mas adotando a posição de </w:t>
      </w:r>
      <w:r w:rsidR="0005026B">
        <w:rPr>
          <w:rFonts w:ascii="Times New Roman" w:hAnsi="Times New Roman" w:cs="Times New Roman"/>
          <w:i/>
          <w:color w:val="000000"/>
        </w:rPr>
        <w:t>primus inter pares</w:t>
      </w:r>
      <w:r w:rsidR="00352A70">
        <w:rPr>
          <w:rFonts w:ascii="Times New Roman" w:hAnsi="Times New Roman" w:cs="Times New Roman"/>
          <w:color w:val="000000"/>
        </w:rPr>
        <w:t>.</w:t>
      </w:r>
      <w:r w:rsidR="00352A70">
        <w:rPr>
          <w:rStyle w:val="FootnoteReference"/>
          <w:rFonts w:ascii="Times New Roman" w:hAnsi="Times New Roman" w:cs="Times New Roman"/>
          <w:color w:val="000000"/>
        </w:rPr>
        <w:footnoteReference w:id="108"/>
      </w:r>
    </w:p>
    <w:p w14:paraId="14D2CC7C" w14:textId="36378E0B" w:rsidR="009F4EE5" w:rsidRDefault="0028488E" w:rsidP="00420929">
      <w:pPr>
        <w:ind w:firstLine="720"/>
        <w:jc w:val="both"/>
        <w:rPr>
          <w:rFonts w:ascii="Times New Roman" w:hAnsi="Times New Roman" w:cs="Times New Roman"/>
        </w:rPr>
      </w:pPr>
      <w:r>
        <w:rPr>
          <w:rFonts w:ascii="Times New Roman" w:hAnsi="Times New Roman" w:cs="Times New Roman"/>
        </w:rPr>
        <w:t>Essa prática dialogada se evidencia no controle de convenc</w:t>
      </w:r>
      <w:r w:rsidR="00615314">
        <w:rPr>
          <w:rFonts w:ascii="Times New Roman" w:hAnsi="Times New Roman" w:cs="Times New Roman"/>
        </w:rPr>
        <w:t>ionalidade, doutrina construída pela Corte Interamericana a partir da obrigação estabelecida no artigo 2 da Convenção Americana sobre Direitos Humanos, segundo a qual todos os Estados-membros devem adequar seu direito interno a fim de tornar efetivos os direitos humanos protegidos pelas normas convencionais.</w:t>
      </w:r>
      <w:r w:rsidR="00920751">
        <w:rPr>
          <w:rStyle w:val="FootnoteReference"/>
          <w:rFonts w:ascii="Times New Roman" w:hAnsi="Times New Roman" w:cs="Times New Roman"/>
        </w:rPr>
        <w:footnoteReference w:id="109"/>
      </w:r>
      <w:r w:rsidR="004124F8">
        <w:rPr>
          <w:rFonts w:ascii="Times New Roman" w:hAnsi="Times New Roman" w:cs="Times New Roman"/>
        </w:rPr>
        <w:t xml:space="preserve"> </w:t>
      </w:r>
      <w:r w:rsidR="00107CC8">
        <w:rPr>
          <w:rFonts w:ascii="Times New Roman" w:hAnsi="Times New Roman" w:cs="Times New Roman"/>
        </w:rPr>
        <w:t xml:space="preserve">O controle de convencionalidade teve seus contornos definidos a partir dos casos julgados pela Corte IDH, em um diálogo vertical com as cortes nacionais: </w:t>
      </w:r>
      <w:r w:rsidR="00FF3E5C">
        <w:rPr>
          <w:rFonts w:ascii="Times New Roman" w:hAnsi="Times New Roman" w:cs="Times New Roman"/>
        </w:rPr>
        <w:t xml:space="preserve">(a) </w:t>
      </w:r>
      <w:r w:rsidR="004124F8">
        <w:rPr>
          <w:rFonts w:ascii="Times New Roman" w:hAnsi="Times New Roman" w:cs="Times New Roman"/>
        </w:rPr>
        <w:t xml:space="preserve">as normas jurídicas domésticas </w:t>
      </w:r>
      <w:r w:rsidR="00107CC8">
        <w:rPr>
          <w:rFonts w:ascii="Times New Roman" w:hAnsi="Times New Roman" w:cs="Times New Roman"/>
        </w:rPr>
        <w:t xml:space="preserve">devem </w:t>
      </w:r>
      <w:r w:rsidR="004124F8">
        <w:rPr>
          <w:rFonts w:ascii="Times New Roman" w:hAnsi="Times New Roman" w:cs="Times New Roman"/>
        </w:rPr>
        <w:t>co</w:t>
      </w:r>
      <w:r w:rsidR="005609D5">
        <w:rPr>
          <w:rFonts w:ascii="Times New Roman" w:hAnsi="Times New Roman" w:cs="Times New Roman"/>
        </w:rPr>
        <w:t>n</w:t>
      </w:r>
      <w:r w:rsidR="004124F8">
        <w:rPr>
          <w:rFonts w:ascii="Times New Roman" w:hAnsi="Times New Roman" w:cs="Times New Roman"/>
        </w:rPr>
        <w:t xml:space="preserve">vergir não só com os tratados interamericanos de direitos humanos, mas </w:t>
      </w:r>
      <w:r w:rsidR="00107CC8">
        <w:rPr>
          <w:rFonts w:ascii="Times New Roman" w:hAnsi="Times New Roman" w:cs="Times New Roman"/>
        </w:rPr>
        <w:t>também</w:t>
      </w:r>
      <w:r w:rsidR="004124F8">
        <w:rPr>
          <w:rFonts w:ascii="Times New Roman" w:hAnsi="Times New Roman" w:cs="Times New Roman"/>
        </w:rPr>
        <w:t xml:space="preserve"> co</w:t>
      </w:r>
      <w:r w:rsidR="005609D5">
        <w:rPr>
          <w:rFonts w:ascii="Times New Roman" w:hAnsi="Times New Roman" w:cs="Times New Roman"/>
        </w:rPr>
        <w:t>m a jurisprudê</w:t>
      </w:r>
      <w:r w:rsidR="00107CC8">
        <w:rPr>
          <w:rFonts w:ascii="Times New Roman" w:hAnsi="Times New Roman" w:cs="Times New Roman"/>
        </w:rPr>
        <w:t>ncia da Corte IDH;</w:t>
      </w:r>
      <w:r w:rsidR="00107CC8">
        <w:rPr>
          <w:rStyle w:val="FootnoteReference"/>
          <w:rFonts w:ascii="Times New Roman" w:hAnsi="Times New Roman" w:cs="Times New Roman"/>
        </w:rPr>
        <w:footnoteReference w:id="110"/>
      </w:r>
      <w:r w:rsidR="00107CC8">
        <w:rPr>
          <w:rFonts w:ascii="Times New Roman" w:hAnsi="Times New Roman" w:cs="Times New Roman"/>
        </w:rPr>
        <w:t xml:space="preserve"> </w:t>
      </w:r>
      <w:r w:rsidR="00FF3E5C">
        <w:rPr>
          <w:rFonts w:ascii="Times New Roman" w:hAnsi="Times New Roman" w:cs="Times New Roman"/>
        </w:rPr>
        <w:t xml:space="preserve">(b) </w:t>
      </w:r>
      <w:r w:rsidR="009B4FC3">
        <w:rPr>
          <w:rFonts w:ascii="Times New Roman" w:hAnsi="Times New Roman" w:cs="Times New Roman"/>
        </w:rPr>
        <w:lastRenderedPageBreak/>
        <w:t>cabe não só à Corte IDH mas também aos juízes internos realizar o exame de convencionalidade</w:t>
      </w:r>
      <w:r w:rsidR="001C7887">
        <w:rPr>
          <w:rFonts w:ascii="Times New Roman" w:hAnsi="Times New Roman" w:cs="Times New Roman"/>
        </w:rPr>
        <w:t>,</w:t>
      </w:r>
      <w:r w:rsidR="009B4FC3">
        <w:rPr>
          <w:rStyle w:val="FootnoteReference"/>
          <w:rFonts w:ascii="Times New Roman" w:hAnsi="Times New Roman" w:cs="Times New Roman"/>
        </w:rPr>
        <w:footnoteReference w:id="111"/>
      </w:r>
      <w:r w:rsidR="001C7887">
        <w:rPr>
          <w:rFonts w:ascii="Times New Roman" w:hAnsi="Times New Roman" w:cs="Times New Roman"/>
        </w:rPr>
        <w:t xml:space="preserve"> </w:t>
      </w:r>
      <w:r w:rsidR="00FF3E5C">
        <w:rPr>
          <w:rFonts w:ascii="Times New Roman" w:hAnsi="Times New Roman" w:cs="Times New Roman"/>
        </w:rPr>
        <w:t xml:space="preserve">(c) </w:t>
      </w:r>
      <w:r w:rsidR="001C7887">
        <w:rPr>
          <w:rFonts w:ascii="Times New Roman" w:hAnsi="Times New Roman" w:cs="Times New Roman"/>
        </w:rPr>
        <w:t xml:space="preserve">assim como todos os órgãos relacionados com a administração da Justiça, sendo que a prática pode se dar </w:t>
      </w:r>
      <w:r w:rsidR="001C7887">
        <w:rPr>
          <w:rFonts w:ascii="Times New Roman" w:hAnsi="Times New Roman" w:cs="Times New Roman"/>
          <w:i/>
        </w:rPr>
        <w:t>ex officio</w:t>
      </w:r>
      <w:r w:rsidR="001C7887">
        <w:rPr>
          <w:rFonts w:ascii="Times New Roman" w:hAnsi="Times New Roman" w:cs="Times New Roman"/>
        </w:rPr>
        <w:t xml:space="preserve">; </w:t>
      </w:r>
      <w:r w:rsidR="001C7887">
        <w:rPr>
          <w:rStyle w:val="FootnoteReference"/>
          <w:rFonts w:ascii="Times New Roman" w:hAnsi="Times New Roman" w:cs="Times New Roman"/>
        </w:rPr>
        <w:footnoteReference w:id="112"/>
      </w:r>
      <w:r w:rsidR="004124F8">
        <w:rPr>
          <w:rFonts w:ascii="Times New Roman" w:hAnsi="Times New Roman" w:cs="Times New Roman"/>
        </w:rPr>
        <w:t xml:space="preserve"> </w:t>
      </w:r>
      <w:r w:rsidR="00FF3E5C">
        <w:rPr>
          <w:rFonts w:ascii="Times New Roman" w:hAnsi="Times New Roman" w:cs="Times New Roman"/>
        </w:rPr>
        <w:t>(d) tal controle não pode ser eximido diante de posições contrárias adotadas pela opinião pública ou por manifestações da maioria popular;</w:t>
      </w:r>
      <w:r w:rsidR="00FF3E5C">
        <w:rPr>
          <w:rStyle w:val="FootnoteReference"/>
          <w:rFonts w:ascii="Times New Roman" w:hAnsi="Times New Roman" w:cs="Times New Roman"/>
        </w:rPr>
        <w:footnoteReference w:id="113"/>
      </w:r>
      <w:r w:rsidR="00FF3E5C">
        <w:rPr>
          <w:rFonts w:ascii="Times New Roman" w:hAnsi="Times New Roman" w:cs="Times New Roman"/>
        </w:rPr>
        <w:t xml:space="preserve"> e, finalmente, (e) ele terá por referencial normas convencionais, casos contenciosos julgados pela Corte IDH e também Opiniões Consultivas.</w:t>
      </w:r>
      <w:r w:rsidR="00FF3E5C">
        <w:rPr>
          <w:rStyle w:val="FootnoteReference"/>
          <w:rFonts w:ascii="Times New Roman" w:hAnsi="Times New Roman" w:cs="Times New Roman"/>
        </w:rPr>
        <w:footnoteReference w:id="114"/>
      </w:r>
    </w:p>
    <w:p w14:paraId="5746D0F2" w14:textId="60501492" w:rsidR="0028488E" w:rsidRDefault="003122E1" w:rsidP="00420929">
      <w:pPr>
        <w:ind w:firstLine="720"/>
        <w:jc w:val="both"/>
        <w:rPr>
          <w:rFonts w:ascii="Times New Roman" w:hAnsi="Times New Roman" w:cs="Times New Roman"/>
        </w:rPr>
      </w:pPr>
      <w:r>
        <w:rPr>
          <w:rFonts w:ascii="Times New Roman" w:hAnsi="Times New Roman" w:cs="Times New Roman"/>
        </w:rPr>
        <w:t>A dinâmica do</w:t>
      </w:r>
      <w:r w:rsidR="007F5072">
        <w:rPr>
          <w:rFonts w:ascii="Times New Roman" w:hAnsi="Times New Roman" w:cs="Times New Roman"/>
        </w:rPr>
        <w:t xml:space="preserve"> controle</w:t>
      </w:r>
      <w:r w:rsidR="00AE7F45">
        <w:rPr>
          <w:rFonts w:ascii="Times New Roman" w:hAnsi="Times New Roman" w:cs="Times New Roman"/>
        </w:rPr>
        <w:t xml:space="preserve"> de convencionalidade </w:t>
      </w:r>
      <w:r w:rsidR="007C2666">
        <w:rPr>
          <w:rFonts w:ascii="Times New Roman" w:hAnsi="Times New Roman" w:cs="Times New Roman"/>
        </w:rPr>
        <w:t xml:space="preserve">é em grande medida </w:t>
      </w:r>
      <w:r w:rsidR="007F5072">
        <w:rPr>
          <w:rFonts w:ascii="Times New Roman" w:hAnsi="Times New Roman" w:cs="Times New Roman"/>
        </w:rPr>
        <w:t>orientada pelo</w:t>
      </w:r>
      <w:r w:rsidR="00AE7F45">
        <w:rPr>
          <w:rFonts w:ascii="Times New Roman" w:hAnsi="Times New Roman" w:cs="Times New Roman"/>
        </w:rPr>
        <w:t xml:space="preserve"> princípio da norma mais favorável à vítima, </w:t>
      </w:r>
      <w:r w:rsidR="007F5072">
        <w:rPr>
          <w:rFonts w:ascii="Times New Roman" w:hAnsi="Times New Roman" w:cs="Times New Roman"/>
        </w:rPr>
        <w:t>fundado no artigo 29 da Convenção Americana,</w:t>
      </w:r>
      <w:r w:rsidR="007C2666">
        <w:rPr>
          <w:rFonts w:ascii="Times New Roman" w:hAnsi="Times New Roman" w:cs="Times New Roman"/>
        </w:rPr>
        <w:t xml:space="preserve"> segundo o qual devem prevalecer</w:t>
      </w:r>
      <w:r w:rsidR="007F5072">
        <w:rPr>
          <w:rFonts w:ascii="Times New Roman" w:hAnsi="Times New Roman" w:cs="Times New Roman"/>
        </w:rPr>
        <w:t xml:space="preserve"> interpretações domésticas </w:t>
      </w:r>
      <w:r w:rsidR="00C7333F">
        <w:rPr>
          <w:rFonts w:ascii="Times New Roman" w:hAnsi="Times New Roman" w:cs="Times New Roman"/>
        </w:rPr>
        <w:t xml:space="preserve">quando forem </w:t>
      </w:r>
      <w:r w:rsidR="007F5072">
        <w:rPr>
          <w:rFonts w:ascii="Times New Roman" w:hAnsi="Times New Roman" w:cs="Times New Roman"/>
        </w:rPr>
        <w:t xml:space="preserve">mais </w:t>
      </w:r>
      <w:r w:rsidR="007C2666">
        <w:rPr>
          <w:rFonts w:ascii="Times New Roman" w:hAnsi="Times New Roman" w:cs="Times New Roman"/>
        </w:rPr>
        <w:t>generosas</w:t>
      </w:r>
      <w:r w:rsidR="007F5072">
        <w:rPr>
          <w:rFonts w:ascii="Times New Roman" w:hAnsi="Times New Roman" w:cs="Times New Roman"/>
        </w:rPr>
        <w:t xml:space="preserve"> na configuração dos direitos a serem fruídos</w:t>
      </w:r>
      <w:r w:rsidR="00BB718D">
        <w:rPr>
          <w:rFonts w:ascii="Times New Roman" w:hAnsi="Times New Roman" w:cs="Times New Roman"/>
        </w:rPr>
        <w:t>, ou menos restritivas</w:t>
      </w:r>
      <w:r w:rsidR="007F5072">
        <w:rPr>
          <w:rFonts w:ascii="Times New Roman" w:hAnsi="Times New Roman" w:cs="Times New Roman"/>
        </w:rPr>
        <w:t xml:space="preserve">. </w:t>
      </w:r>
      <w:r w:rsidR="00996E05">
        <w:rPr>
          <w:rFonts w:ascii="Times New Roman" w:hAnsi="Times New Roman" w:cs="Times New Roman"/>
        </w:rPr>
        <w:t>Dessa forma, de um lado podem os Estados expandir a proteção aos direitos humanos através das normas nacionais, e de outro, não estão autorizados a invocar a Convenção Americana para fundamentar restrições a esses direitos.</w:t>
      </w:r>
      <w:r w:rsidR="00996E05" w:rsidRPr="00996E05">
        <w:rPr>
          <w:rStyle w:val="FootnoteReference"/>
          <w:rFonts w:ascii="Times New Roman" w:hAnsi="Times New Roman" w:cs="Times New Roman"/>
        </w:rPr>
        <w:t xml:space="preserve"> </w:t>
      </w:r>
      <w:r w:rsidR="00996E05">
        <w:rPr>
          <w:rStyle w:val="FootnoteReference"/>
          <w:rFonts w:ascii="Times New Roman" w:hAnsi="Times New Roman" w:cs="Times New Roman"/>
        </w:rPr>
        <w:footnoteReference w:id="115"/>
      </w:r>
      <w:r w:rsidR="00FC17FD">
        <w:rPr>
          <w:rFonts w:ascii="Times New Roman" w:hAnsi="Times New Roman" w:cs="Times New Roman"/>
        </w:rPr>
        <w:t xml:space="preserve"> Em decorrência da aplicação desse princípio, os standards de direitos humanos a serem criados pelo controle de convencionalidade serão elaborados a partir de uma lógica incremental que tem em seu epicentro a figura da pessoa humana.</w:t>
      </w:r>
    </w:p>
    <w:p w14:paraId="243670FB" w14:textId="3062B030" w:rsidR="00FC17FD" w:rsidRDefault="00FC17FD" w:rsidP="00420929">
      <w:pPr>
        <w:ind w:firstLine="720"/>
        <w:jc w:val="both"/>
        <w:rPr>
          <w:rFonts w:ascii="Times New Roman" w:hAnsi="Times New Roman" w:cs="Times New Roman"/>
        </w:rPr>
      </w:pPr>
      <w:r>
        <w:rPr>
          <w:rFonts w:ascii="Times New Roman" w:hAnsi="Times New Roman" w:cs="Times New Roman"/>
        </w:rPr>
        <w:t>Contudo, é preciso salientar que nem sempre o princípio da norma mais favorável logrará solucionar conflitos de interpretação das normas de direitos humanos no ICCAL.</w:t>
      </w:r>
      <w:r w:rsidR="00604029">
        <w:rPr>
          <w:rFonts w:ascii="Times New Roman" w:hAnsi="Times New Roman" w:cs="Times New Roman"/>
        </w:rPr>
        <w:t xml:space="preserve"> </w:t>
      </w:r>
      <w:r w:rsidR="007C743D">
        <w:rPr>
          <w:rFonts w:ascii="Times New Roman" w:hAnsi="Times New Roman" w:cs="Times New Roman"/>
        </w:rPr>
        <w:t>A própria Convenção Americana autoriza restrições aos direitos humanos veiculadas por lei em casos</w:t>
      </w:r>
      <w:r w:rsidR="00903BAF">
        <w:rPr>
          <w:rFonts w:ascii="Times New Roman" w:hAnsi="Times New Roman" w:cs="Times New Roman"/>
        </w:rPr>
        <w:t xml:space="preserve"> como o exercício da liberdade religiosa, liberdade de expressão, entre outros</w:t>
      </w:r>
      <w:r w:rsidR="007C743D">
        <w:rPr>
          <w:rFonts w:ascii="Times New Roman" w:hAnsi="Times New Roman" w:cs="Times New Roman"/>
        </w:rPr>
        <w:t xml:space="preserve">, </w:t>
      </w:r>
      <w:r w:rsidR="00903BAF">
        <w:rPr>
          <w:rFonts w:ascii="Times New Roman" w:hAnsi="Times New Roman" w:cs="Times New Roman"/>
        </w:rPr>
        <w:t>o que pode afastar a</w:t>
      </w:r>
      <w:r w:rsidR="007C743D">
        <w:rPr>
          <w:rFonts w:ascii="Times New Roman" w:hAnsi="Times New Roman" w:cs="Times New Roman"/>
        </w:rPr>
        <w:t xml:space="preserve"> norma mais favorável à vítima quando outros interesses est</w:t>
      </w:r>
      <w:r w:rsidR="0015289A">
        <w:rPr>
          <w:rFonts w:ascii="Times New Roman" w:hAnsi="Times New Roman" w:cs="Times New Roman"/>
        </w:rPr>
        <w:t>iverem</w:t>
      </w:r>
      <w:r w:rsidR="007C743D">
        <w:rPr>
          <w:rFonts w:ascii="Times New Roman" w:hAnsi="Times New Roman" w:cs="Times New Roman"/>
        </w:rPr>
        <w:t xml:space="preserve"> em jogo.</w:t>
      </w:r>
      <w:r w:rsidR="0015289A">
        <w:rPr>
          <w:rFonts w:ascii="Times New Roman" w:hAnsi="Times New Roman" w:cs="Times New Roman"/>
        </w:rPr>
        <w:t xml:space="preserve"> Um exemplo </w:t>
      </w:r>
      <w:r w:rsidR="00903BAF">
        <w:rPr>
          <w:rFonts w:ascii="Times New Roman" w:hAnsi="Times New Roman" w:cs="Times New Roman"/>
        </w:rPr>
        <w:t>se verifica</w:t>
      </w:r>
      <w:r w:rsidR="0015289A">
        <w:rPr>
          <w:rFonts w:ascii="Times New Roman" w:hAnsi="Times New Roman" w:cs="Times New Roman"/>
        </w:rPr>
        <w:t xml:space="preserve"> no caso Castañeda Gutman v. México, em que a Corte IDH reconheceu como válida a exigência interna de filiação partidária para um cidadão</w:t>
      </w:r>
      <w:r w:rsidR="00903BAF">
        <w:rPr>
          <w:rFonts w:ascii="Times New Roman" w:hAnsi="Times New Roman" w:cs="Times New Roman"/>
        </w:rPr>
        <w:t xml:space="preserve"> se candidatar em processo eleitoral</w:t>
      </w:r>
      <w:r w:rsidR="00C01B6C">
        <w:rPr>
          <w:rStyle w:val="FootnoteReference"/>
          <w:rFonts w:ascii="Times New Roman" w:hAnsi="Times New Roman" w:cs="Times New Roman"/>
        </w:rPr>
        <w:footnoteReference w:id="116"/>
      </w:r>
      <w:r w:rsidR="0015289A">
        <w:rPr>
          <w:rFonts w:ascii="Times New Roman" w:hAnsi="Times New Roman" w:cs="Times New Roman"/>
        </w:rPr>
        <w:t xml:space="preserve">. A deferência </w:t>
      </w:r>
      <w:r w:rsidR="00903BAF">
        <w:rPr>
          <w:rFonts w:ascii="Times New Roman" w:hAnsi="Times New Roman" w:cs="Times New Roman"/>
        </w:rPr>
        <w:t>da</w:t>
      </w:r>
      <w:r w:rsidR="0015289A">
        <w:rPr>
          <w:rFonts w:ascii="Times New Roman" w:hAnsi="Times New Roman" w:cs="Times New Roman"/>
        </w:rPr>
        <w:t xml:space="preserve"> Corte ID</w:t>
      </w:r>
      <w:r w:rsidR="00903BAF">
        <w:rPr>
          <w:rFonts w:ascii="Times New Roman" w:hAnsi="Times New Roman" w:cs="Times New Roman"/>
        </w:rPr>
        <w:t>H às normas nacionais demonstra</w:t>
      </w:r>
      <w:r w:rsidR="0015289A">
        <w:rPr>
          <w:rFonts w:ascii="Times New Roman" w:hAnsi="Times New Roman" w:cs="Times New Roman"/>
        </w:rPr>
        <w:t xml:space="preserve"> que a preservação do pluralismo também é um valor prezado pelo ICCAL.</w:t>
      </w:r>
    </w:p>
    <w:p w14:paraId="6C68226A" w14:textId="77777777" w:rsidR="001B7283" w:rsidRDefault="001B7283" w:rsidP="00420929">
      <w:pPr>
        <w:jc w:val="both"/>
        <w:rPr>
          <w:rFonts w:ascii="Times New Roman" w:hAnsi="Times New Roman" w:cs="Times New Roman"/>
        </w:rPr>
      </w:pPr>
    </w:p>
    <w:p w14:paraId="08EF0FCB" w14:textId="184A4741" w:rsidR="00820115" w:rsidRDefault="00802BAF" w:rsidP="00420929">
      <w:pPr>
        <w:pStyle w:val="ListParagraph"/>
        <w:numPr>
          <w:ilvl w:val="1"/>
          <w:numId w:val="2"/>
        </w:numPr>
        <w:jc w:val="both"/>
        <w:rPr>
          <w:rFonts w:ascii="Times New Roman" w:hAnsi="Times New Roman" w:cs="Times New Roman"/>
          <w:b/>
        </w:rPr>
      </w:pPr>
      <w:r w:rsidRPr="00802BAF">
        <w:rPr>
          <w:rFonts w:ascii="Times New Roman" w:hAnsi="Times New Roman" w:cs="Times New Roman"/>
          <w:b/>
        </w:rPr>
        <w:t>FUNÇÃO TRANSFORMADORA</w:t>
      </w:r>
    </w:p>
    <w:p w14:paraId="7CA5D253" w14:textId="77777777" w:rsidR="00B82D71" w:rsidRDefault="00B82D71" w:rsidP="00420929">
      <w:pPr>
        <w:jc w:val="both"/>
        <w:rPr>
          <w:rFonts w:ascii="Times New Roman" w:hAnsi="Times New Roman" w:cs="Times New Roman"/>
        </w:rPr>
      </w:pPr>
    </w:p>
    <w:p w14:paraId="312F0840" w14:textId="245412F0" w:rsidR="00161898" w:rsidRDefault="00161898" w:rsidP="00420929">
      <w:pPr>
        <w:ind w:firstLine="720"/>
        <w:jc w:val="both"/>
        <w:rPr>
          <w:rFonts w:ascii="Times New Roman" w:hAnsi="Times New Roman" w:cs="Times New Roman"/>
        </w:rPr>
      </w:pPr>
      <w:r>
        <w:rPr>
          <w:rFonts w:ascii="Times New Roman" w:hAnsi="Times New Roman" w:cs="Times New Roman"/>
        </w:rPr>
        <w:t>Outra função assumida pela Corte IDH a fim de materializar os objetivos traçados pelo ICCAL diz respeito à modificação das condições da estrutura social que contribuem para os proces</w:t>
      </w:r>
      <w:r w:rsidR="00B157A5">
        <w:rPr>
          <w:rFonts w:ascii="Times New Roman" w:hAnsi="Times New Roman" w:cs="Times New Roman"/>
        </w:rPr>
        <w:t>s</w:t>
      </w:r>
      <w:r>
        <w:rPr>
          <w:rFonts w:ascii="Times New Roman" w:hAnsi="Times New Roman" w:cs="Times New Roman"/>
        </w:rPr>
        <w:t>os de exclusão.</w:t>
      </w:r>
      <w:r w:rsidR="00DC104E">
        <w:rPr>
          <w:rFonts w:ascii="Times New Roman" w:hAnsi="Times New Roman" w:cs="Times New Roman"/>
        </w:rPr>
        <w:t xml:space="preserve"> É certo que a eficácia das medidas determinadas pelas sentenças interamericanas depende intensamente de uma agenda política voltada para os mesmos fins, </w:t>
      </w:r>
      <w:r w:rsidR="00003334">
        <w:rPr>
          <w:rFonts w:ascii="Times New Roman" w:hAnsi="Times New Roman" w:cs="Times New Roman"/>
        </w:rPr>
        <w:t xml:space="preserve">assim como uma cultura em que magistrados estejam comprometidos jurídica e ideologicamente </w:t>
      </w:r>
      <w:r w:rsidR="006A3477">
        <w:rPr>
          <w:rFonts w:ascii="Times New Roman" w:hAnsi="Times New Roman" w:cs="Times New Roman"/>
        </w:rPr>
        <w:t>com a realização dos direitos.</w:t>
      </w:r>
      <w:r w:rsidR="00A80CF1">
        <w:rPr>
          <w:rStyle w:val="FootnoteReference"/>
          <w:rFonts w:ascii="Times New Roman" w:hAnsi="Times New Roman" w:cs="Times New Roman"/>
        </w:rPr>
        <w:footnoteReference w:id="117"/>
      </w:r>
      <w:r w:rsidR="006A3477">
        <w:rPr>
          <w:rFonts w:ascii="Times New Roman" w:hAnsi="Times New Roman" w:cs="Times New Roman"/>
        </w:rPr>
        <w:t xml:space="preserve"> </w:t>
      </w:r>
      <w:r w:rsidR="003C7393">
        <w:rPr>
          <w:rFonts w:ascii="Times New Roman" w:hAnsi="Times New Roman" w:cs="Times New Roman"/>
        </w:rPr>
        <w:t>Ainda assim</w:t>
      </w:r>
      <w:r w:rsidR="006A3477">
        <w:rPr>
          <w:rFonts w:ascii="Times New Roman" w:hAnsi="Times New Roman" w:cs="Times New Roman"/>
        </w:rPr>
        <w:t xml:space="preserve">, </w:t>
      </w:r>
      <w:r w:rsidR="00DC104E">
        <w:rPr>
          <w:rFonts w:ascii="Times New Roman" w:hAnsi="Times New Roman" w:cs="Times New Roman"/>
        </w:rPr>
        <w:t>não se deve menosprezar o papel transformador que o direito pode assumir.</w:t>
      </w:r>
      <w:r w:rsidR="00DC104E">
        <w:rPr>
          <w:rStyle w:val="FootnoteReference"/>
          <w:rFonts w:ascii="Times New Roman" w:hAnsi="Times New Roman" w:cs="Times New Roman"/>
        </w:rPr>
        <w:footnoteReference w:id="118"/>
      </w:r>
    </w:p>
    <w:p w14:paraId="2C90D69A" w14:textId="376B9D68" w:rsidR="003C0632" w:rsidRPr="002B0178" w:rsidRDefault="00E2755E" w:rsidP="00A724F7">
      <w:pPr>
        <w:ind w:firstLine="720"/>
        <w:jc w:val="both"/>
        <w:rPr>
          <w:rFonts w:ascii="Times New Roman" w:hAnsi="Times New Roman" w:cs="Times New Roman"/>
          <w:color w:val="000000"/>
        </w:rPr>
      </w:pPr>
      <w:r>
        <w:rPr>
          <w:rFonts w:ascii="Times New Roman" w:hAnsi="Times New Roman" w:cs="Times New Roman"/>
        </w:rPr>
        <w:lastRenderedPageBreak/>
        <w:t xml:space="preserve">Nessa linha, a atuação da Corte Interamericana nos últimos anos tem se refletido na realidade social de diversos estados, propiciando um ambiente mais favorável ao reconhecimento e à proteção dos direitos humanos. </w:t>
      </w:r>
      <w:r w:rsidR="004449EF">
        <w:rPr>
          <w:rFonts w:ascii="Times New Roman" w:hAnsi="Times New Roman" w:cs="Times New Roman"/>
        </w:rPr>
        <w:t>As decisões adotadas tem um explícito foco na realização dos direitos não como trunfos individuais, mas como demandas (coletivas) para a ação pública.</w:t>
      </w:r>
      <w:r w:rsidR="004449EF">
        <w:rPr>
          <w:rStyle w:val="FootnoteReference"/>
          <w:rFonts w:ascii="Times New Roman" w:hAnsi="Times New Roman" w:cs="Times New Roman"/>
        </w:rPr>
        <w:footnoteReference w:id="119"/>
      </w:r>
      <w:r w:rsidR="004449EF">
        <w:rPr>
          <w:rFonts w:ascii="Times New Roman" w:hAnsi="Times New Roman" w:cs="Times New Roman"/>
        </w:rPr>
        <w:t xml:space="preserve"> </w:t>
      </w:r>
      <w:r w:rsidR="000D29ED">
        <w:rPr>
          <w:rFonts w:ascii="Times New Roman" w:hAnsi="Times New Roman" w:cs="Times New Roman"/>
        </w:rPr>
        <w:t>Muitas vezes</w:t>
      </w:r>
      <w:r w:rsidR="003C0632">
        <w:rPr>
          <w:rFonts w:ascii="Times New Roman" w:hAnsi="Times New Roman" w:cs="Times New Roman"/>
        </w:rPr>
        <w:t>, mediante</w:t>
      </w:r>
      <w:r w:rsidR="000D29ED">
        <w:rPr>
          <w:rFonts w:ascii="Times New Roman" w:hAnsi="Times New Roman" w:cs="Times New Roman"/>
        </w:rPr>
        <w:t xml:space="preserve"> verdadeira função pedagógica, </w:t>
      </w:r>
      <w:r w:rsidR="003C0632">
        <w:rPr>
          <w:rFonts w:ascii="Times New Roman" w:hAnsi="Times New Roman" w:cs="Times New Roman"/>
        </w:rPr>
        <w:t xml:space="preserve">a Corte </w:t>
      </w:r>
      <w:r w:rsidR="000D29ED">
        <w:rPr>
          <w:rFonts w:ascii="Times New Roman" w:hAnsi="Times New Roman" w:cs="Times New Roman"/>
        </w:rPr>
        <w:t>desencade</w:t>
      </w:r>
      <w:r w:rsidR="003C0632">
        <w:rPr>
          <w:rFonts w:ascii="Times New Roman" w:hAnsi="Times New Roman" w:cs="Times New Roman"/>
        </w:rPr>
        <w:t>i</w:t>
      </w:r>
      <w:r w:rsidR="000D29ED">
        <w:rPr>
          <w:rFonts w:ascii="Times New Roman" w:hAnsi="Times New Roman" w:cs="Times New Roman"/>
        </w:rPr>
        <w:t xml:space="preserve">a a atenção não só dos agentes estatais mas da sociedade como um todo para a realização de </w:t>
      </w:r>
      <w:r w:rsidR="000D29ED" w:rsidRPr="00AD1D8C">
        <w:rPr>
          <w:rFonts w:ascii="Times New Roman" w:hAnsi="Times New Roman" w:cs="Times New Roman"/>
        </w:rPr>
        <w:t>valores como liberdade, igualdade, e dignidade.</w:t>
      </w:r>
      <w:r w:rsidR="000D29ED" w:rsidRPr="00AD1D8C">
        <w:rPr>
          <w:rStyle w:val="FootnoteReference"/>
          <w:rFonts w:ascii="Times New Roman" w:hAnsi="Times New Roman" w:cs="Times New Roman"/>
        </w:rPr>
        <w:footnoteReference w:id="120"/>
      </w:r>
      <w:r w:rsidR="000D29ED" w:rsidRPr="00AD1D8C">
        <w:rPr>
          <w:rFonts w:ascii="Times New Roman" w:hAnsi="Times New Roman" w:cs="Times New Roman"/>
        </w:rPr>
        <w:t xml:space="preserve"> </w:t>
      </w:r>
      <w:r w:rsidR="00AD1D8C">
        <w:rPr>
          <w:rFonts w:ascii="Times New Roman" w:hAnsi="Times New Roman" w:cs="Times New Roman"/>
        </w:rPr>
        <w:t>Longe de se concentrar na solução de litígios individuais, a Corte IDH assume função reguladora e democratizante</w:t>
      </w:r>
      <w:r w:rsidR="00AD1D8C" w:rsidRPr="002B0178">
        <w:rPr>
          <w:rFonts w:ascii="Times New Roman" w:hAnsi="Times New Roman" w:cs="Times New Roman"/>
          <w:color w:val="000000"/>
        </w:rPr>
        <w:t>: “avanza hacia definiciones continentales, y en este sentido se asemeja a los tribunales constitucionales internos dotados de mayor competencia.”</w:t>
      </w:r>
      <w:r w:rsidR="006B5C1A">
        <w:rPr>
          <w:rStyle w:val="FootnoteReference"/>
          <w:rFonts w:ascii="Times New Roman" w:hAnsi="Times New Roman" w:cs="Times New Roman"/>
          <w:color w:val="000000"/>
          <w:lang w:val="en-US"/>
        </w:rPr>
        <w:footnoteReference w:id="121"/>
      </w:r>
      <w:r w:rsidR="00AD1D8C" w:rsidRPr="002B0178">
        <w:rPr>
          <w:rFonts w:ascii="Times New Roman" w:hAnsi="Times New Roman" w:cs="Times New Roman"/>
          <w:color w:val="000000"/>
        </w:rPr>
        <w:t xml:space="preserve"> </w:t>
      </w:r>
      <w:r w:rsidR="00E37E39" w:rsidRPr="002B0178">
        <w:rPr>
          <w:rFonts w:ascii="Times New Roman" w:hAnsi="Times New Roman" w:cs="Times New Roman"/>
          <w:color w:val="000000"/>
        </w:rPr>
        <w:t xml:space="preserve">Seu modo de decidir vai </w:t>
      </w:r>
      <w:r w:rsidR="00D31ADB" w:rsidRPr="002B0178">
        <w:rPr>
          <w:rFonts w:ascii="Times New Roman" w:hAnsi="Times New Roman" w:cs="Times New Roman"/>
          <w:color w:val="000000"/>
        </w:rPr>
        <w:t>além do caráter legalista de</w:t>
      </w:r>
      <w:r w:rsidR="00E37E39" w:rsidRPr="002B0178">
        <w:rPr>
          <w:rFonts w:ascii="Times New Roman" w:hAnsi="Times New Roman" w:cs="Times New Roman"/>
          <w:color w:val="000000"/>
        </w:rPr>
        <w:t xml:space="preserve"> interpretação de textos normativos, para refletir um car</w:t>
      </w:r>
      <w:r w:rsidR="00D31ADB" w:rsidRPr="002B0178">
        <w:rPr>
          <w:rFonts w:ascii="Times New Roman" w:hAnsi="Times New Roman" w:cs="Times New Roman"/>
          <w:color w:val="000000"/>
        </w:rPr>
        <w:t xml:space="preserve">áter </w:t>
      </w:r>
      <w:r w:rsidR="00C5495D" w:rsidRPr="002B0178">
        <w:rPr>
          <w:rFonts w:ascii="Times New Roman" w:hAnsi="Times New Roman" w:cs="Times New Roman"/>
          <w:color w:val="000000"/>
        </w:rPr>
        <w:t xml:space="preserve">ideológico e </w:t>
      </w:r>
      <w:r w:rsidR="00D31ADB" w:rsidRPr="002B0178">
        <w:rPr>
          <w:rFonts w:ascii="Times New Roman" w:hAnsi="Times New Roman" w:cs="Times New Roman"/>
          <w:color w:val="000000"/>
        </w:rPr>
        <w:t>estratégic</w:t>
      </w:r>
      <w:r w:rsidR="00E37E39" w:rsidRPr="002B0178">
        <w:rPr>
          <w:rFonts w:ascii="Times New Roman" w:hAnsi="Times New Roman" w:cs="Times New Roman"/>
          <w:color w:val="000000"/>
        </w:rPr>
        <w:t>o</w:t>
      </w:r>
      <w:r w:rsidR="00D31ADB">
        <w:rPr>
          <w:rStyle w:val="FootnoteReference"/>
          <w:rFonts w:ascii="Times New Roman" w:hAnsi="Times New Roman" w:cs="Times New Roman"/>
          <w:color w:val="000000"/>
          <w:lang w:val="en-US"/>
        </w:rPr>
        <w:footnoteReference w:id="122"/>
      </w:r>
      <w:r w:rsidR="00D31ADB" w:rsidRPr="002B0178">
        <w:rPr>
          <w:rFonts w:ascii="Times New Roman" w:hAnsi="Times New Roman" w:cs="Times New Roman"/>
          <w:color w:val="000000"/>
        </w:rPr>
        <w:t>, em que os objetivos do ICCAL ganham preponderância.</w:t>
      </w:r>
    </w:p>
    <w:p w14:paraId="433876A8" w14:textId="071DF25E" w:rsidR="00C5495D" w:rsidRPr="002B0178" w:rsidRDefault="00C5495D" w:rsidP="00420929">
      <w:pPr>
        <w:ind w:firstLine="720"/>
        <w:jc w:val="both"/>
        <w:rPr>
          <w:rFonts w:ascii="Times New Roman" w:hAnsi="Times New Roman" w:cs="Times New Roman"/>
          <w:color w:val="000000"/>
        </w:rPr>
      </w:pPr>
      <w:r w:rsidRPr="002B0178">
        <w:rPr>
          <w:rFonts w:ascii="Times New Roman" w:hAnsi="Times New Roman" w:cs="Times New Roman"/>
          <w:color w:val="000000"/>
        </w:rPr>
        <w:t xml:space="preserve">Ainda que as decisões adotadas pelos magistrados da Corte IDH </w:t>
      </w:r>
      <w:r w:rsidR="002E1ED2" w:rsidRPr="002B0178">
        <w:rPr>
          <w:rFonts w:ascii="Times New Roman" w:hAnsi="Times New Roman" w:cs="Times New Roman"/>
          <w:color w:val="000000"/>
        </w:rPr>
        <w:t>sejam colegiadas, e via de regra materialize</w:t>
      </w:r>
      <w:r w:rsidRPr="002B0178">
        <w:rPr>
          <w:rFonts w:ascii="Times New Roman" w:hAnsi="Times New Roman" w:cs="Times New Roman"/>
          <w:color w:val="000000"/>
        </w:rPr>
        <w:t>m um consenso da corte, é possível identificar uma dose de comportamento ideológico</w:t>
      </w:r>
      <w:r w:rsidR="00A3451B">
        <w:rPr>
          <w:rStyle w:val="FootnoteReference"/>
          <w:rFonts w:ascii="Times New Roman" w:hAnsi="Times New Roman" w:cs="Times New Roman"/>
          <w:color w:val="000000"/>
          <w:lang w:val="en-US"/>
        </w:rPr>
        <w:footnoteReference w:id="123"/>
      </w:r>
      <w:r w:rsidRPr="002B0178">
        <w:rPr>
          <w:rFonts w:ascii="Times New Roman" w:hAnsi="Times New Roman" w:cs="Times New Roman"/>
          <w:color w:val="000000"/>
        </w:rPr>
        <w:t xml:space="preserve"> na definição do seu alcance. Nesse sentido, Antônio Augusto Cançado Trindade foi um juiz extremamente influente, com um longo histórico doutrinário em defesa do</w:t>
      </w:r>
      <w:r w:rsidR="00504039" w:rsidRPr="002B0178">
        <w:rPr>
          <w:rFonts w:ascii="Times New Roman" w:hAnsi="Times New Roman" w:cs="Times New Roman"/>
          <w:color w:val="000000"/>
        </w:rPr>
        <w:t>s</w:t>
      </w:r>
      <w:r w:rsidRPr="002B0178">
        <w:rPr>
          <w:rFonts w:ascii="Times New Roman" w:hAnsi="Times New Roman" w:cs="Times New Roman"/>
          <w:color w:val="000000"/>
        </w:rPr>
        <w:t xml:space="preserve"> direitos humanos</w:t>
      </w:r>
      <w:r w:rsidR="00504039" w:rsidRPr="002B0178">
        <w:rPr>
          <w:rFonts w:ascii="Times New Roman" w:hAnsi="Times New Roman" w:cs="Times New Roman"/>
          <w:color w:val="000000"/>
        </w:rPr>
        <w:t xml:space="preserve"> formando um capital simbólico essencial para suas propostas na Corte IDH, como a ideia de que caberia à própria corte delinear sua competência jurisdicional</w:t>
      </w:r>
      <w:r w:rsidR="005A1796" w:rsidRPr="002B0178">
        <w:rPr>
          <w:rFonts w:ascii="Times New Roman" w:hAnsi="Times New Roman" w:cs="Times New Roman"/>
          <w:color w:val="000000"/>
        </w:rPr>
        <w:t>.</w:t>
      </w:r>
      <w:r w:rsidR="00896CDF">
        <w:rPr>
          <w:rStyle w:val="FootnoteReference"/>
          <w:rFonts w:ascii="Times New Roman" w:hAnsi="Times New Roman" w:cs="Times New Roman"/>
          <w:color w:val="000000"/>
          <w:lang w:val="en-US"/>
        </w:rPr>
        <w:footnoteReference w:id="124"/>
      </w:r>
      <w:r w:rsidRPr="002B0178">
        <w:rPr>
          <w:rFonts w:ascii="Times New Roman" w:hAnsi="Times New Roman" w:cs="Times New Roman"/>
          <w:color w:val="000000"/>
        </w:rPr>
        <w:t xml:space="preserve"> O mesmo pode ser dito de magistrados como </w:t>
      </w:r>
      <w:r w:rsidR="00C04ED7" w:rsidRPr="002B0178">
        <w:rPr>
          <w:rFonts w:ascii="Times New Roman" w:hAnsi="Times New Roman" w:cs="Times New Roman"/>
          <w:color w:val="000000"/>
        </w:rPr>
        <w:t xml:space="preserve">Sérgio García Ramirez (ex-presidente), </w:t>
      </w:r>
      <w:r w:rsidRPr="002B0178">
        <w:rPr>
          <w:rFonts w:ascii="Times New Roman" w:hAnsi="Times New Roman" w:cs="Times New Roman"/>
          <w:color w:val="000000"/>
        </w:rPr>
        <w:t>Eduardo Ferrer Mac-Gregor</w:t>
      </w:r>
      <w:r w:rsidR="00C04ED7" w:rsidRPr="002B0178">
        <w:rPr>
          <w:rFonts w:ascii="Times New Roman" w:hAnsi="Times New Roman" w:cs="Times New Roman"/>
          <w:color w:val="000000"/>
        </w:rPr>
        <w:t xml:space="preserve"> (atual p</w:t>
      </w:r>
      <w:r w:rsidR="00DC192A" w:rsidRPr="002B0178">
        <w:rPr>
          <w:rFonts w:ascii="Times New Roman" w:hAnsi="Times New Roman" w:cs="Times New Roman"/>
          <w:color w:val="000000"/>
        </w:rPr>
        <w:t>residente</w:t>
      </w:r>
      <w:r w:rsidR="00C04ED7" w:rsidRPr="002B0178">
        <w:rPr>
          <w:rFonts w:ascii="Times New Roman" w:hAnsi="Times New Roman" w:cs="Times New Roman"/>
          <w:color w:val="000000"/>
        </w:rPr>
        <w:t>)</w:t>
      </w:r>
      <w:r w:rsidRPr="002B0178">
        <w:rPr>
          <w:rFonts w:ascii="Times New Roman" w:hAnsi="Times New Roman" w:cs="Times New Roman"/>
          <w:color w:val="000000"/>
        </w:rPr>
        <w:t xml:space="preserve">, os quais atuaram diretamente na composição do discurso doutrinário do </w:t>
      </w:r>
      <w:r w:rsidRPr="002B0178">
        <w:rPr>
          <w:rFonts w:ascii="Times New Roman" w:hAnsi="Times New Roman" w:cs="Times New Roman"/>
          <w:i/>
          <w:color w:val="000000"/>
        </w:rPr>
        <w:t>Ius Constituticionale Commune</w:t>
      </w:r>
      <w:r w:rsidRPr="002B0178">
        <w:rPr>
          <w:rFonts w:ascii="Times New Roman" w:hAnsi="Times New Roman" w:cs="Times New Roman"/>
          <w:color w:val="000000"/>
        </w:rPr>
        <w:t>, em conjunto com outros pensadores</w:t>
      </w:r>
      <w:r w:rsidR="00B643DD" w:rsidRPr="002B0178">
        <w:rPr>
          <w:rFonts w:ascii="Times New Roman" w:hAnsi="Times New Roman" w:cs="Times New Roman"/>
          <w:color w:val="000000"/>
        </w:rPr>
        <w:t xml:space="preserve"> latino-americanos e</w:t>
      </w:r>
      <w:r w:rsidRPr="002B0178">
        <w:rPr>
          <w:rFonts w:ascii="Times New Roman" w:hAnsi="Times New Roman" w:cs="Times New Roman"/>
          <w:color w:val="000000"/>
        </w:rPr>
        <w:t xml:space="preserve"> europeus.</w:t>
      </w:r>
      <w:r w:rsidR="0083484B" w:rsidRPr="002B0178">
        <w:rPr>
          <w:rFonts w:ascii="Times New Roman" w:hAnsi="Times New Roman" w:cs="Times New Roman"/>
          <w:color w:val="000000"/>
        </w:rPr>
        <w:t xml:space="preserve"> </w:t>
      </w:r>
    </w:p>
    <w:p w14:paraId="084590B9" w14:textId="2D2CCBAF" w:rsidR="00BA69D3" w:rsidRPr="002B0178" w:rsidRDefault="00A85BC6" w:rsidP="00420929">
      <w:pPr>
        <w:ind w:firstLine="720"/>
        <w:jc w:val="both"/>
        <w:rPr>
          <w:rFonts w:ascii="Times New Roman" w:hAnsi="Times New Roman" w:cs="Times New Roman"/>
          <w:color w:val="000000"/>
        </w:rPr>
      </w:pPr>
      <w:r w:rsidRPr="002B0178">
        <w:rPr>
          <w:rFonts w:ascii="Times New Roman" w:hAnsi="Times New Roman" w:cs="Times New Roman"/>
          <w:color w:val="000000"/>
        </w:rPr>
        <w:t xml:space="preserve">Ao se comprometerem com </w:t>
      </w:r>
      <w:r w:rsidR="00B643DD" w:rsidRPr="002B0178">
        <w:rPr>
          <w:rFonts w:ascii="Times New Roman" w:hAnsi="Times New Roman" w:cs="Times New Roman"/>
          <w:color w:val="000000"/>
        </w:rPr>
        <w:t xml:space="preserve">a prolação de </w:t>
      </w:r>
      <w:r w:rsidRPr="002B0178">
        <w:rPr>
          <w:rFonts w:ascii="Times New Roman" w:hAnsi="Times New Roman" w:cs="Times New Roman"/>
          <w:color w:val="000000"/>
        </w:rPr>
        <w:t>sentenças aptas a impactar a realidade, os magistrados da Corte IDH adotam um comportamento estratégico. Todavia, mais do que buscar a convergência de seus pares a fim de gerar uma decisão que maximize os resultados pretendidos, o comportamento estratégico da Corte IDH deve se voltar aos interlocutores presentes nos Estados, de modo a convencê-los a adotar as condutas necessárias à modificação das estruturas governamentais ou sociais que desencadearam a violação aos direitos humanos.</w:t>
      </w:r>
      <w:r w:rsidR="006A1E3A" w:rsidRPr="002B0178">
        <w:rPr>
          <w:rStyle w:val="FootnoteReference"/>
          <w:rFonts w:ascii="Times New Roman" w:hAnsi="Times New Roman" w:cs="Times New Roman"/>
          <w:color w:val="000000"/>
        </w:rPr>
        <w:t xml:space="preserve"> </w:t>
      </w:r>
      <w:r w:rsidR="006A1E3A">
        <w:rPr>
          <w:rStyle w:val="FootnoteReference"/>
          <w:rFonts w:ascii="Times New Roman" w:hAnsi="Times New Roman" w:cs="Times New Roman"/>
          <w:color w:val="000000"/>
          <w:lang w:val="en-US"/>
        </w:rPr>
        <w:footnoteReference w:id="125"/>
      </w:r>
    </w:p>
    <w:p w14:paraId="7198BE11" w14:textId="27F8DAE0" w:rsidR="00E2755E" w:rsidRDefault="000A1DF0" w:rsidP="00DF7183">
      <w:pPr>
        <w:ind w:firstLine="720"/>
        <w:jc w:val="both"/>
        <w:rPr>
          <w:rFonts w:ascii="Times New Roman" w:hAnsi="Times New Roman" w:cs="Times New Roman"/>
        </w:rPr>
      </w:pPr>
      <w:r>
        <w:rPr>
          <w:rFonts w:ascii="Times New Roman" w:hAnsi="Times New Roman" w:cs="Times New Roman"/>
        </w:rPr>
        <w:t>Esse comportamento leva a decisões de caráter declaradamente transformador, como se</w:t>
      </w:r>
      <w:r w:rsidR="00E2755E">
        <w:rPr>
          <w:rFonts w:ascii="Times New Roman" w:hAnsi="Times New Roman" w:cs="Times New Roman"/>
        </w:rPr>
        <w:t xml:space="preserve"> depreende das principais linhas de ação assumidas pela Corte:</w:t>
      </w:r>
      <w:r w:rsidR="003C0632">
        <w:rPr>
          <w:rFonts w:ascii="Times New Roman" w:hAnsi="Times New Roman" w:cs="Times New Roman"/>
        </w:rPr>
        <w:t xml:space="preserve"> (i) violência decorrente do legado deixado pelos regimes autoritários, como tortura, desaparecimento forçado, direito a uma investigação capaz de identificar os agentes responsáveis e puni-los; (ii) </w:t>
      </w:r>
      <w:r w:rsidR="00AC1AB9">
        <w:rPr>
          <w:rFonts w:ascii="Times New Roman" w:hAnsi="Times New Roman" w:cs="Times New Roman"/>
        </w:rPr>
        <w:t xml:space="preserve">violência decorrente das questões envolvendo justiça de transição, como decisões contra impunidade, não reconhecimento das leis de auto-anistia e o direito à verdade; (iii) violações de direitos decorrentes dos desafios voltados para o fortalecimento do Estado de Direito, como o acesso à </w:t>
      </w:r>
      <w:r w:rsidR="00AC1AB9">
        <w:rPr>
          <w:rFonts w:ascii="Times New Roman" w:hAnsi="Times New Roman" w:cs="Times New Roman"/>
        </w:rPr>
        <w:lastRenderedPageBreak/>
        <w:t>justiça, proteção judicial e independência do Judiciário; (iv) violações de direitos de grupos vulneráveis, como crianças, migrantes, prisioneiros, indígenas e população LGBT; (v) violações a direitos sociais, os quais passaram a ser abordados pela Corte em função da sua interdependência em relação aos direitos civis e políticos.</w:t>
      </w:r>
      <w:r w:rsidR="000C1746">
        <w:rPr>
          <w:rStyle w:val="FootnoteReference"/>
          <w:rFonts w:ascii="Times New Roman" w:hAnsi="Times New Roman" w:cs="Times New Roman"/>
        </w:rPr>
        <w:footnoteReference w:id="126"/>
      </w:r>
      <w:r w:rsidR="00AE299E">
        <w:rPr>
          <w:rFonts w:ascii="Times New Roman" w:hAnsi="Times New Roman" w:cs="Times New Roman"/>
        </w:rPr>
        <w:t xml:space="preserve"> Importa ressaltar que essas decisões encontram-se amplamente escoradas nos textos convencionais e nos precedentes jurisprudenciais elaborados pela própria corte, bem como em decisões de cortes domésticas ou estrangeiras com as quais a Corte IDH dialoga. </w:t>
      </w:r>
    </w:p>
    <w:p w14:paraId="418151E3" w14:textId="4CA64E65" w:rsidR="00DF7183" w:rsidRPr="002B0178" w:rsidRDefault="00DF7183" w:rsidP="00DF7183">
      <w:pPr>
        <w:widowControl w:val="0"/>
        <w:autoSpaceDE w:val="0"/>
        <w:autoSpaceDN w:val="0"/>
        <w:adjustRightInd w:val="0"/>
        <w:ind w:firstLine="720"/>
        <w:jc w:val="both"/>
        <w:rPr>
          <w:rFonts w:ascii="Times New Roman" w:hAnsi="Times New Roman" w:cs="Times New Roman"/>
          <w:color w:val="000000"/>
        </w:rPr>
      </w:pPr>
      <w:r>
        <w:rPr>
          <w:rFonts w:ascii="Times New Roman" w:hAnsi="Times New Roman" w:cs="Times New Roman"/>
        </w:rPr>
        <w:t>Um dos aspectos que denota com maior relevância a ação transformadora das sentenças interamericanas se encontra n</w:t>
      </w:r>
      <w:r w:rsidR="00A9546D" w:rsidRPr="009F2A2C">
        <w:rPr>
          <w:rFonts w:ascii="Times New Roman" w:hAnsi="Times New Roman" w:cs="Times New Roman"/>
        </w:rPr>
        <w:t xml:space="preserve">o conceito de reparação integral das vítimas, o qual envolve a determinação de obrigações de respeito e </w:t>
      </w:r>
      <w:r w:rsidR="00FD2B67" w:rsidRPr="009F2A2C">
        <w:rPr>
          <w:rFonts w:ascii="Times New Roman" w:hAnsi="Times New Roman" w:cs="Times New Roman"/>
        </w:rPr>
        <w:t>garantias de não repetição – mecanismo através do qual a sentença</w:t>
      </w:r>
      <w:r w:rsidR="00A9546D" w:rsidRPr="009F2A2C">
        <w:rPr>
          <w:rFonts w:ascii="Times New Roman" w:hAnsi="Times New Roman" w:cs="Times New Roman"/>
        </w:rPr>
        <w:t xml:space="preserve"> determina</w:t>
      </w:r>
      <w:r w:rsidR="00FD2B67" w:rsidRPr="009F2A2C">
        <w:rPr>
          <w:rFonts w:ascii="Times New Roman" w:hAnsi="Times New Roman" w:cs="Times New Roman"/>
        </w:rPr>
        <w:t xml:space="preserve"> medidas de caráter estratégico capazes de modificar a estrutura social/estatal que viabilizou aquela violação</w:t>
      </w:r>
      <w:r w:rsidR="00A9546D" w:rsidRPr="009F2A2C">
        <w:rPr>
          <w:rFonts w:ascii="Times New Roman" w:hAnsi="Times New Roman" w:cs="Times New Roman"/>
        </w:rPr>
        <w:t>, como a modificação de leis</w:t>
      </w:r>
      <w:r w:rsidR="004F08E8" w:rsidRPr="009F2A2C">
        <w:rPr>
          <w:rStyle w:val="FootnoteReference"/>
          <w:rFonts w:ascii="Times New Roman" w:hAnsi="Times New Roman" w:cs="Times New Roman"/>
        </w:rPr>
        <w:footnoteReference w:id="127"/>
      </w:r>
      <w:r w:rsidR="00A9546D" w:rsidRPr="009F2A2C">
        <w:rPr>
          <w:rFonts w:ascii="Times New Roman" w:hAnsi="Times New Roman" w:cs="Times New Roman"/>
        </w:rPr>
        <w:t xml:space="preserve"> e a adoção de políticas públicas</w:t>
      </w:r>
      <w:r w:rsidR="00FD2B67" w:rsidRPr="009F2A2C">
        <w:rPr>
          <w:rFonts w:ascii="Times New Roman" w:hAnsi="Times New Roman" w:cs="Times New Roman"/>
        </w:rPr>
        <w:t>.</w:t>
      </w:r>
      <w:r w:rsidR="00A9546D" w:rsidRPr="009F2A2C">
        <w:rPr>
          <w:rStyle w:val="FootnoteReference"/>
          <w:rFonts w:ascii="Times New Roman" w:hAnsi="Times New Roman" w:cs="Times New Roman"/>
        </w:rPr>
        <w:footnoteReference w:id="128"/>
      </w:r>
      <w:r w:rsidR="00E37E39" w:rsidRPr="009F2A2C">
        <w:rPr>
          <w:rFonts w:ascii="Times New Roman" w:hAnsi="Times New Roman" w:cs="Times New Roman"/>
        </w:rPr>
        <w:t xml:space="preserve"> </w:t>
      </w:r>
      <w:r w:rsidR="009F2A2C">
        <w:rPr>
          <w:rFonts w:ascii="Times New Roman" w:hAnsi="Times New Roman" w:cs="Times New Roman"/>
        </w:rPr>
        <w:t>As garantias de não repetição “</w:t>
      </w:r>
      <w:r w:rsidR="009F2A2C" w:rsidRPr="002B0178">
        <w:rPr>
          <w:rFonts w:ascii="Times New Roman" w:hAnsi="Times New Roman" w:cs="Times New Roman"/>
          <w:i/>
          <w:color w:val="000000"/>
        </w:rPr>
        <w:t>tienen un alcance o repercusión púb</w:t>
      </w:r>
      <w:r w:rsidR="004F747E" w:rsidRPr="002B0178">
        <w:rPr>
          <w:rFonts w:ascii="Times New Roman" w:hAnsi="Times New Roman" w:cs="Times New Roman"/>
          <w:i/>
          <w:color w:val="000000"/>
        </w:rPr>
        <w:t>lica, y en muchas ocasiones re</w:t>
      </w:r>
      <w:r w:rsidR="009F2A2C" w:rsidRPr="002B0178">
        <w:rPr>
          <w:rFonts w:ascii="Times New Roman" w:hAnsi="Times New Roman" w:cs="Times New Roman"/>
          <w:i/>
          <w:color w:val="000000"/>
        </w:rPr>
        <w:t>suelven problemas estructurales, viéndose beneficiadas no sólo las víctimas del caso sino también otros miembros y grupos de la sociedad</w:t>
      </w:r>
      <w:r w:rsidR="009F2A2C" w:rsidRPr="002B0178">
        <w:rPr>
          <w:rFonts w:ascii="Times New Roman" w:hAnsi="Times New Roman" w:cs="Times New Roman"/>
          <w:color w:val="000000"/>
        </w:rPr>
        <w:t>”.</w:t>
      </w:r>
      <w:r w:rsidR="00224362">
        <w:rPr>
          <w:rStyle w:val="FootnoteReference"/>
          <w:rFonts w:ascii="Times New Roman" w:hAnsi="Times New Roman" w:cs="Times New Roman"/>
          <w:color w:val="000000"/>
          <w:lang w:val="en-US"/>
        </w:rPr>
        <w:footnoteReference w:id="129"/>
      </w:r>
      <w:r w:rsidR="009F2A2C" w:rsidRPr="002B0178">
        <w:rPr>
          <w:rFonts w:ascii="Times New Roman" w:hAnsi="Times New Roman" w:cs="Times New Roman"/>
          <w:color w:val="000000"/>
        </w:rPr>
        <w:t xml:space="preserve"> </w:t>
      </w:r>
    </w:p>
    <w:p w14:paraId="434F3CCD" w14:textId="402BF704" w:rsidR="007E3F07" w:rsidRPr="002B0178" w:rsidRDefault="00DF7183" w:rsidP="000E46ED">
      <w:pPr>
        <w:widowControl w:val="0"/>
        <w:autoSpaceDE w:val="0"/>
        <w:autoSpaceDN w:val="0"/>
        <w:adjustRightInd w:val="0"/>
        <w:ind w:firstLine="720"/>
        <w:jc w:val="both"/>
        <w:rPr>
          <w:rFonts w:ascii="Times New Roman" w:hAnsi="Times New Roman" w:cs="Times New Roman"/>
          <w:color w:val="000000"/>
        </w:rPr>
      </w:pPr>
      <w:r w:rsidRPr="002B0178">
        <w:rPr>
          <w:rFonts w:ascii="Times New Roman" w:hAnsi="Times New Roman" w:cs="Times New Roman"/>
          <w:color w:val="000000"/>
        </w:rPr>
        <w:t xml:space="preserve">Nessa linha, o conteúdo da prescrição </w:t>
      </w:r>
      <w:r w:rsidR="004F1DF4" w:rsidRPr="002B0178">
        <w:rPr>
          <w:rFonts w:ascii="Times New Roman" w:hAnsi="Times New Roman" w:cs="Times New Roman"/>
          <w:color w:val="000000"/>
        </w:rPr>
        <w:t>relativa às</w:t>
      </w:r>
      <w:r w:rsidRPr="002B0178">
        <w:rPr>
          <w:rFonts w:ascii="Times New Roman" w:hAnsi="Times New Roman" w:cs="Times New Roman"/>
          <w:color w:val="000000"/>
        </w:rPr>
        <w:t xml:space="preserve"> garantias de não repetição não é uniforme, </w:t>
      </w:r>
      <w:r w:rsidR="004F1DF4" w:rsidRPr="002B0178">
        <w:rPr>
          <w:rFonts w:ascii="Times New Roman" w:hAnsi="Times New Roman" w:cs="Times New Roman"/>
          <w:color w:val="000000"/>
        </w:rPr>
        <w:t xml:space="preserve">mas </w:t>
      </w:r>
      <w:r w:rsidRPr="002B0178">
        <w:rPr>
          <w:rFonts w:ascii="Times New Roman" w:hAnsi="Times New Roman" w:cs="Times New Roman"/>
          <w:color w:val="000000"/>
        </w:rPr>
        <w:t>depende</w:t>
      </w:r>
      <w:r w:rsidR="004F1DF4" w:rsidRPr="002B0178">
        <w:rPr>
          <w:rFonts w:ascii="Times New Roman" w:hAnsi="Times New Roman" w:cs="Times New Roman"/>
          <w:color w:val="000000"/>
        </w:rPr>
        <w:t xml:space="preserve"> de</w:t>
      </w:r>
      <w:r w:rsidRPr="002B0178">
        <w:rPr>
          <w:rFonts w:ascii="Times New Roman" w:hAnsi="Times New Roman" w:cs="Times New Roman"/>
          <w:color w:val="000000"/>
        </w:rPr>
        <w:t xml:space="preserve"> circunstâncias e contexto de cada caso concreto.</w:t>
      </w:r>
      <w:r w:rsidR="004F1DF4" w:rsidRPr="002B0178">
        <w:rPr>
          <w:rFonts w:ascii="Times New Roman" w:hAnsi="Times New Roman" w:cs="Times New Roman"/>
          <w:color w:val="000000"/>
        </w:rPr>
        <w:t xml:space="preserve"> Ainda assim, na medida em que trata</w:t>
      </w:r>
      <w:r w:rsidR="00B643DD" w:rsidRPr="002B0178">
        <w:rPr>
          <w:rFonts w:ascii="Times New Roman" w:hAnsi="Times New Roman" w:cs="Times New Roman"/>
          <w:color w:val="000000"/>
        </w:rPr>
        <w:t>m</w:t>
      </w:r>
      <w:r w:rsidR="004F1DF4" w:rsidRPr="002B0178">
        <w:rPr>
          <w:rFonts w:ascii="Times New Roman" w:hAnsi="Times New Roman" w:cs="Times New Roman"/>
          <w:color w:val="000000"/>
        </w:rPr>
        <w:t xml:space="preserve"> de deficiências estruturais presentes nos Estados para a proteção dos direitos humanos, certos exemplos de garantias de não repetição firmam precedentes que se comunicam com os tribunais domésticos de Estados não originalmente envolvidos na demanda, assim como são considerados pela própria Corte IDH em casos futuros. Como vértice dos diálogos judiciais mantidos no ICCAL, a Corte IDH </w:t>
      </w:r>
      <w:r w:rsidR="00714138" w:rsidRPr="002B0178">
        <w:rPr>
          <w:rFonts w:ascii="Times New Roman" w:hAnsi="Times New Roman" w:cs="Times New Roman"/>
          <w:color w:val="000000"/>
        </w:rPr>
        <w:t>desencadeia relevantes mudanças internas capazes de se propagar por diversos Estados do continente</w:t>
      </w:r>
      <w:r w:rsidR="00C04F45">
        <w:rPr>
          <w:rStyle w:val="FootnoteReference"/>
          <w:rFonts w:ascii="Times New Roman" w:hAnsi="Times New Roman" w:cs="Times New Roman"/>
          <w:color w:val="000000"/>
          <w:lang w:val="en-US"/>
        </w:rPr>
        <w:footnoteReference w:id="130"/>
      </w:r>
      <w:r w:rsidR="00714138" w:rsidRPr="002B0178">
        <w:rPr>
          <w:rFonts w:ascii="Times New Roman" w:hAnsi="Times New Roman" w:cs="Times New Roman"/>
          <w:color w:val="000000"/>
        </w:rPr>
        <w:t>.</w:t>
      </w:r>
      <w:r w:rsidRPr="002B0178">
        <w:rPr>
          <w:rFonts w:ascii="Times New Roman" w:hAnsi="Times New Roman" w:cs="Times New Roman"/>
          <w:color w:val="000000"/>
        </w:rPr>
        <w:t xml:space="preserve"> </w:t>
      </w:r>
      <w:r w:rsidR="007E3F07" w:rsidRPr="00D948C5">
        <w:rPr>
          <w:rFonts w:ascii="Times New Roman" w:hAnsi="Times New Roman" w:cs="Times New Roman"/>
          <w:color w:val="000000"/>
        </w:rPr>
        <w:t>Exemplos dessas práticas podem ser encontrados em sentenças que determinam desde atos públicos e cerimônias de reconhecimento da violência</w:t>
      </w:r>
      <w:r w:rsidR="00D948C5" w:rsidRPr="00D948C5">
        <w:rPr>
          <w:rFonts w:ascii="Times New Roman" w:hAnsi="Times New Roman" w:cs="Times New Roman"/>
          <w:color w:val="000000"/>
        </w:rPr>
        <w:t>,</w:t>
      </w:r>
      <w:r w:rsidR="007E3F07" w:rsidRPr="00D948C5">
        <w:rPr>
          <w:rStyle w:val="FootnoteReference"/>
          <w:rFonts w:ascii="Times New Roman" w:hAnsi="Times New Roman" w:cs="Times New Roman"/>
          <w:color w:val="000000"/>
        </w:rPr>
        <w:footnoteReference w:id="131"/>
      </w:r>
      <w:r w:rsidR="00D948C5" w:rsidRPr="00D948C5">
        <w:rPr>
          <w:rFonts w:ascii="Times New Roman" w:hAnsi="Times New Roman" w:cs="Times New Roman"/>
          <w:color w:val="000000"/>
        </w:rPr>
        <w:t xml:space="preserve"> até</w:t>
      </w:r>
      <w:r w:rsidR="007E3F07" w:rsidRPr="00D948C5">
        <w:rPr>
          <w:rFonts w:ascii="Times New Roman" w:hAnsi="Times New Roman" w:cs="Times New Roman"/>
          <w:color w:val="000000"/>
        </w:rPr>
        <w:t xml:space="preserve"> </w:t>
      </w:r>
      <w:r w:rsidR="00D948C5" w:rsidRPr="00D948C5">
        <w:rPr>
          <w:rFonts w:ascii="Times New Roman" w:hAnsi="Times New Roman" w:cs="Times New Roman"/>
          <w:color w:val="000000"/>
        </w:rPr>
        <w:t>treinamento de</w:t>
      </w:r>
      <w:r w:rsidR="007E3F07" w:rsidRPr="00D948C5">
        <w:rPr>
          <w:rFonts w:ascii="Times New Roman" w:hAnsi="Times New Roman" w:cs="Times New Roman"/>
          <w:color w:val="000000"/>
        </w:rPr>
        <w:t xml:space="preserve"> agentes estatais para evitar novas violações</w:t>
      </w:r>
      <w:r w:rsidR="00850FF5" w:rsidRPr="00D948C5">
        <w:rPr>
          <w:rFonts w:ascii="Times New Roman" w:hAnsi="Times New Roman" w:cs="Times New Roman"/>
          <w:color w:val="000000"/>
        </w:rPr>
        <w:t>,</w:t>
      </w:r>
      <w:r w:rsidR="007E3F07" w:rsidRPr="00D948C5">
        <w:rPr>
          <w:rStyle w:val="FootnoteReference"/>
          <w:rFonts w:ascii="Times New Roman" w:hAnsi="Times New Roman" w:cs="Times New Roman"/>
          <w:color w:val="000000"/>
        </w:rPr>
        <w:footnoteReference w:id="132"/>
      </w:r>
      <w:r w:rsidR="00850FF5" w:rsidRPr="00D948C5">
        <w:rPr>
          <w:rFonts w:ascii="Times New Roman" w:hAnsi="Times New Roman" w:cs="Times New Roman"/>
          <w:color w:val="000000"/>
        </w:rPr>
        <w:t xml:space="preserve"> reformas legislativas e até constitucionais.</w:t>
      </w:r>
      <w:r w:rsidR="00850FF5" w:rsidRPr="00D948C5">
        <w:rPr>
          <w:rStyle w:val="FootnoteReference"/>
          <w:rFonts w:ascii="Times New Roman" w:hAnsi="Times New Roman" w:cs="Times New Roman"/>
          <w:color w:val="000000"/>
        </w:rPr>
        <w:footnoteReference w:id="133"/>
      </w:r>
      <w:r w:rsidR="000B062C" w:rsidRPr="00D948C5">
        <w:rPr>
          <w:rFonts w:ascii="Times New Roman" w:hAnsi="Times New Roman" w:cs="Times New Roman"/>
          <w:color w:val="000000"/>
        </w:rPr>
        <w:t xml:space="preserve"> </w:t>
      </w:r>
      <w:r w:rsidR="000B062C" w:rsidRPr="002B0178">
        <w:rPr>
          <w:rFonts w:ascii="Times New Roman" w:hAnsi="Times New Roman" w:cs="Times New Roman"/>
          <w:color w:val="000000"/>
        </w:rPr>
        <w:t xml:space="preserve">Na perspectiva dos diálogos </w:t>
      </w:r>
      <w:r w:rsidR="000B062C" w:rsidRPr="002B0178">
        <w:rPr>
          <w:rFonts w:ascii="Times New Roman" w:hAnsi="Times New Roman" w:cs="Times New Roman"/>
          <w:color w:val="000000"/>
        </w:rPr>
        <w:lastRenderedPageBreak/>
        <w:t>judiciais, essa função transformadora da Corte IDH impulsionou uma reforma constitucional no México, em 2011, que trouxe para o artigo 1 da Constituição Mexicana não só o dever de respeito e proteção aos direitos humanos integrantes de tratados internacionais dos quais o Estado seja parte, mas também</w:t>
      </w:r>
      <w:r w:rsidR="00F92221" w:rsidRPr="002B0178">
        <w:rPr>
          <w:rFonts w:ascii="Times New Roman" w:hAnsi="Times New Roman" w:cs="Times New Roman"/>
          <w:color w:val="000000"/>
        </w:rPr>
        <w:t xml:space="preserve"> de</w:t>
      </w:r>
      <w:r w:rsidR="000B062C" w:rsidRPr="002B0178">
        <w:rPr>
          <w:rFonts w:ascii="Times New Roman" w:hAnsi="Times New Roman" w:cs="Times New Roman"/>
          <w:color w:val="000000"/>
        </w:rPr>
        <w:t xml:space="preserve"> reparar as violações segundo uma lei de reparação integral criada precisamente a espelho das orientações da Corte IDH.</w:t>
      </w:r>
      <w:r w:rsidR="000B062C">
        <w:rPr>
          <w:rStyle w:val="FootnoteReference"/>
          <w:rFonts w:ascii="Times New Roman" w:hAnsi="Times New Roman" w:cs="Times New Roman"/>
          <w:color w:val="000000"/>
          <w:lang w:val="en-US"/>
        </w:rPr>
        <w:footnoteReference w:id="134"/>
      </w:r>
      <w:r w:rsidR="00603414" w:rsidRPr="002B0178">
        <w:rPr>
          <w:rFonts w:ascii="Times New Roman" w:hAnsi="Times New Roman" w:cs="Times New Roman"/>
          <w:color w:val="000000"/>
        </w:rPr>
        <w:t xml:space="preserve"> Outro exemplo de ações transformadoras criadas a partir do diálogo judicial da Corte IDH com cortes co</w:t>
      </w:r>
      <w:r w:rsidR="00EF33D9">
        <w:rPr>
          <w:rFonts w:ascii="Times New Roman" w:hAnsi="Times New Roman" w:cs="Times New Roman"/>
          <w:color w:val="000000"/>
        </w:rPr>
        <w:t>n</w:t>
      </w:r>
      <w:r w:rsidR="00603414" w:rsidRPr="002B0178">
        <w:rPr>
          <w:rFonts w:ascii="Times New Roman" w:hAnsi="Times New Roman" w:cs="Times New Roman"/>
          <w:color w:val="000000"/>
        </w:rPr>
        <w:t>stitucionais se verificou na Colômbia, para a fixação de standards relacionados à proteção de direitos de povos indígenas à consulta prévia.</w:t>
      </w:r>
      <w:r w:rsidR="001431B2">
        <w:rPr>
          <w:rStyle w:val="FootnoteReference"/>
          <w:rFonts w:ascii="Times New Roman" w:hAnsi="Times New Roman" w:cs="Times New Roman"/>
          <w:color w:val="000000"/>
          <w:lang w:val="en-US"/>
        </w:rPr>
        <w:footnoteReference w:id="135"/>
      </w:r>
    </w:p>
    <w:p w14:paraId="2EAD35C0" w14:textId="3CE08580" w:rsidR="004F1DF4" w:rsidRDefault="007E7F9F" w:rsidP="00B10EB0">
      <w:pPr>
        <w:widowControl w:val="0"/>
        <w:autoSpaceDE w:val="0"/>
        <w:autoSpaceDN w:val="0"/>
        <w:adjustRightInd w:val="0"/>
        <w:ind w:firstLine="720"/>
        <w:jc w:val="both"/>
        <w:rPr>
          <w:rFonts w:ascii="Times New Roman" w:hAnsi="Times New Roman" w:cs="Times New Roman"/>
          <w:color w:val="000000"/>
        </w:rPr>
      </w:pPr>
      <w:r>
        <w:rPr>
          <w:rFonts w:ascii="Times New Roman" w:hAnsi="Times New Roman" w:cs="Times New Roman"/>
          <w:color w:val="000000"/>
        </w:rPr>
        <w:t xml:space="preserve">Uma modalidade de </w:t>
      </w:r>
      <w:r w:rsidR="00B10EB0">
        <w:rPr>
          <w:rFonts w:ascii="Times New Roman" w:hAnsi="Times New Roman" w:cs="Times New Roman"/>
          <w:color w:val="000000"/>
        </w:rPr>
        <w:t>reparação integral</w:t>
      </w:r>
      <w:r>
        <w:rPr>
          <w:rFonts w:ascii="Times New Roman" w:hAnsi="Times New Roman" w:cs="Times New Roman"/>
          <w:color w:val="000000"/>
        </w:rPr>
        <w:t xml:space="preserve"> que implica profundas transformações diz respeito às</w:t>
      </w:r>
      <w:r w:rsidR="008B0596" w:rsidRPr="007E7F9F">
        <w:rPr>
          <w:rFonts w:ascii="Times New Roman" w:hAnsi="Times New Roman" w:cs="Times New Roman"/>
          <w:color w:val="000000"/>
        </w:rPr>
        <w:t xml:space="preserve"> obrigações de fazer por parte dos Estados </w:t>
      </w:r>
      <w:r w:rsidR="007A4245" w:rsidRPr="007E7F9F">
        <w:rPr>
          <w:rFonts w:ascii="Times New Roman" w:hAnsi="Times New Roman" w:cs="Times New Roman"/>
          <w:color w:val="000000"/>
        </w:rPr>
        <w:t xml:space="preserve">é a </w:t>
      </w:r>
      <w:r w:rsidR="006F4130" w:rsidRPr="007E7F9F">
        <w:rPr>
          <w:rFonts w:ascii="Times New Roman" w:hAnsi="Times New Roman" w:cs="Times New Roman"/>
          <w:color w:val="000000"/>
        </w:rPr>
        <w:t>condenação</w:t>
      </w:r>
      <w:r w:rsidR="00BF7C27" w:rsidRPr="007E7F9F">
        <w:rPr>
          <w:rFonts w:ascii="Times New Roman" w:hAnsi="Times New Roman" w:cs="Times New Roman"/>
          <w:color w:val="000000"/>
        </w:rPr>
        <w:t xml:space="preserve"> </w:t>
      </w:r>
      <w:r w:rsidR="006F4130" w:rsidRPr="007E7F9F">
        <w:rPr>
          <w:rFonts w:ascii="Times New Roman" w:hAnsi="Times New Roman" w:cs="Times New Roman"/>
          <w:color w:val="000000"/>
        </w:rPr>
        <w:t xml:space="preserve">à </w:t>
      </w:r>
      <w:r w:rsidR="007A4245" w:rsidRPr="007E7F9F">
        <w:rPr>
          <w:rFonts w:ascii="Times New Roman" w:hAnsi="Times New Roman" w:cs="Times New Roman"/>
          <w:color w:val="000000"/>
        </w:rPr>
        <w:t>reabertura de processos de investigação, a fim de identificar os responsáveis pela violação dos direitos e puni-los.</w:t>
      </w:r>
      <w:r w:rsidR="0066392C">
        <w:rPr>
          <w:rFonts w:ascii="Times New Roman" w:hAnsi="Times New Roman" w:cs="Times New Roman"/>
          <w:color w:val="000000"/>
        </w:rPr>
        <w:t xml:space="preserve"> O Brasil, por exemplo, foi condenado nesse sentido nos casos</w:t>
      </w:r>
      <w:r w:rsidR="00F07762">
        <w:rPr>
          <w:rFonts w:ascii="Times New Roman" w:hAnsi="Times New Roman" w:cs="Times New Roman"/>
          <w:color w:val="000000"/>
        </w:rPr>
        <w:t xml:space="preserve"> Ximenes</w:t>
      </w:r>
      <w:r w:rsidR="00E47366">
        <w:rPr>
          <w:rFonts w:ascii="Times New Roman" w:hAnsi="Times New Roman" w:cs="Times New Roman"/>
          <w:color w:val="000000"/>
        </w:rPr>
        <w:t xml:space="preserve"> Lopes, em</w:t>
      </w:r>
      <w:r w:rsidR="00F07762">
        <w:rPr>
          <w:rFonts w:ascii="Times New Roman" w:hAnsi="Times New Roman" w:cs="Times New Roman"/>
          <w:color w:val="000000"/>
        </w:rPr>
        <w:t xml:space="preserve"> 2006; Gomes L</w:t>
      </w:r>
      <w:r w:rsidR="00E47366">
        <w:rPr>
          <w:rFonts w:ascii="Times New Roman" w:hAnsi="Times New Roman" w:cs="Times New Roman"/>
          <w:color w:val="000000"/>
        </w:rPr>
        <w:t>und (“Guerrilha do Araguaia”) em</w:t>
      </w:r>
      <w:r w:rsidR="00F07762">
        <w:rPr>
          <w:rFonts w:ascii="Times New Roman" w:hAnsi="Times New Roman" w:cs="Times New Roman"/>
          <w:color w:val="000000"/>
        </w:rPr>
        <w:t xml:space="preserve"> 2010, Fazenda Brasil Verde</w:t>
      </w:r>
      <w:r w:rsidR="00F32635">
        <w:rPr>
          <w:rFonts w:ascii="Times New Roman" w:hAnsi="Times New Roman" w:cs="Times New Roman"/>
          <w:color w:val="000000"/>
        </w:rPr>
        <w:t xml:space="preserve">, </w:t>
      </w:r>
      <w:r w:rsidR="00E47366">
        <w:rPr>
          <w:rFonts w:ascii="Times New Roman" w:hAnsi="Times New Roman" w:cs="Times New Roman"/>
          <w:color w:val="000000"/>
        </w:rPr>
        <w:t>em</w:t>
      </w:r>
      <w:r w:rsidR="00F32635">
        <w:rPr>
          <w:rFonts w:ascii="Times New Roman" w:hAnsi="Times New Roman" w:cs="Times New Roman"/>
          <w:color w:val="000000"/>
        </w:rPr>
        <w:t xml:space="preserve"> 2016; </w:t>
      </w:r>
      <w:r w:rsidR="00F07762">
        <w:rPr>
          <w:rFonts w:ascii="Times New Roman" w:hAnsi="Times New Roman" w:cs="Times New Roman"/>
          <w:color w:val="000000"/>
        </w:rPr>
        <w:t>Rosa Genoveva (“Favela Nova Brasília”)</w:t>
      </w:r>
      <w:r w:rsidR="00F32635">
        <w:rPr>
          <w:rFonts w:ascii="Times New Roman" w:hAnsi="Times New Roman" w:cs="Times New Roman"/>
          <w:color w:val="000000"/>
        </w:rPr>
        <w:t xml:space="preserve">, </w:t>
      </w:r>
      <w:r w:rsidR="00E47366">
        <w:rPr>
          <w:rFonts w:ascii="Times New Roman" w:hAnsi="Times New Roman" w:cs="Times New Roman"/>
          <w:color w:val="000000"/>
        </w:rPr>
        <w:t>em</w:t>
      </w:r>
      <w:r w:rsidR="00F32635">
        <w:rPr>
          <w:rFonts w:ascii="Times New Roman" w:hAnsi="Times New Roman" w:cs="Times New Roman"/>
          <w:color w:val="000000"/>
        </w:rPr>
        <w:t xml:space="preserve"> 2017</w:t>
      </w:r>
      <w:r w:rsidR="00E47366">
        <w:rPr>
          <w:rFonts w:ascii="Times New Roman" w:hAnsi="Times New Roman" w:cs="Times New Roman"/>
          <w:color w:val="000000"/>
        </w:rPr>
        <w:t>; e caso Herzog, em</w:t>
      </w:r>
      <w:r w:rsidR="00F32635">
        <w:rPr>
          <w:rFonts w:ascii="Times New Roman" w:hAnsi="Times New Roman" w:cs="Times New Roman"/>
          <w:color w:val="000000"/>
        </w:rPr>
        <w:t xml:space="preserve"> 2018</w:t>
      </w:r>
      <w:r w:rsidR="00405A02">
        <w:rPr>
          <w:rFonts w:ascii="Times New Roman" w:hAnsi="Times New Roman" w:cs="Times New Roman"/>
          <w:color w:val="000000"/>
        </w:rPr>
        <w:t xml:space="preserve">, o que </w:t>
      </w:r>
      <w:r w:rsidR="008743A0">
        <w:rPr>
          <w:rFonts w:ascii="Times New Roman" w:hAnsi="Times New Roman" w:cs="Times New Roman"/>
          <w:color w:val="000000"/>
        </w:rPr>
        <w:t>evidencia uma medida de reparação já padronizada pela Corte IDH.</w:t>
      </w:r>
      <w:r w:rsidR="0066392C">
        <w:rPr>
          <w:rFonts w:ascii="Times New Roman" w:hAnsi="Times New Roman" w:cs="Times New Roman"/>
          <w:color w:val="000000"/>
        </w:rPr>
        <w:t xml:space="preserve"> Somente no</w:t>
      </w:r>
      <w:r w:rsidR="00301A51">
        <w:rPr>
          <w:rFonts w:ascii="Times New Roman" w:hAnsi="Times New Roman" w:cs="Times New Roman"/>
          <w:color w:val="000000"/>
        </w:rPr>
        <w:t xml:space="preserve"> caso</w:t>
      </w:r>
      <w:r w:rsidR="005B1EAA">
        <w:rPr>
          <w:rFonts w:ascii="Times New Roman" w:hAnsi="Times New Roman" w:cs="Times New Roman"/>
          <w:color w:val="000000"/>
        </w:rPr>
        <w:t xml:space="preserve"> Ximenes Lopes</w:t>
      </w:r>
      <w:r w:rsidR="00301A51">
        <w:rPr>
          <w:rFonts w:ascii="Times New Roman" w:hAnsi="Times New Roman" w:cs="Times New Roman"/>
          <w:color w:val="000000"/>
        </w:rPr>
        <w:t>,</w:t>
      </w:r>
      <w:r w:rsidR="005B1EAA">
        <w:rPr>
          <w:rFonts w:ascii="Times New Roman" w:hAnsi="Times New Roman" w:cs="Times New Roman"/>
          <w:color w:val="000000"/>
        </w:rPr>
        <w:t xml:space="preserve"> o Estad</w:t>
      </w:r>
      <w:r w:rsidR="00301A51">
        <w:rPr>
          <w:rFonts w:ascii="Times New Roman" w:hAnsi="Times New Roman" w:cs="Times New Roman"/>
          <w:color w:val="000000"/>
        </w:rPr>
        <w:t>o logrou demonstrar em seus inf</w:t>
      </w:r>
      <w:r w:rsidR="005B1EAA">
        <w:rPr>
          <w:rFonts w:ascii="Times New Roman" w:hAnsi="Times New Roman" w:cs="Times New Roman"/>
          <w:color w:val="000000"/>
        </w:rPr>
        <w:t>o</w:t>
      </w:r>
      <w:r w:rsidR="00301A51">
        <w:rPr>
          <w:rFonts w:ascii="Times New Roman" w:hAnsi="Times New Roman" w:cs="Times New Roman"/>
          <w:color w:val="000000"/>
        </w:rPr>
        <w:t>r</w:t>
      </w:r>
      <w:r w:rsidR="005B1EAA">
        <w:rPr>
          <w:rFonts w:ascii="Times New Roman" w:hAnsi="Times New Roman" w:cs="Times New Roman"/>
          <w:color w:val="000000"/>
        </w:rPr>
        <w:t>mes avanços em processos penais de responsabilização, ainda que pendentes julgamentos de recursos em tribunais superiores.</w:t>
      </w:r>
      <w:r w:rsidR="005B1EAA">
        <w:rPr>
          <w:rStyle w:val="FootnoteReference"/>
          <w:rFonts w:ascii="Times New Roman" w:hAnsi="Times New Roman" w:cs="Times New Roman"/>
          <w:color w:val="000000"/>
        </w:rPr>
        <w:footnoteReference w:id="136"/>
      </w:r>
      <w:r w:rsidR="00301A51">
        <w:rPr>
          <w:rFonts w:ascii="Times New Roman" w:hAnsi="Times New Roman" w:cs="Times New Roman"/>
          <w:color w:val="000000"/>
        </w:rPr>
        <w:t xml:space="preserve"> Já no caso Rosa Genoveva (“Fazenda Nova Brasília”), o Estado questionou a Corte sobre a aplicação de normas internas que instituem prescrição e coisa julgada, o que foi repudiado na medida em que</w:t>
      </w:r>
      <w:r w:rsidR="0066392C">
        <w:rPr>
          <w:rFonts w:ascii="Times New Roman" w:hAnsi="Times New Roman" w:cs="Times New Roman"/>
          <w:color w:val="000000"/>
        </w:rPr>
        <w:t xml:space="preserve"> </w:t>
      </w:r>
      <w:r w:rsidR="00301A51">
        <w:rPr>
          <w:rFonts w:ascii="Times New Roman" w:hAnsi="Times New Roman" w:cs="Times New Roman"/>
          <w:color w:val="000000"/>
        </w:rPr>
        <w:t>disposições de caráter interno não teriam o condão de afastar o cumprimento de obrigações internacionais</w:t>
      </w:r>
      <w:r w:rsidR="0066392C">
        <w:rPr>
          <w:rFonts w:ascii="Times New Roman" w:hAnsi="Times New Roman" w:cs="Times New Roman"/>
          <w:color w:val="000000"/>
        </w:rPr>
        <w:t>.</w:t>
      </w:r>
      <w:r w:rsidR="00301A51">
        <w:rPr>
          <w:rStyle w:val="FootnoteReference"/>
          <w:rFonts w:ascii="Times New Roman" w:hAnsi="Times New Roman" w:cs="Times New Roman"/>
          <w:color w:val="000000"/>
        </w:rPr>
        <w:footnoteReference w:id="137"/>
      </w:r>
      <w:r w:rsidR="00025D1B">
        <w:rPr>
          <w:rFonts w:ascii="Times New Roman" w:hAnsi="Times New Roman" w:cs="Times New Roman"/>
          <w:color w:val="000000"/>
        </w:rPr>
        <w:t xml:space="preserve"> No caso Gomes Lund, ainda que o Ministério Público tenha proposto ações penais em face de autoridades militares a fim de configurar o crime de desaparecimento forçado, referidos processos esbarraram em um Judiciário comprometido com a aplicação da Lei de Anistia de 1979, declarada constitucional pelo Supremo Tribunal Federal em 2010, em total afronta ao que fora determinado pela Corte IDH.</w:t>
      </w:r>
      <w:r w:rsidR="00025D1B">
        <w:rPr>
          <w:rStyle w:val="FootnoteReference"/>
          <w:rFonts w:ascii="Times New Roman" w:hAnsi="Times New Roman" w:cs="Times New Roman"/>
          <w:color w:val="000000"/>
        </w:rPr>
        <w:footnoteReference w:id="138"/>
      </w:r>
      <w:r w:rsidR="00BF7C27">
        <w:rPr>
          <w:rFonts w:ascii="Times New Roman" w:hAnsi="Times New Roman" w:cs="Times New Roman"/>
          <w:color w:val="000000"/>
        </w:rPr>
        <w:t xml:space="preserve"> </w:t>
      </w:r>
    </w:p>
    <w:p w14:paraId="199F5D04" w14:textId="6D0343D5" w:rsidR="00C47F4F" w:rsidRDefault="00332DB9" w:rsidP="00DF7183">
      <w:pPr>
        <w:widowControl w:val="0"/>
        <w:autoSpaceDE w:val="0"/>
        <w:autoSpaceDN w:val="0"/>
        <w:adjustRightInd w:val="0"/>
        <w:ind w:firstLine="720"/>
        <w:jc w:val="both"/>
        <w:rPr>
          <w:rFonts w:ascii="Times New Roman" w:hAnsi="Times New Roman" w:cs="Times New Roman"/>
          <w:color w:val="000000"/>
        </w:rPr>
      </w:pPr>
      <w:r>
        <w:rPr>
          <w:rFonts w:ascii="Times New Roman" w:hAnsi="Times New Roman" w:cs="Times New Roman"/>
          <w:color w:val="000000"/>
        </w:rPr>
        <w:t>Esse c</w:t>
      </w:r>
      <w:r w:rsidR="002E3492">
        <w:rPr>
          <w:rFonts w:ascii="Times New Roman" w:hAnsi="Times New Roman" w:cs="Times New Roman"/>
          <w:color w:val="000000"/>
        </w:rPr>
        <w:t xml:space="preserve">omportamento estatal frente à </w:t>
      </w:r>
      <w:r>
        <w:rPr>
          <w:rFonts w:ascii="Times New Roman" w:hAnsi="Times New Roman" w:cs="Times New Roman"/>
          <w:color w:val="000000"/>
        </w:rPr>
        <w:t>perspectiva transformadora inerente às</w:t>
      </w:r>
      <w:r w:rsidR="00BF7C27">
        <w:rPr>
          <w:rFonts w:ascii="Times New Roman" w:hAnsi="Times New Roman" w:cs="Times New Roman"/>
          <w:color w:val="000000"/>
        </w:rPr>
        <w:t xml:space="preserve"> obrigações</w:t>
      </w:r>
      <w:r>
        <w:rPr>
          <w:rFonts w:ascii="Times New Roman" w:hAnsi="Times New Roman" w:cs="Times New Roman"/>
          <w:color w:val="000000"/>
        </w:rPr>
        <w:t xml:space="preserve"> relacionadas com a</w:t>
      </w:r>
      <w:r w:rsidR="007E3D3A">
        <w:rPr>
          <w:rFonts w:ascii="Times New Roman" w:hAnsi="Times New Roman" w:cs="Times New Roman"/>
          <w:color w:val="000000"/>
        </w:rPr>
        <w:t xml:space="preserve"> reparação integral </w:t>
      </w:r>
      <w:r w:rsidR="00BF7C27">
        <w:rPr>
          <w:rFonts w:ascii="Times New Roman" w:hAnsi="Times New Roman" w:cs="Times New Roman"/>
          <w:color w:val="000000"/>
        </w:rPr>
        <w:t>evidencia uma dose de resistência</w:t>
      </w:r>
      <w:r>
        <w:rPr>
          <w:rFonts w:ascii="Times New Roman" w:hAnsi="Times New Roman" w:cs="Times New Roman"/>
          <w:color w:val="000000"/>
        </w:rPr>
        <w:t xml:space="preserve"> declarada à ingerência internacional.</w:t>
      </w:r>
      <w:r w:rsidR="00BF7C27">
        <w:rPr>
          <w:rFonts w:ascii="Times New Roman" w:hAnsi="Times New Roman" w:cs="Times New Roman"/>
          <w:color w:val="000000"/>
        </w:rPr>
        <w:t xml:space="preserve"> </w:t>
      </w:r>
      <w:r w:rsidR="00C47F4F">
        <w:rPr>
          <w:rFonts w:ascii="Times New Roman" w:hAnsi="Times New Roman" w:cs="Times New Roman"/>
          <w:color w:val="000000"/>
        </w:rPr>
        <w:t xml:space="preserve">Ainda que não se trate de um </w:t>
      </w:r>
      <w:r w:rsidR="00C47F4F" w:rsidRPr="00B76EC8">
        <w:rPr>
          <w:rFonts w:ascii="Times New Roman" w:hAnsi="Times New Roman" w:cs="Times New Roman"/>
          <w:i/>
          <w:color w:val="000000"/>
        </w:rPr>
        <w:t>backlash</w:t>
      </w:r>
      <w:r w:rsidR="00C47F4F">
        <w:rPr>
          <w:rFonts w:ascii="Times New Roman" w:hAnsi="Times New Roman" w:cs="Times New Roman"/>
          <w:color w:val="000000"/>
        </w:rPr>
        <w:t xml:space="preserve"> manifesto, em que os órgãos internos demonstram repúdio à sentença da Corte IDH e questionam a legitimidade de todo o sistema interamericano, colocando-se à parte do </w:t>
      </w:r>
      <w:r w:rsidR="00C47F4F" w:rsidRPr="002E3492">
        <w:rPr>
          <w:rFonts w:ascii="Times New Roman" w:hAnsi="Times New Roman" w:cs="Times New Roman"/>
          <w:i/>
          <w:color w:val="000000"/>
        </w:rPr>
        <w:t xml:space="preserve">Ius Commune </w:t>
      </w:r>
      <w:r w:rsidR="002E3492">
        <w:rPr>
          <w:rFonts w:ascii="Times New Roman" w:hAnsi="Times New Roman" w:cs="Times New Roman"/>
          <w:color w:val="000000"/>
        </w:rPr>
        <w:t>Latino Ameri</w:t>
      </w:r>
      <w:r w:rsidR="00C47F4F">
        <w:rPr>
          <w:rFonts w:ascii="Times New Roman" w:hAnsi="Times New Roman" w:cs="Times New Roman"/>
          <w:color w:val="000000"/>
        </w:rPr>
        <w:t xml:space="preserve">cano, </w:t>
      </w:r>
      <w:r w:rsidR="002E3492">
        <w:rPr>
          <w:rFonts w:ascii="Times New Roman" w:hAnsi="Times New Roman" w:cs="Times New Roman"/>
          <w:color w:val="000000"/>
        </w:rPr>
        <w:t xml:space="preserve">essa materializa uma discordância dos Estados voltada para </w:t>
      </w:r>
      <w:r w:rsidR="00C47F4F">
        <w:rPr>
          <w:rFonts w:ascii="Times New Roman" w:hAnsi="Times New Roman" w:cs="Times New Roman"/>
          <w:color w:val="000000"/>
        </w:rPr>
        <w:t>a postura</w:t>
      </w:r>
      <w:r w:rsidR="002E3492">
        <w:rPr>
          <w:rFonts w:ascii="Times New Roman" w:hAnsi="Times New Roman" w:cs="Times New Roman"/>
          <w:color w:val="000000"/>
        </w:rPr>
        <w:t xml:space="preserve"> adotada pela Corte. Eles </w:t>
      </w:r>
      <w:r w:rsidR="00C47F4F">
        <w:rPr>
          <w:rFonts w:ascii="Times New Roman" w:hAnsi="Times New Roman" w:cs="Times New Roman"/>
          <w:color w:val="000000"/>
        </w:rPr>
        <w:t>reconhece</w:t>
      </w:r>
      <w:r w:rsidR="002E3492">
        <w:rPr>
          <w:rFonts w:ascii="Times New Roman" w:hAnsi="Times New Roman" w:cs="Times New Roman"/>
          <w:color w:val="000000"/>
        </w:rPr>
        <w:t>m</w:t>
      </w:r>
      <w:r w:rsidR="00C47F4F">
        <w:rPr>
          <w:rFonts w:ascii="Times New Roman" w:hAnsi="Times New Roman" w:cs="Times New Roman"/>
          <w:color w:val="000000"/>
        </w:rPr>
        <w:t xml:space="preserve"> o compromisso internacional assumido via Convenção Americana de Direitos Humanos, </w:t>
      </w:r>
      <w:r w:rsidR="002E3492">
        <w:rPr>
          <w:rFonts w:ascii="Times New Roman" w:hAnsi="Times New Roman" w:cs="Times New Roman"/>
          <w:color w:val="000000"/>
        </w:rPr>
        <w:t xml:space="preserve">contudo, </w:t>
      </w:r>
      <w:r w:rsidR="00C47F4F">
        <w:rPr>
          <w:rFonts w:ascii="Times New Roman" w:hAnsi="Times New Roman" w:cs="Times New Roman"/>
          <w:color w:val="000000"/>
        </w:rPr>
        <w:t>propõem uma mudança a partir de dentro.</w:t>
      </w:r>
      <w:r w:rsidR="00C47F4F">
        <w:rPr>
          <w:rStyle w:val="FootnoteReference"/>
          <w:rFonts w:ascii="Times New Roman" w:hAnsi="Times New Roman" w:cs="Times New Roman"/>
          <w:color w:val="000000"/>
        </w:rPr>
        <w:footnoteReference w:id="139"/>
      </w:r>
      <w:r w:rsidR="002E3492">
        <w:rPr>
          <w:rFonts w:ascii="Times New Roman" w:hAnsi="Times New Roman" w:cs="Times New Roman"/>
          <w:color w:val="000000"/>
        </w:rPr>
        <w:t xml:space="preserve"> Um exemplo dessa resistência pode ser encontrado em recente </w:t>
      </w:r>
      <w:r w:rsidR="00553E4D">
        <w:rPr>
          <w:rFonts w:ascii="Times New Roman" w:hAnsi="Times New Roman" w:cs="Times New Roman"/>
          <w:color w:val="000000"/>
        </w:rPr>
        <w:t xml:space="preserve">Declaração sobre o Sistema Interamericano de </w:t>
      </w:r>
      <w:r w:rsidR="00553E4D">
        <w:rPr>
          <w:rFonts w:ascii="Times New Roman" w:hAnsi="Times New Roman" w:cs="Times New Roman"/>
          <w:color w:val="000000"/>
        </w:rPr>
        <w:lastRenderedPageBreak/>
        <w:t>Direitos Humanos apresentada</w:t>
      </w:r>
      <w:r w:rsidR="002E3492">
        <w:rPr>
          <w:rFonts w:ascii="Times New Roman" w:hAnsi="Times New Roman" w:cs="Times New Roman"/>
          <w:color w:val="000000"/>
        </w:rPr>
        <w:t xml:space="preserve"> pelos Estados do Brasil, Argentina, Paraguai, Chile e Colômbia</w:t>
      </w:r>
      <w:r w:rsidR="00553E4D">
        <w:rPr>
          <w:rFonts w:ascii="Times New Roman" w:hAnsi="Times New Roman" w:cs="Times New Roman"/>
          <w:color w:val="000000"/>
        </w:rPr>
        <w:t xml:space="preserve"> à Comissão Interamericana</w:t>
      </w:r>
      <w:r w:rsidR="002E3492">
        <w:rPr>
          <w:rFonts w:ascii="Times New Roman" w:hAnsi="Times New Roman" w:cs="Times New Roman"/>
          <w:color w:val="000000"/>
        </w:rPr>
        <w:t>, em que clamam p</w:t>
      </w:r>
      <w:r w:rsidR="005C0EA0">
        <w:rPr>
          <w:rFonts w:ascii="Times New Roman" w:hAnsi="Times New Roman" w:cs="Times New Roman"/>
          <w:color w:val="000000"/>
        </w:rPr>
        <w:t xml:space="preserve">ela aplicação do princípio da subsidiariedade, bem como o respeito a uma margem de apreciação aos Estados na definição dos meios para proteger e reparar violações a </w:t>
      </w:r>
      <w:r w:rsidR="002E3492">
        <w:rPr>
          <w:rFonts w:ascii="Times New Roman" w:hAnsi="Times New Roman" w:cs="Times New Roman"/>
          <w:color w:val="000000"/>
        </w:rPr>
        <w:t>direitos humanos.</w:t>
      </w:r>
      <w:r w:rsidR="005C0EA0">
        <w:rPr>
          <w:rStyle w:val="FootnoteReference"/>
          <w:rFonts w:ascii="Times New Roman" w:hAnsi="Times New Roman" w:cs="Times New Roman"/>
          <w:color w:val="000000"/>
        </w:rPr>
        <w:footnoteReference w:id="140"/>
      </w:r>
      <w:r w:rsidR="002E3492">
        <w:rPr>
          <w:rFonts w:ascii="Times New Roman" w:hAnsi="Times New Roman" w:cs="Times New Roman"/>
          <w:color w:val="000000"/>
        </w:rPr>
        <w:t xml:space="preserve"> Mais que a proposta declarada de diálogo, referido manifesto aponta uma tendência dos governos de direita eleitos na América Latina de preservarem a sua soberania</w:t>
      </w:r>
      <w:r w:rsidR="008A1C22">
        <w:rPr>
          <w:rFonts w:ascii="Times New Roman" w:hAnsi="Times New Roman" w:cs="Times New Roman"/>
          <w:color w:val="000000"/>
        </w:rPr>
        <w:t>, o que recomenda cautela na interpretação de seus termos</w:t>
      </w:r>
      <w:r w:rsidR="002E3492">
        <w:rPr>
          <w:rFonts w:ascii="Times New Roman" w:hAnsi="Times New Roman" w:cs="Times New Roman"/>
          <w:color w:val="000000"/>
        </w:rPr>
        <w:t>.</w:t>
      </w:r>
    </w:p>
    <w:p w14:paraId="10444694" w14:textId="53E0546A" w:rsidR="00C47F4F" w:rsidRPr="00831A70" w:rsidRDefault="008A1C22" w:rsidP="00B10EB0">
      <w:pPr>
        <w:widowControl w:val="0"/>
        <w:autoSpaceDE w:val="0"/>
        <w:autoSpaceDN w:val="0"/>
        <w:adjustRightInd w:val="0"/>
        <w:ind w:firstLine="720"/>
        <w:jc w:val="both"/>
        <w:rPr>
          <w:rFonts w:ascii="Times New Roman" w:hAnsi="Times New Roman" w:cs="Times New Roman"/>
          <w:color w:val="000000"/>
        </w:rPr>
      </w:pPr>
      <w:r w:rsidRPr="00831A70">
        <w:rPr>
          <w:rFonts w:ascii="Times New Roman" w:hAnsi="Times New Roman" w:cs="Times New Roman"/>
          <w:color w:val="000000"/>
        </w:rPr>
        <w:t xml:space="preserve">É certo que a Corte IDH – no ímpeto de causar transformações sociais voltadas para a solução da exclusão social – pode avançar certos sinais e adotar posições no mínimo controversas. </w:t>
      </w:r>
      <w:r w:rsidR="00C134EE" w:rsidRPr="00831A70">
        <w:rPr>
          <w:rFonts w:ascii="Times New Roman" w:hAnsi="Times New Roman" w:cs="Times New Roman"/>
          <w:color w:val="000000"/>
        </w:rPr>
        <w:t>No caso</w:t>
      </w:r>
      <w:r w:rsidR="00C134EE" w:rsidRPr="00831A70">
        <w:rPr>
          <w:rFonts w:ascii="Times New Roman" w:hAnsi="Times New Roman" w:cs="Times New Roman"/>
        </w:rPr>
        <w:t xml:space="preserve"> </w:t>
      </w:r>
      <w:r w:rsidR="008E39CC">
        <w:rPr>
          <w:rFonts w:ascii="Times New Roman" w:hAnsi="Times New Roman" w:cs="Times New Roman"/>
        </w:rPr>
        <w:t>Castro Castro vs. Peru</w:t>
      </w:r>
      <w:r w:rsidR="00C134EE" w:rsidRPr="00831A70">
        <w:rPr>
          <w:rFonts w:ascii="Times New Roman" w:hAnsi="Times New Roman" w:cs="Times New Roman"/>
        </w:rPr>
        <w:t>, em que reconheceu a responsabilidade estatal pela violação de direitos humanos em razão do ataque à peniten</w:t>
      </w:r>
      <w:r w:rsidR="007A29F4" w:rsidRPr="00831A70">
        <w:rPr>
          <w:rFonts w:ascii="Times New Roman" w:hAnsi="Times New Roman" w:cs="Times New Roman"/>
        </w:rPr>
        <w:t>c</w:t>
      </w:r>
      <w:r w:rsidR="00C134EE" w:rsidRPr="00831A70">
        <w:rPr>
          <w:rFonts w:ascii="Times New Roman" w:hAnsi="Times New Roman" w:cs="Times New Roman"/>
        </w:rPr>
        <w:t>iária Castro Castro</w:t>
      </w:r>
      <w:r w:rsidR="00FE097A" w:rsidRPr="00831A70">
        <w:rPr>
          <w:rFonts w:ascii="Times New Roman" w:hAnsi="Times New Roman" w:cs="Times New Roman"/>
        </w:rPr>
        <w:t xml:space="preserve"> </w:t>
      </w:r>
      <w:r w:rsidR="00C134EE" w:rsidRPr="00831A70">
        <w:rPr>
          <w:rFonts w:ascii="Times New Roman" w:hAnsi="Times New Roman" w:cs="Times New Roman"/>
        </w:rPr>
        <w:t>pelo grupo Sendero Luminoso, a Corte determinou, a título de reparação simbólica, que os nomes das vítimas fossem gravados nas pedras que rode</w:t>
      </w:r>
      <w:r w:rsidR="007A29F4" w:rsidRPr="00831A70">
        <w:rPr>
          <w:rFonts w:ascii="Times New Roman" w:hAnsi="Times New Roman" w:cs="Times New Roman"/>
        </w:rPr>
        <w:t>i</w:t>
      </w:r>
      <w:r w:rsidR="00C134EE" w:rsidRPr="00831A70">
        <w:rPr>
          <w:rFonts w:ascii="Times New Roman" w:hAnsi="Times New Roman" w:cs="Times New Roman"/>
        </w:rPr>
        <w:t xml:space="preserve">am o memorial </w:t>
      </w:r>
      <w:r w:rsidR="00C134EE" w:rsidRPr="00831A70">
        <w:rPr>
          <w:rFonts w:ascii="Times New Roman" w:hAnsi="Times New Roman" w:cs="Times New Roman"/>
          <w:i/>
        </w:rPr>
        <w:t>El ojo que llora</w:t>
      </w:r>
      <w:r w:rsidR="00C134EE" w:rsidRPr="00831A70">
        <w:rPr>
          <w:rFonts w:ascii="Times New Roman" w:hAnsi="Times New Roman" w:cs="Times New Roman"/>
        </w:rPr>
        <w:t>, localizado em Lima. Essa medida de reparação bastante específica foi mal recebida por grande parte do povo peruano, com tamanhas críticas ao memorial que sua demolição chegou a ser requerida, p</w:t>
      </w:r>
      <w:r w:rsidR="007A29F4" w:rsidRPr="00831A70">
        <w:rPr>
          <w:rFonts w:ascii="Times New Roman" w:hAnsi="Times New Roman" w:cs="Times New Roman"/>
        </w:rPr>
        <w:t>or considera</w:t>
      </w:r>
      <w:r w:rsidR="00C134EE" w:rsidRPr="00831A70">
        <w:rPr>
          <w:rFonts w:ascii="Times New Roman" w:hAnsi="Times New Roman" w:cs="Times New Roman"/>
        </w:rPr>
        <w:t>-lo um monumento ao terrorismo.</w:t>
      </w:r>
      <w:r w:rsidR="00C134EE" w:rsidRPr="00831A70">
        <w:rPr>
          <w:rStyle w:val="FootnoteReference"/>
          <w:rFonts w:ascii="Times New Roman" w:hAnsi="Times New Roman" w:cs="Times New Roman"/>
        </w:rPr>
        <w:footnoteReference w:id="141"/>
      </w:r>
      <w:r w:rsidR="00C134EE" w:rsidRPr="00831A70">
        <w:rPr>
          <w:rFonts w:ascii="Times New Roman" w:hAnsi="Times New Roman" w:cs="Times New Roman"/>
        </w:rPr>
        <w:t xml:space="preserve"> No caso Artavia Murillo e outros v. Costa Rica, </w:t>
      </w:r>
      <w:r w:rsidR="0073190E" w:rsidRPr="00831A70">
        <w:rPr>
          <w:rFonts w:ascii="Times New Roman" w:hAnsi="Times New Roman" w:cs="Times New Roman"/>
        </w:rPr>
        <w:t xml:space="preserve">de 2012, a Corte Interamericana confrontou a Sala Constitucional </w:t>
      </w:r>
      <w:r w:rsidR="00F81563" w:rsidRPr="00831A70">
        <w:rPr>
          <w:rFonts w:ascii="Times New Roman" w:hAnsi="Times New Roman" w:cs="Times New Roman"/>
        </w:rPr>
        <w:t>da Costa Rica para, em interpretação evolutiva do direito a vida, reconhecer o direito humano à fertilização in vitro como uma manifestação do direito à vida privada e à liberdade e não discriminação no planejamento familiar. A</w:t>
      </w:r>
      <w:r w:rsidR="0073190E" w:rsidRPr="00831A70">
        <w:rPr>
          <w:rFonts w:ascii="Times New Roman" w:hAnsi="Times New Roman" w:cs="Times New Roman"/>
        </w:rPr>
        <w:t xml:space="preserve"> Corte </w:t>
      </w:r>
      <w:r w:rsidR="00F81563" w:rsidRPr="00831A70">
        <w:rPr>
          <w:rFonts w:ascii="Times New Roman" w:hAnsi="Times New Roman" w:cs="Times New Roman"/>
        </w:rPr>
        <w:t>condenou o Estado a regulamentar</w:t>
      </w:r>
      <w:r w:rsidR="00FD4529" w:rsidRPr="00831A70">
        <w:rPr>
          <w:rFonts w:ascii="Times New Roman" w:hAnsi="Times New Roman" w:cs="Times New Roman"/>
        </w:rPr>
        <w:t xml:space="preserve"> (mediante lei)</w:t>
      </w:r>
      <w:r w:rsidR="00F81563" w:rsidRPr="00831A70">
        <w:rPr>
          <w:rFonts w:ascii="Times New Roman" w:hAnsi="Times New Roman" w:cs="Times New Roman"/>
        </w:rPr>
        <w:t xml:space="preserve"> </w:t>
      </w:r>
      <w:r w:rsidR="00194251" w:rsidRPr="00831A70">
        <w:rPr>
          <w:rFonts w:ascii="Times New Roman" w:hAnsi="Times New Roman" w:cs="Times New Roman"/>
        </w:rPr>
        <w:t>a imple</w:t>
      </w:r>
      <w:r w:rsidR="00531043">
        <w:rPr>
          <w:rFonts w:ascii="Times New Roman" w:hAnsi="Times New Roman" w:cs="Times New Roman"/>
        </w:rPr>
        <w:t>me</w:t>
      </w:r>
      <w:r w:rsidR="00194251" w:rsidRPr="00831A70">
        <w:rPr>
          <w:rFonts w:ascii="Times New Roman" w:hAnsi="Times New Roman" w:cs="Times New Roman"/>
        </w:rPr>
        <w:t>ntação da referida técnica</w:t>
      </w:r>
      <w:r w:rsidR="007A29F4" w:rsidRPr="00831A70">
        <w:rPr>
          <w:rFonts w:ascii="Times New Roman" w:hAnsi="Times New Roman" w:cs="Times New Roman"/>
        </w:rPr>
        <w:t xml:space="preserve"> e incluí</w:t>
      </w:r>
      <w:r w:rsidR="00FD4529" w:rsidRPr="00831A70">
        <w:rPr>
          <w:rFonts w:ascii="Times New Roman" w:hAnsi="Times New Roman" w:cs="Times New Roman"/>
        </w:rPr>
        <w:t>-la na</w:t>
      </w:r>
      <w:r w:rsidR="00831A70">
        <w:rPr>
          <w:rFonts w:ascii="Times New Roman" w:hAnsi="Times New Roman" w:cs="Times New Roman"/>
        </w:rPr>
        <w:t xml:space="preserve"> Caixa Costarric</w:t>
      </w:r>
      <w:r w:rsidR="00194251" w:rsidRPr="00831A70">
        <w:rPr>
          <w:rFonts w:ascii="Times New Roman" w:hAnsi="Times New Roman" w:cs="Times New Roman"/>
        </w:rPr>
        <w:t>ense de Seguro Social</w:t>
      </w:r>
      <w:r w:rsidR="007A29F4" w:rsidRPr="00831A70">
        <w:rPr>
          <w:rFonts w:ascii="Times New Roman" w:hAnsi="Times New Roman" w:cs="Times New Roman"/>
        </w:rPr>
        <w:t xml:space="preserve"> a fim de torna</w:t>
      </w:r>
      <w:r w:rsidR="00531043">
        <w:rPr>
          <w:rFonts w:ascii="Times New Roman" w:hAnsi="Times New Roman" w:cs="Times New Roman"/>
        </w:rPr>
        <w:t>-la acessí</w:t>
      </w:r>
      <w:r w:rsidR="00FD4529" w:rsidRPr="00831A70">
        <w:rPr>
          <w:rFonts w:ascii="Times New Roman" w:hAnsi="Times New Roman" w:cs="Times New Roman"/>
        </w:rPr>
        <w:t>vel para toda a população</w:t>
      </w:r>
      <w:r w:rsidR="00194251" w:rsidRPr="00831A70">
        <w:rPr>
          <w:rFonts w:ascii="Times New Roman" w:hAnsi="Times New Roman" w:cs="Times New Roman"/>
        </w:rPr>
        <w:t>.</w:t>
      </w:r>
      <w:r w:rsidR="005C1C04" w:rsidRPr="00831A70">
        <w:rPr>
          <w:rStyle w:val="FootnoteReference"/>
          <w:rFonts w:ascii="Times New Roman" w:hAnsi="Times New Roman" w:cs="Times New Roman"/>
        </w:rPr>
        <w:footnoteReference w:id="142"/>
      </w:r>
      <w:r w:rsidR="00F81563" w:rsidRPr="00831A70">
        <w:rPr>
          <w:rFonts w:ascii="Times New Roman" w:hAnsi="Times New Roman" w:cs="Times New Roman"/>
        </w:rPr>
        <w:t xml:space="preserve"> Em</w:t>
      </w:r>
      <w:r w:rsidR="0073190E" w:rsidRPr="00831A70">
        <w:rPr>
          <w:rFonts w:ascii="Times New Roman" w:hAnsi="Times New Roman" w:cs="Times New Roman"/>
        </w:rPr>
        <w:t xml:space="preserve"> 2016, </w:t>
      </w:r>
      <w:r w:rsidR="00F81563" w:rsidRPr="00831A70">
        <w:rPr>
          <w:rFonts w:ascii="Times New Roman" w:hAnsi="Times New Roman" w:cs="Times New Roman"/>
        </w:rPr>
        <w:t>o Presidente firmou um decreto autorizando o procedimento porque o parlamento não aprovou a lei</w:t>
      </w:r>
      <w:r w:rsidR="0073190E" w:rsidRPr="00831A70">
        <w:rPr>
          <w:rFonts w:ascii="Times New Roman" w:hAnsi="Times New Roman" w:cs="Times New Roman"/>
        </w:rPr>
        <w:t xml:space="preserve">. </w:t>
      </w:r>
      <w:r w:rsidR="00531043">
        <w:rPr>
          <w:rFonts w:ascii="Times New Roman" w:hAnsi="Times New Roman" w:cs="Times New Roman"/>
        </w:rPr>
        <w:t>Até hoje, apenas instituiç</w:t>
      </w:r>
      <w:r w:rsidR="00F81563" w:rsidRPr="00831A70">
        <w:rPr>
          <w:rFonts w:ascii="Times New Roman" w:hAnsi="Times New Roman" w:cs="Times New Roman"/>
        </w:rPr>
        <w:t>ões privadas realizam esse procedimento, o Estado e parte significativa da sociedade resistem em transformá-la em política pública.</w:t>
      </w:r>
      <w:r w:rsidR="00D41A1E" w:rsidRPr="00831A70">
        <w:rPr>
          <w:rStyle w:val="FootnoteReference"/>
          <w:rFonts w:ascii="Times New Roman" w:hAnsi="Times New Roman" w:cs="Times New Roman"/>
        </w:rPr>
        <w:footnoteReference w:id="143"/>
      </w:r>
    </w:p>
    <w:p w14:paraId="6951E4DF" w14:textId="36D5A83D" w:rsidR="009F2A2C" w:rsidRDefault="007E3D3A" w:rsidP="00DF7183">
      <w:pPr>
        <w:widowControl w:val="0"/>
        <w:autoSpaceDE w:val="0"/>
        <w:autoSpaceDN w:val="0"/>
        <w:adjustRightInd w:val="0"/>
        <w:ind w:firstLine="720"/>
        <w:jc w:val="both"/>
        <w:rPr>
          <w:rFonts w:ascii="Times New Roman" w:hAnsi="Times New Roman" w:cs="Times New Roman"/>
          <w:color w:val="000000"/>
        </w:rPr>
      </w:pPr>
      <w:r>
        <w:rPr>
          <w:rFonts w:ascii="Times New Roman" w:hAnsi="Times New Roman" w:cs="Times New Roman"/>
          <w:color w:val="000000"/>
        </w:rPr>
        <w:t xml:space="preserve"> </w:t>
      </w:r>
      <w:r w:rsidR="004334AC">
        <w:rPr>
          <w:rFonts w:ascii="Times New Roman" w:hAnsi="Times New Roman" w:cs="Times New Roman"/>
          <w:color w:val="000000"/>
        </w:rPr>
        <w:t>Situações como essas</w:t>
      </w:r>
      <w:r>
        <w:rPr>
          <w:rFonts w:ascii="Times New Roman" w:hAnsi="Times New Roman" w:cs="Times New Roman"/>
          <w:color w:val="000000"/>
        </w:rPr>
        <w:t xml:space="preserve"> evidencia</w:t>
      </w:r>
      <w:r w:rsidR="004334AC">
        <w:rPr>
          <w:rFonts w:ascii="Times New Roman" w:hAnsi="Times New Roman" w:cs="Times New Roman"/>
          <w:color w:val="000000"/>
        </w:rPr>
        <w:t>m</w:t>
      </w:r>
      <w:r>
        <w:rPr>
          <w:rFonts w:ascii="Times New Roman" w:hAnsi="Times New Roman" w:cs="Times New Roman"/>
          <w:color w:val="000000"/>
        </w:rPr>
        <w:t xml:space="preserve"> a necessidade de diálogo </w:t>
      </w:r>
      <w:r w:rsidR="004334AC">
        <w:rPr>
          <w:rFonts w:ascii="Times New Roman" w:hAnsi="Times New Roman" w:cs="Times New Roman"/>
          <w:color w:val="000000"/>
        </w:rPr>
        <w:t>da Corte IDH</w:t>
      </w:r>
      <w:r>
        <w:rPr>
          <w:rFonts w:ascii="Times New Roman" w:hAnsi="Times New Roman" w:cs="Times New Roman"/>
          <w:color w:val="000000"/>
        </w:rPr>
        <w:t xml:space="preserve"> não só com as Cortes domésticas, mas também com as instituições internas de cada país</w:t>
      </w:r>
      <w:r w:rsidR="004334AC">
        <w:rPr>
          <w:rFonts w:ascii="Times New Roman" w:hAnsi="Times New Roman" w:cs="Times New Roman"/>
          <w:color w:val="000000"/>
        </w:rPr>
        <w:t>, a fim de que se inteire dos contextos sociais, econômicos e políticos de cada Estado</w:t>
      </w:r>
      <w:r>
        <w:rPr>
          <w:rFonts w:ascii="Times New Roman" w:hAnsi="Times New Roman" w:cs="Times New Roman"/>
          <w:color w:val="000000"/>
        </w:rPr>
        <w:t>.</w:t>
      </w:r>
      <w:r w:rsidR="002E37F3">
        <w:rPr>
          <w:rFonts w:ascii="Times New Roman" w:hAnsi="Times New Roman" w:cs="Times New Roman"/>
          <w:color w:val="000000"/>
        </w:rPr>
        <w:t xml:space="preserve"> Ainda que outros fatores influenciem a baixa </w:t>
      </w:r>
      <w:r w:rsidR="002E37F3" w:rsidRPr="00DB151A">
        <w:rPr>
          <w:rFonts w:ascii="Times New Roman" w:hAnsi="Times New Roman" w:cs="Times New Roman"/>
          <w:i/>
          <w:color w:val="000000"/>
        </w:rPr>
        <w:t>compliance</w:t>
      </w:r>
      <w:r w:rsidR="002E37F3">
        <w:rPr>
          <w:rFonts w:ascii="Times New Roman" w:hAnsi="Times New Roman" w:cs="Times New Roman"/>
          <w:color w:val="000000"/>
        </w:rPr>
        <w:t xml:space="preserve"> de muitos Estados latino-americanos para com as determinações da Corte IDH, é importante ter em conta que o discurso dos direitos humanos não deve ser muito abstraído da realidade.</w:t>
      </w:r>
      <w:r w:rsidR="002E37F3">
        <w:rPr>
          <w:rStyle w:val="FootnoteReference"/>
          <w:rFonts w:ascii="Times New Roman" w:hAnsi="Times New Roman" w:cs="Times New Roman"/>
          <w:color w:val="000000"/>
        </w:rPr>
        <w:footnoteReference w:id="144"/>
      </w:r>
      <w:r w:rsidR="002E37F3">
        <w:rPr>
          <w:rFonts w:ascii="Times New Roman" w:hAnsi="Times New Roman" w:cs="Times New Roman"/>
          <w:color w:val="000000"/>
        </w:rPr>
        <w:t xml:space="preserve"> </w:t>
      </w:r>
      <w:r w:rsidR="004334AC">
        <w:rPr>
          <w:rFonts w:ascii="Times New Roman" w:hAnsi="Times New Roman" w:cs="Times New Roman"/>
          <w:color w:val="000000"/>
        </w:rPr>
        <w:t>Medidas que não são cumpridas acabam por gerar um descrédito ao sistema e podem comprometer os avanços já amealhados</w:t>
      </w:r>
      <w:r w:rsidR="004C16AB">
        <w:rPr>
          <w:rFonts w:ascii="Times New Roman" w:hAnsi="Times New Roman" w:cs="Times New Roman"/>
          <w:color w:val="000000"/>
        </w:rPr>
        <w:t xml:space="preserve">, de modo que um </w:t>
      </w:r>
      <w:r w:rsidR="00711D69">
        <w:rPr>
          <w:rFonts w:ascii="Times New Roman" w:hAnsi="Times New Roman" w:cs="Times New Roman"/>
          <w:color w:val="000000"/>
        </w:rPr>
        <w:t>progresso</w:t>
      </w:r>
      <w:r w:rsidR="004C16AB">
        <w:rPr>
          <w:rFonts w:ascii="Times New Roman" w:hAnsi="Times New Roman" w:cs="Times New Roman"/>
          <w:color w:val="000000"/>
        </w:rPr>
        <w:t xml:space="preserve"> transformador incremental, e respeitoso das particularidades locais</w:t>
      </w:r>
      <w:r w:rsidR="008F3BD6">
        <w:rPr>
          <w:rFonts w:ascii="Times New Roman" w:hAnsi="Times New Roman" w:cs="Times New Roman"/>
          <w:color w:val="000000"/>
        </w:rPr>
        <w:t xml:space="preserve"> é o que melhor se coaduna com as propostas do ICCAL</w:t>
      </w:r>
      <w:r w:rsidR="004334AC">
        <w:rPr>
          <w:rFonts w:ascii="Times New Roman" w:hAnsi="Times New Roman" w:cs="Times New Roman"/>
          <w:color w:val="000000"/>
        </w:rPr>
        <w:t>.</w:t>
      </w:r>
    </w:p>
    <w:p w14:paraId="300B2F69" w14:textId="24DE5FC3" w:rsidR="00FD2B67" w:rsidRDefault="000F49F9" w:rsidP="00420929">
      <w:pPr>
        <w:ind w:firstLine="720"/>
        <w:jc w:val="both"/>
        <w:rPr>
          <w:rFonts w:ascii="Times New Roman" w:hAnsi="Times New Roman" w:cs="Times New Roman"/>
        </w:rPr>
      </w:pPr>
      <w:r>
        <w:rPr>
          <w:rFonts w:ascii="Times New Roman" w:hAnsi="Times New Roman" w:cs="Times New Roman"/>
        </w:rPr>
        <w:t>Se pode</w:t>
      </w:r>
      <w:r w:rsidR="00B10EB0">
        <w:rPr>
          <w:rFonts w:ascii="Times New Roman" w:hAnsi="Times New Roman" w:cs="Times New Roman"/>
        </w:rPr>
        <w:t xml:space="preserve"> haver </w:t>
      </w:r>
      <w:r>
        <w:rPr>
          <w:rFonts w:ascii="Times New Roman" w:hAnsi="Times New Roman" w:cs="Times New Roman"/>
        </w:rPr>
        <w:t>dificuldades</w:t>
      </w:r>
      <w:r w:rsidR="00B10EB0">
        <w:rPr>
          <w:rFonts w:ascii="Times New Roman" w:hAnsi="Times New Roman" w:cs="Times New Roman"/>
        </w:rPr>
        <w:t xml:space="preserve">, é preciso também reconhecer os avanços na construção dialogada de um </w:t>
      </w:r>
      <w:r w:rsidR="00B10EB0" w:rsidRPr="00B10EB0">
        <w:rPr>
          <w:rFonts w:ascii="Times New Roman" w:hAnsi="Times New Roman" w:cs="Times New Roman"/>
          <w:i/>
        </w:rPr>
        <w:t>Ius Commune</w:t>
      </w:r>
      <w:r w:rsidR="00B10EB0">
        <w:rPr>
          <w:rFonts w:ascii="Times New Roman" w:hAnsi="Times New Roman" w:cs="Times New Roman"/>
        </w:rPr>
        <w:t xml:space="preserve">. No caso Radilla Pacheco vs. México, a Corte acolheu a </w:t>
      </w:r>
      <w:r w:rsidR="00B10EB0">
        <w:rPr>
          <w:rFonts w:ascii="Times New Roman" w:hAnsi="Times New Roman" w:cs="Times New Roman"/>
        </w:rPr>
        <w:lastRenderedPageBreak/>
        <w:t xml:space="preserve">proposta </w:t>
      </w:r>
      <w:r>
        <w:rPr>
          <w:rFonts w:ascii="Times New Roman" w:hAnsi="Times New Roman" w:cs="Times New Roman"/>
        </w:rPr>
        <w:t xml:space="preserve">de reparação integral </w:t>
      </w:r>
      <w:r w:rsidR="00B10EB0">
        <w:rPr>
          <w:rFonts w:ascii="Times New Roman" w:hAnsi="Times New Roman" w:cs="Times New Roman"/>
        </w:rPr>
        <w:t xml:space="preserve">formulada pelo Estado </w:t>
      </w:r>
      <w:r>
        <w:rPr>
          <w:rFonts w:ascii="Times New Roman" w:hAnsi="Times New Roman" w:cs="Times New Roman"/>
        </w:rPr>
        <w:t>no sentido de confeccionar</w:t>
      </w:r>
      <w:r w:rsidR="00B10EB0">
        <w:rPr>
          <w:rFonts w:ascii="Times New Roman" w:hAnsi="Times New Roman" w:cs="Times New Roman"/>
        </w:rPr>
        <w:t xml:space="preserve"> </w:t>
      </w:r>
      <w:r w:rsidR="005B34F7">
        <w:rPr>
          <w:rFonts w:ascii="Times New Roman" w:hAnsi="Times New Roman" w:cs="Times New Roman"/>
        </w:rPr>
        <w:t>uma biografia da vítima a fim de manter viva sua memória, assim com contribuir para a preservação da história em uma sociedade democrática.</w:t>
      </w:r>
      <w:r w:rsidR="005B34F7">
        <w:rPr>
          <w:rStyle w:val="FootnoteReference"/>
          <w:rFonts w:ascii="Times New Roman" w:hAnsi="Times New Roman" w:cs="Times New Roman"/>
        </w:rPr>
        <w:footnoteReference w:id="145"/>
      </w:r>
      <w:r w:rsidR="005B34F7">
        <w:rPr>
          <w:rFonts w:ascii="Times New Roman" w:hAnsi="Times New Roman" w:cs="Times New Roman"/>
        </w:rPr>
        <w:t xml:space="preserve"> </w:t>
      </w:r>
      <w:r w:rsidR="00AB0D01">
        <w:rPr>
          <w:rFonts w:ascii="Times New Roman" w:hAnsi="Times New Roman" w:cs="Times New Roman"/>
        </w:rPr>
        <w:t>Na medida em que os Estados reconhecem como necessárias as transformações propostas pela Corte IDH, bem como a própria Corte reconhece um espaço para que os Estados proponham meios de reparação, os compromissos com a efetivação dos direitos humanos se aperfeiçoam e se concretizam.</w:t>
      </w:r>
    </w:p>
    <w:p w14:paraId="257E5672" w14:textId="77777777" w:rsidR="001E155F" w:rsidRPr="00B82D71" w:rsidRDefault="001E155F" w:rsidP="00420929">
      <w:pPr>
        <w:jc w:val="both"/>
        <w:rPr>
          <w:rFonts w:ascii="Times New Roman" w:hAnsi="Times New Roman" w:cs="Times New Roman"/>
        </w:rPr>
      </w:pPr>
    </w:p>
    <w:p w14:paraId="11A8E7EB" w14:textId="77777777" w:rsidR="005650BD" w:rsidRDefault="005650BD" w:rsidP="00420929">
      <w:pPr>
        <w:jc w:val="both"/>
        <w:rPr>
          <w:rFonts w:ascii="Times New Roman" w:hAnsi="Times New Roman" w:cs="Times New Roman"/>
        </w:rPr>
      </w:pPr>
    </w:p>
    <w:p w14:paraId="5BBEE4D2" w14:textId="0E4ACBFB" w:rsidR="00946FDE" w:rsidRPr="00946FDE" w:rsidRDefault="00946FDE" w:rsidP="00420929">
      <w:pPr>
        <w:jc w:val="both"/>
        <w:rPr>
          <w:rFonts w:ascii="Times New Roman" w:hAnsi="Times New Roman" w:cs="Times New Roman"/>
          <w:b/>
        </w:rPr>
      </w:pPr>
      <w:r w:rsidRPr="00946FDE">
        <w:rPr>
          <w:rFonts w:ascii="Times New Roman" w:hAnsi="Times New Roman" w:cs="Times New Roman"/>
          <w:b/>
        </w:rPr>
        <w:t xml:space="preserve">CONCLUSÃO </w:t>
      </w:r>
    </w:p>
    <w:p w14:paraId="455D29BA" w14:textId="77777777" w:rsidR="00946FDE" w:rsidRPr="00FD41B0" w:rsidRDefault="00946FDE" w:rsidP="00420929">
      <w:pPr>
        <w:jc w:val="both"/>
        <w:rPr>
          <w:rFonts w:ascii="Times New Roman" w:hAnsi="Times New Roman" w:cs="Times New Roman"/>
        </w:rPr>
      </w:pPr>
    </w:p>
    <w:p w14:paraId="0D5AAAD7" w14:textId="77777777" w:rsidR="007467CE" w:rsidRDefault="007467CE" w:rsidP="007467CE">
      <w:pPr>
        <w:jc w:val="both"/>
        <w:rPr>
          <w:rFonts w:ascii="Times New Roman" w:hAnsi="Times New Roman" w:cs="Times New Roman"/>
        </w:rPr>
      </w:pPr>
      <w:r>
        <w:rPr>
          <w:rFonts w:ascii="Times New Roman" w:hAnsi="Times New Roman" w:cs="Times New Roman"/>
        </w:rPr>
        <w:tab/>
        <w:t xml:space="preserve">Os caminhos para a defesa e a efetivação dos direitos humanos na América Latina sempre foram tortuosos. De um lado a realidade aponta para inegáveis avanços, como a criação de um sistema de proteção que passou a interligar todos os sistemas constitucionais latino-americanos, dando vazão para o surgimento de um </w:t>
      </w:r>
      <w:r w:rsidRPr="007467CE">
        <w:rPr>
          <w:rFonts w:ascii="Times New Roman" w:hAnsi="Times New Roman" w:cs="Times New Roman"/>
          <w:i/>
        </w:rPr>
        <w:t>Ius Constitutionale Commune</w:t>
      </w:r>
      <w:r>
        <w:rPr>
          <w:rFonts w:ascii="Times New Roman" w:hAnsi="Times New Roman" w:cs="Times New Roman"/>
        </w:rPr>
        <w:t xml:space="preserve"> que se erige a partir da interconexão das normas constitucionais com a Convenção Americana sobre Direitos Humanos, em que os princípios diretores da democracia, Estado de Direito e direitos humanos embasam uma atuação transformadora das jurisdições. </w:t>
      </w:r>
    </w:p>
    <w:p w14:paraId="22724A34" w14:textId="35704C92" w:rsidR="0027324D" w:rsidRDefault="007467CE" w:rsidP="007467CE">
      <w:pPr>
        <w:ind w:firstLine="720"/>
        <w:jc w:val="both"/>
        <w:rPr>
          <w:rFonts w:ascii="Times New Roman" w:hAnsi="Times New Roman" w:cs="Times New Roman"/>
        </w:rPr>
      </w:pPr>
      <w:r>
        <w:rPr>
          <w:rFonts w:ascii="Times New Roman" w:hAnsi="Times New Roman" w:cs="Times New Roman"/>
        </w:rPr>
        <w:t xml:space="preserve">De outro, é necessário ter em conta que esse </w:t>
      </w:r>
      <w:r w:rsidRPr="007467CE">
        <w:rPr>
          <w:rFonts w:ascii="Times New Roman" w:hAnsi="Times New Roman" w:cs="Times New Roman"/>
          <w:i/>
        </w:rPr>
        <w:t>Ius Commune</w:t>
      </w:r>
      <w:r>
        <w:rPr>
          <w:rFonts w:ascii="Times New Roman" w:hAnsi="Times New Roman" w:cs="Times New Roman"/>
        </w:rPr>
        <w:t xml:space="preserve"> é um processo em formação, </w:t>
      </w:r>
      <w:r w:rsidR="00FD41B0">
        <w:rPr>
          <w:rFonts w:ascii="Times New Roman" w:hAnsi="Times New Roman" w:cs="Times New Roman"/>
        </w:rPr>
        <w:t xml:space="preserve">que não se realiza da </w:t>
      </w:r>
      <w:r>
        <w:rPr>
          <w:rFonts w:ascii="Times New Roman" w:hAnsi="Times New Roman" w:cs="Times New Roman"/>
        </w:rPr>
        <w:t xml:space="preserve">mesma forma em todos os Estados. Se há Estados que procuram dar sinais de avanços na efetivação de seus compromissos, como México, Colômbia e Chile, outros têm adotado um comportamento reticente em relação ao plano internacional, </w:t>
      </w:r>
      <w:r w:rsidR="0027324D">
        <w:rPr>
          <w:rFonts w:ascii="Times New Roman" w:hAnsi="Times New Roman" w:cs="Times New Roman"/>
        </w:rPr>
        <w:t xml:space="preserve">voltando-se a um nacionalismo autoritário e obscurantista, </w:t>
      </w:r>
      <w:r w:rsidR="00CA4D5A">
        <w:rPr>
          <w:rFonts w:ascii="Times New Roman" w:hAnsi="Times New Roman" w:cs="Times New Roman"/>
        </w:rPr>
        <w:t>como parece ser atualmente</w:t>
      </w:r>
      <w:r>
        <w:rPr>
          <w:rFonts w:ascii="Times New Roman" w:hAnsi="Times New Roman" w:cs="Times New Roman"/>
        </w:rPr>
        <w:t xml:space="preserve"> o caso do Brasil. Há ainda casos extremos, </w:t>
      </w:r>
      <w:r w:rsidR="00560C6F">
        <w:rPr>
          <w:rFonts w:ascii="Times New Roman" w:hAnsi="Times New Roman" w:cs="Times New Roman"/>
        </w:rPr>
        <w:t>como a Venezuela, que infelizmente deu às costas a</w:t>
      </w:r>
      <w:r w:rsidR="0027324D">
        <w:rPr>
          <w:rFonts w:ascii="Times New Roman" w:hAnsi="Times New Roman" w:cs="Times New Roman"/>
        </w:rPr>
        <w:t>o</w:t>
      </w:r>
      <w:r w:rsidR="00560C6F">
        <w:rPr>
          <w:rFonts w:ascii="Times New Roman" w:hAnsi="Times New Roman" w:cs="Times New Roman"/>
        </w:rPr>
        <w:t xml:space="preserve"> projeto jurídico latino-americano comum</w:t>
      </w:r>
      <w:r w:rsidR="0027324D">
        <w:rPr>
          <w:rFonts w:ascii="Times New Roman" w:hAnsi="Times New Roman" w:cs="Times New Roman"/>
        </w:rPr>
        <w:t xml:space="preserve">. Se as diferenças nacionais na condução da política e da proteção dos direitos são brutais, a construção de um </w:t>
      </w:r>
      <w:r w:rsidR="0027324D" w:rsidRPr="0027324D">
        <w:rPr>
          <w:rFonts w:ascii="Times New Roman" w:hAnsi="Times New Roman" w:cs="Times New Roman"/>
          <w:i/>
        </w:rPr>
        <w:t>Ius Constitutionale Commune</w:t>
      </w:r>
      <w:r w:rsidR="0027324D">
        <w:rPr>
          <w:rFonts w:ascii="Times New Roman" w:hAnsi="Times New Roman" w:cs="Times New Roman"/>
        </w:rPr>
        <w:t xml:space="preserve"> deve partir de uma proposta harmonizadora, firme no compromisso com o combate à exclusão social, e na defesa da democracia, dos direitos humanos e do Estado de Direito, mas ao mesmo tempo aberta ao diálogo.</w:t>
      </w:r>
    </w:p>
    <w:p w14:paraId="5E3255DD" w14:textId="70ADA712" w:rsidR="0027324D" w:rsidRDefault="0027324D" w:rsidP="007467CE">
      <w:pPr>
        <w:ind w:firstLine="720"/>
        <w:jc w:val="both"/>
        <w:rPr>
          <w:rFonts w:ascii="Times New Roman" w:hAnsi="Times New Roman" w:cs="Times New Roman"/>
        </w:rPr>
      </w:pPr>
      <w:r>
        <w:rPr>
          <w:rFonts w:ascii="Times New Roman" w:hAnsi="Times New Roman" w:cs="Times New Roman"/>
        </w:rPr>
        <w:t xml:space="preserve">É nesse ambiente instável de avanços e retrocessos que a Corte Interamericana surge como um vértice canalizador dos diálogos judiciais necessários tanto à fixação de standards comuns como impulsionador das transformações estruturais necessárias à efetivação dos direitos humanos. </w:t>
      </w:r>
    </w:p>
    <w:p w14:paraId="1EB0070C" w14:textId="5C4360C4" w:rsidR="0027324D" w:rsidRDefault="0027324D" w:rsidP="007467CE">
      <w:pPr>
        <w:ind w:firstLine="720"/>
        <w:jc w:val="both"/>
        <w:rPr>
          <w:rFonts w:ascii="Times New Roman" w:hAnsi="Times New Roman" w:cs="Times New Roman"/>
        </w:rPr>
      </w:pPr>
      <w:r>
        <w:rPr>
          <w:rFonts w:ascii="Times New Roman" w:hAnsi="Times New Roman" w:cs="Times New Roman"/>
        </w:rPr>
        <w:t>Nos espaços em que se consolidou um bloco de constitucionalidade,</w:t>
      </w:r>
      <w:r w:rsidR="007A29F4">
        <w:rPr>
          <w:rFonts w:ascii="Times New Roman" w:hAnsi="Times New Roman" w:cs="Times New Roman"/>
        </w:rPr>
        <w:t xml:space="preserve"> a jurisprudê</w:t>
      </w:r>
      <w:r>
        <w:rPr>
          <w:rFonts w:ascii="Times New Roman" w:hAnsi="Times New Roman" w:cs="Times New Roman"/>
        </w:rPr>
        <w:t xml:space="preserve">ncia da Corte IDH </w:t>
      </w:r>
      <w:r w:rsidR="005521E7">
        <w:rPr>
          <w:rFonts w:ascii="Times New Roman" w:hAnsi="Times New Roman" w:cs="Times New Roman"/>
        </w:rPr>
        <w:t>tem direcionado a atuaçã</w:t>
      </w:r>
      <w:r w:rsidR="00B32A49">
        <w:rPr>
          <w:rFonts w:ascii="Times New Roman" w:hAnsi="Times New Roman" w:cs="Times New Roman"/>
        </w:rPr>
        <w:t>o de</w:t>
      </w:r>
      <w:r w:rsidR="005521E7">
        <w:rPr>
          <w:rFonts w:ascii="Times New Roman" w:hAnsi="Times New Roman" w:cs="Times New Roman"/>
        </w:rPr>
        <w:t xml:space="preserve"> juí</w:t>
      </w:r>
      <w:r w:rsidR="00B32A49">
        <w:rPr>
          <w:rFonts w:ascii="Times New Roman" w:hAnsi="Times New Roman" w:cs="Times New Roman"/>
        </w:rPr>
        <w:t>zes internos</w:t>
      </w:r>
      <w:r w:rsidR="005521E7">
        <w:rPr>
          <w:rFonts w:ascii="Times New Roman" w:hAnsi="Times New Roman" w:cs="Times New Roman"/>
        </w:rPr>
        <w:t xml:space="preserve"> tal como um precedente internacional que não obriga a aceitação cega, mas à consideração crítica e argumentada, capaz de reafirmar o compromisso dos Estados com os tratados regionais de direitos humanos.</w:t>
      </w:r>
      <w:r w:rsidR="00B32A49">
        <w:rPr>
          <w:rFonts w:ascii="Times New Roman" w:hAnsi="Times New Roman" w:cs="Times New Roman"/>
        </w:rPr>
        <w:t xml:space="preserve"> Se o papel harmonizador da Corte IDH resta facilitado nos ambientes em que o bloco de constitucionalidade (ou mesmo de supralegalidade) assume contornos mais nítidos, é preciso considerar que a construção dialogada de um verdadeiro </w:t>
      </w:r>
      <w:r w:rsidR="00B32A49" w:rsidRPr="00806305">
        <w:rPr>
          <w:rFonts w:ascii="Times New Roman" w:hAnsi="Times New Roman" w:cs="Times New Roman"/>
          <w:i/>
        </w:rPr>
        <w:t>Ius Constitutionale Commune</w:t>
      </w:r>
      <w:r w:rsidR="00B32A49">
        <w:rPr>
          <w:rFonts w:ascii="Times New Roman" w:hAnsi="Times New Roman" w:cs="Times New Roman"/>
        </w:rPr>
        <w:t xml:space="preserve"> exige uma preocupação com todos os Estados, e todos os povos, todas as vítimas de violações de direitos humanos. O intenso pluralismo jurídico presente na América Latina, e os arroubos populistas e antidemocráticos, constituem desafios prementes para esse projeto, e exigem da Corte IDH uma atuação firme e cautelosa.</w:t>
      </w:r>
    </w:p>
    <w:p w14:paraId="3D2664F9" w14:textId="1FE421A9" w:rsidR="00FD41B0" w:rsidRDefault="00B32A49" w:rsidP="007467CE">
      <w:pPr>
        <w:ind w:firstLine="720"/>
        <w:jc w:val="both"/>
        <w:rPr>
          <w:rFonts w:ascii="Times New Roman" w:hAnsi="Times New Roman" w:cs="Times New Roman"/>
        </w:rPr>
      </w:pPr>
      <w:r>
        <w:rPr>
          <w:rFonts w:ascii="Times New Roman" w:hAnsi="Times New Roman" w:cs="Times New Roman"/>
        </w:rPr>
        <w:t xml:space="preserve">Nesse ambiente, a função transformadora da Corte IDH, que materializa a própria essência do </w:t>
      </w:r>
      <w:r w:rsidRPr="00B32A49">
        <w:rPr>
          <w:rFonts w:ascii="Times New Roman" w:hAnsi="Times New Roman" w:cs="Times New Roman"/>
          <w:i/>
        </w:rPr>
        <w:t>Ius Constitutionale Commune</w:t>
      </w:r>
      <w:r>
        <w:rPr>
          <w:rFonts w:ascii="Times New Roman" w:hAnsi="Times New Roman" w:cs="Times New Roman"/>
        </w:rPr>
        <w:t>, é por certo a mais desafiadora. A América Latina tem um histórico muito pró</w:t>
      </w:r>
      <w:r w:rsidR="007A29F4">
        <w:rPr>
          <w:rFonts w:ascii="Times New Roman" w:hAnsi="Times New Roman" w:cs="Times New Roman"/>
        </w:rPr>
        <w:t>p</w:t>
      </w:r>
      <w:r>
        <w:rPr>
          <w:rFonts w:ascii="Times New Roman" w:hAnsi="Times New Roman" w:cs="Times New Roman"/>
        </w:rPr>
        <w:t xml:space="preserve">rio de violações de direitos humanos que conclama respostas </w:t>
      </w:r>
      <w:r>
        <w:rPr>
          <w:rFonts w:ascii="Times New Roman" w:hAnsi="Times New Roman" w:cs="Times New Roman"/>
        </w:rPr>
        <w:lastRenderedPageBreak/>
        <w:t>atentas aos contextos políticos, sociais e econômicos dos Estados</w:t>
      </w:r>
      <w:r w:rsidR="00CC458C">
        <w:rPr>
          <w:rFonts w:ascii="Times New Roman" w:hAnsi="Times New Roman" w:cs="Times New Roman"/>
        </w:rPr>
        <w:t>. Mesmo diante de uma estrutura relativamente pequena</w:t>
      </w:r>
      <w:r w:rsidR="00FD61B1">
        <w:rPr>
          <w:rFonts w:ascii="Times New Roman" w:hAnsi="Times New Roman" w:cs="Times New Roman"/>
        </w:rPr>
        <w:t xml:space="preserve"> (são apenas sete magistrados)</w:t>
      </w:r>
      <w:r w:rsidR="00CC458C">
        <w:rPr>
          <w:rFonts w:ascii="Times New Roman" w:hAnsi="Times New Roman" w:cs="Times New Roman"/>
        </w:rPr>
        <w:t xml:space="preserve">, e de um orçamento </w:t>
      </w:r>
      <w:r w:rsidR="00DE6BD2">
        <w:rPr>
          <w:rFonts w:ascii="Times New Roman" w:hAnsi="Times New Roman" w:cs="Times New Roman"/>
        </w:rPr>
        <w:t>limitado</w:t>
      </w:r>
      <w:r w:rsidR="00FD61B1">
        <w:rPr>
          <w:rFonts w:ascii="Times New Roman" w:hAnsi="Times New Roman" w:cs="Times New Roman"/>
        </w:rPr>
        <w:t xml:space="preserve"> (do qual apenas 58% é coberto pela OEA, enquanto 42% provém de doações)</w:t>
      </w:r>
      <w:r w:rsidR="00CC458C">
        <w:rPr>
          <w:rStyle w:val="FootnoteReference"/>
          <w:rFonts w:ascii="Times New Roman" w:hAnsi="Times New Roman" w:cs="Times New Roman"/>
        </w:rPr>
        <w:footnoteReference w:id="146"/>
      </w:r>
      <w:r w:rsidR="00CC458C">
        <w:rPr>
          <w:rFonts w:ascii="Times New Roman" w:hAnsi="Times New Roman" w:cs="Times New Roman"/>
        </w:rPr>
        <w:t xml:space="preserve">, a Corte IDH tem buscado fornecer soluções estratégicas que permitam os Estados rever suas estruturas a partir das decisões adotadas tanto nos processos contenciosos </w:t>
      </w:r>
      <w:r w:rsidR="00FD61B1">
        <w:rPr>
          <w:rFonts w:ascii="Times New Roman" w:hAnsi="Times New Roman" w:cs="Times New Roman"/>
        </w:rPr>
        <w:t xml:space="preserve">como nas opiniões consultivas. É certo que decisões judiciais internacionais não têm o condão, sozinhas, de promover profundas mudanças sociais, mas é inegável que a jurisprudência da Corte IDH, pela sua consistência e persistência, provoca os Estados destinatários das condenações a adotar medidas concretas. Para além do pagamento de indenizações, verificou-se que atos simbólicos de reconhecimento de violações, </w:t>
      </w:r>
      <w:r w:rsidR="00EA3811">
        <w:rPr>
          <w:rFonts w:ascii="Times New Roman" w:hAnsi="Times New Roman" w:cs="Times New Roman"/>
        </w:rPr>
        <w:t xml:space="preserve">e </w:t>
      </w:r>
      <w:r w:rsidR="00FD61B1">
        <w:rPr>
          <w:rFonts w:ascii="Times New Roman" w:hAnsi="Times New Roman" w:cs="Times New Roman"/>
        </w:rPr>
        <w:t xml:space="preserve">mudanças constitucionais e legislativas, </w:t>
      </w:r>
      <w:r w:rsidR="00EA3811">
        <w:rPr>
          <w:rFonts w:ascii="Times New Roman" w:hAnsi="Times New Roman" w:cs="Times New Roman"/>
        </w:rPr>
        <w:t>dentre outras medidas, têm de fato concretizado a função transformadora desencadeada pela Corte supranacional.</w:t>
      </w:r>
    </w:p>
    <w:p w14:paraId="2749C62A" w14:textId="2EF1EA65" w:rsidR="00D72CFD" w:rsidRDefault="00EA3811" w:rsidP="00EE07D2">
      <w:pPr>
        <w:ind w:firstLine="720"/>
        <w:jc w:val="both"/>
        <w:rPr>
          <w:rFonts w:ascii="Times New Roman" w:hAnsi="Times New Roman" w:cs="Times New Roman"/>
        </w:rPr>
      </w:pPr>
      <w:r>
        <w:rPr>
          <w:rFonts w:ascii="Times New Roman" w:hAnsi="Times New Roman" w:cs="Times New Roman"/>
        </w:rPr>
        <w:t xml:space="preserve">Tal função, contudo, não pode investir a Corte IDH em um protagonismo isolado, mas deve precisamente impulsioná-la para um diálogo constante – com as cortes constitucionais dos Estados, e, especialmente, com a sociedade civil. Afinal, em última instância, é para o cidadão latino-americano – em toda a sua variedade e complexidade – que deve se dirigir a jurisprudência em defesa dos direitos humanos. </w:t>
      </w:r>
    </w:p>
    <w:p w14:paraId="683DEE3C" w14:textId="77777777" w:rsidR="0049768A" w:rsidRPr="00FD41B0" w:rsidRDefault="0049768A" w:rsidP="00EE07D2">
      <w:pPr>
        <w:ind w:firstLine="720"/>
        <w:jc w:val="both"/>
        <w:rPr>
          <w:rFonts w:ascii="Times New Roman" w:hAnsi="Times New Roman" w:cs="Times New Roman"/>
        </w:rPr>
      </w:pPr>
    </w:p>
    <w:p w14:paraId="66801859" w14:textId="77777777" w:rsidR="00946FDE" w:rsidRDefault="00946FDE" w:rsidP="00420929">
      <w:pPr>
        <w:jc w:val="both"/>
        <w:rPr>
          <w:rFonts w:ascii="Times New Roman" w:hAnsi="Times New Roman" w:cs="Times New Roman"/>
          <w:b/>
        </w:rPr>
      </w:pPr>
    </w:p>
    <w:p w14:paraId="57EF0F41" w14:textId="058F823E" w:rsidR="00B233FB" w:rsidRPr="001472DF" w:rsidRDefault="00B233FB" w:rsidP="00B233FB">
      <w:pPr>
        <w:jc w:val="center"/>
        <w:rPr>
          <w:rFonts w:ascii="Times New Roman" w:hAnsi="Times New Roman" w:cs="Times New Roman"/>
          <w:b/>
          <w:i/>
          <w:lang w:val="en-US"/>
        </w:rPr>
      </w:pPr>
      <w:r w:rsidRPr="001472DF">
        <w:rPr>
          <w:rFonts w:ascii="Times New Roman" w:hAnsi="Times New Roman" w:cs="Times New Roman"/>
          <w:b/>
          <w:i/>
          <w:lang w:val="en-US"/>
        </w:rPr>
        <w:t>THE ROLE PLAYED BY THE INTER-AMERICAN COURT OF HUMAN RIGHTS IN THE DIALOGICAL CONSTRUCTION OF AN IUS CONSTITUTIONALE COMMUNE IN LATIN AMERICA</w:t>
      </w:r>
    </w:p>
    <w:p w14:paraId="09290EF4" w14:textId="77777777" w:rsidR="00B233FB" w:rsidRPr="00B233FB" w:rsidRDefault="00B233FB" w:rsidP="00B233FB">
      <w:pPr>
        <w:jc w:val="center"/>
        <w:rPr>
          <w:rFonts w:ascii="Times New Roman" w:hAnsi="Times New Roman" w:cs="Times New Roman"/>
          <w:lang w:val="en-US"/>
        </w:rPr>
      </w:pPr>
    </w:p>
    <w:p w14:paraId="072F4E0F" w14:textId="77777777" w:rsidR="00B233FB" w:rsidRPr="00B233FB" w:rsidRDefault="00B233FB" w:rsidP="00B233FB">
      <w:pPr>
        <w:jc w:val="center"/>
        <w:rPr>
          <w:rFonts w:ascii="Times New Roman" w:hAnsi="Times New Roman" w:cs="Times New Roman"/>
          <w:lang w:val="en-US"/>
        </w:rPr>
      </w:pPr>
    </w:p>
    <w:p w14:paraId="2C2BCFC4" w14:textId="77777777" w:rsidR="001472DF" w:rsidRDefault="00B233FB" w:rsidP="001472DF">
      <w:pPr>
        <w:jc w:val="both"/>
        <w:rPr>
          <w:rFonts w:ascii="Times New Roman" w:hAnsi="Times New Roman" w:cs="Times New Roman"/>
          <w:lang w:val="en-US"/>
        </w:rPr>
      </w:pPr>
      <w:r w:rsidRPr="001472DF">
        <w:rPr>
          <w:rFonts w:ascii="Times New Roman" w:hAnsi="Times New Roman" w:cs="Times New Roman"/>
          <w:b/>
          <w:i/>
        </w:rPr>
        <w:t>ABSTRACT:</w:t>
      </w:r>
      <w:r w:rsidRPr="001472DF">
        <w:rPr>
          <w:rFonts w:ascii="Times New Roman" w:hAnsi="Times New Roman" w:cs="Times New Roman"/>
          <w:i/>
        </w:rPr>
        <w:t xml:space="preserve"> </w:t>
      </w:r>
      <w:r w:rsidR="001472DF" w:rsidRPr="001472DF">
        <w:rPr>
          <w:rFonts w:ascii="Times New Roman" w:hAnsi="Times New Roman" w:cs="Times New Roman"/>
          <w:i/>
          <w:lang w:val="en-US"/>
        </w:rPr>
        <w:t>This article aims to assess the role played by the Inter-American Court of Human Rights in the construction of an Ius Constitutionale Commune in Latin America, through bibliographic research of jurisprudence and both domestic and international case-law. In order to do so, it analyses the legal project of a common law built on the interconnection of constitutional and conventional human rights norms, which provides the legal basis for a transformative constitutionalism, committed both in national and regional levels with social inclusion and the realization of the principles of democracy, human rights and rule of law. The institutional design that evolves from this interaction is grounded on horizontal and mainly vertical judicial dialogues, in which the Inter-American Court acts as a vertex channeling the senses of human rights and promoting its concretization. This research concludes that, especially by the dialogue it maintains with national courts, the Inter-American Court performs two capital functions: (i) harmonizing the multilevel legal pluralism that emerges from the interconnection between constitutional and regional systems, in order to build human rights common standards; (ii) boosting social transformation through its sentences, so the constitutional and conventional commitments made by the states can be effective. By acknowledging such functions, legal researchers and human rights defenders may explore this jurisdictional field in order to promote consistency and continuity to human rights realization</w:t>
      </w:r>
      <w:r w:rsidR="001472DF">
        <w:rPr>
          <w:rFonts w:ascii="Times New Roman" w:hAnsi="Times New Roman" w:cs="Times New Roman"/>
          <w:lang w:val="en-US"/>
        </w:rPr>
        <w:t xml:space="preserve">.   </w:t>
      </w:r>
    </w:p>
    <w:p w14:paraId="67A3DC08" w14:textId="77777777" w:rsidR="00B233FB" w:rsidRPr="001472DF" w:rsidRDefault="00B233FB" w:rsidP="00B233FB">
      <w:pPr>
        <w:jc w:val="both"/>
        <w:rPr>
          <w:rFonts w:ascii="Times New Roman" w:hAnsi="Times New Roman" w:cs="Times New Roman"/>
          <w:i/>
          <w:lang w:val="en-US"/>
        </w:rPr>
      </w:pPr>
    </w:p>
    <w:p w14:paraId="143CFD8B" w14:textId="6BF6850B" w:rsidR="00B233FB" w:rsidRPr="001472DF" w:rsidRDefault="001472DF" w:rsidP="00B233FB">
      <w:pPr>
        <w:jc w:val="both"/>
        <w:rPr>
          <w:rFonts w:ascii="Times New Roman" w:hAnsi="Times New Roman" w:cs="Times New Roman"/>
          <w:lang w:val="en-US"/>
        </w:rPr>
      </w:pPr>
      <w:r w:rsidRPr="001472DF">
        <w:rPr>
          <w:rFonts w:ascii="Times New Roman" w:hAnsi="Times New Roman" w:cs="Times New Roman"/>
          <w:b/>
          <w:i/>
          <w:lang w:val="en-US"/>
        </w:rPr>
        <w:t>KEY-WORDS</w:t>
      </w:r>
      <w:r w:rsidR="00B233FB" w:rsidRPr="001472DF">
        <w:rPr>
          <w:rFonts w:ascii="Times New Roman" w:hAnsi="Times New Roman" w:cs="Times New Roman"/>
          <w:b/>
          <w:i/>
          <w:lang w:val="en-US"/>
        </w:rPr>
        <w:t>:</w:t>
      </w:r>
      <w:r w:rsidR="00B233FB" w:rsidRPr="001472DF">
        <w:rPr>
          <w:rFonts w:ascii="Times New Roman" w:hAnsi="Times New Roman" w:cs="Times New Roman"/>
          <w:i/>
          <w:lang w:val="en-US"/>
        </w:rPr>
        <w:t xml:space="preserve"> Ius Constitutionale Commune; </w:t>
      </w:r>
      <w:r w:rsidRPr="001472DF">
        <w:rPr>
          <w:rFonts w:ascii="Times New Roman" w:hAnsi="Times New Roman" w:cs="Times New Roman"/>
          <w:i/>
          <w:lang w:val="en-US"/>
        </w:rPr>
        <w:t>Human Rights</w:t>
      </w:r>
      <w:r w:rsidR="00B233FB" w:rsidRPr="001472DF">
        <w:rPr>
          <w:rFonts w:ascii="Times New Roman" w:hAnsi="Times New Roman" w:cs="Times New Roman"/>
          <w:i/>
          <w:lang w:val="en-US"/>
        </w:rPr>
        <w:t xml:space="preserve">; </w:t>
      </w:r>
      <w:r w:rsidRPr="001472DF">
        <w:rPr>
          <w:rFonts w:ascii="Times New Roman" w:hAnsi="Times New Roman" w:cs="Times New Roman"/>
          <w:i/>
          <w:lang w:val="en-US"/>
        </w:rPr>
        <w:t>Inter-American Court of Human Rights</w:t>
      </w:r>
      <w:r w:rsidR="00B233FB" w:rsidRPr="001472DF">
        <w:rPr>
          <w:rFonts w:ascii="Times New Roman" w:hAnsi="Times New Roman" w:cs="Times New Roman"/>
          <w:i/>
          <w:lang w:val="en-US"/>
        </w:rPr>
        <w:t xml:space="preserve">; </w:t>
      </w:r>
      <w:r w:rsidRPr="001472DF">
        <w:rPr>
          <w:rFonts w:ascii="Times New Roman" w:hAnsi="Times New Roman" w:cs="Times New Roman"/>
          <w:i/>
          <w:lang w:val="en-US"/>
        </w:rPr>
        <w:t>Judicial Dialogues</w:t>
      </w:r>
      <w:r w:rsidR="00B233FB" w:rsidRPr="001472DF">
        <w:rPr>
          <w:rFonts w:ascii="Times New Roman" w:hAnsi="Times New Roman" w:cs="Times New Roman"/>
          <w:i/>
          <w:lang w:val="en-US"/>
        </w:rPr>
        <w:t xml:space="preserve">; </w:t>
      </w:r>
      <w:r w:rsidRPr="001472DF">
        <w:rPr>
          <w:rFonts w:ascii="Times New Roman" w:hAnsi="Times New Roman" w:cs="Times New Roman"/>
          <w:i/>
          <w:lang w:val="en-US"/>
        </w:rPr>
        <w:t>Transformative Constitutionalism</w:t>
      </w:r>
      <w:r w:rsidR="00B233FB" w:rsidRPr="001472DF">
        <w:rPr>
          <w:rFonts w:ascii="Times New Roman" w:hAnsi="Times New Roman" w:cs="Times New Roman"/>
          <w:lang w:val="en-US"/>
        </w:rPr>
        <w:t xml:space="preserve">. </w:t>
      </w:r>
    </w:p>
    <w:p w14:paraId="5B330910" w14:textId="77777777" w:rsidR="00946FDE" w:rsidRPr="001472DF" w:rsidRDefault="00946FDE" w:rsidP="00420929">
      <w:pPr>
        <w:jc w:val="both"/>
        <w:rPr>
          <w:rFonts w:ascii="Times New Roman" w:hAnsi="Times New Roman" w:cs="Times New Roman"/>
          <w:b/>
          <w:lang w:val="en-US"/>
        </w:rPr>
      </w:pPr>
    </w:p>
    <w:p w14:paraId="02D780C9" w14:textId="77777777" w:rsidR="00B233FB" w:rsidRDefault="00B233FB" w:rsidP="00420929">
      <w:pPr>
        <w:jc w:val="both"/>
        <w:rPr>
          <w:rFonts w:ascii="Times New Roman" w:hAnsi="Times New Roman" w:cs="Times New Roman"/>
          <w:b/>
        </w:rPr>
      </w:pPr>
    </w:p>
    <w:p w14:paraId="46518197" w14:textId="77777777" w:rsidR="00CB6E14" w:rsidRDefault="00CB6E14" w:rsidP="00420929">
      <w:pPr>
        <w:jc w:val="both"/>
        <w:rPr>
          <w:rFonts w:ascii="Times New Roman" w:hAnsi="Times New Roman" w:cs="Times New Roman"/>
          <w:b/>
        </w:rPr>
      </w:pPr>
    </w:p>
    <w:p w14:paraId="3FE5548C" w14:textId="77777777" w:rsidR="00CB6E14" w:rsidRPr="00946FDE" w:rsidRDefault="00CB6E14" w:rsidP="00420929">
      <w:pPr>
        <w:jc w:val="both"/>
        <w:rPr>
          <w:rFonts w:ascii="Times New Roman" w:hAnsi="Times New Roman" w:cs="Times New Roman"/>
          <w:b/>
        </w:rPr>
      </w:pPr>
    </w:p>
    <w:p w14:paraId="123C5099" w14:textId="6FED8A2A" w:rsidR="00820115" w:rsidRPr="00946FDE" w:rsidRDefault="00820115" w:rsidP="00420929">
      <w:pPr>
        <w:jc w:val="both"/>
        <w:rPr>
          <w:rFonts w:ascii="Times New Roman" w:hAnsi="Times New Roman" w:cs="Times New Roman"/>
          <w:b/>
        </w:rPr>
      </w:pPr>
      <w:r w:rsidRPr="00946FDE">
        <w:rPr>
          <w:rFonts w:ascii="Times New Roman" w:hAnsi="Times New Roman" w:cs="Times New Roman"/>
          <w:b/>
        </w:rPr>
        <w:t>REFERÊNCIAS</w:t>
      </w:r>
    </w:p>
    <w:p w14:paraId="16B11CD0" w14:textId="77777777" w:rsidR="00705242" w:rsidRPr="005503D6" w:rsidRDefault="00705242" w:rsidP="00420929">
      <w:pPr>
        <w:pStyle w:val="FootnoteText"/>
        <w:jc w:val="both"/>
        <w:rPr>
          <w:rFonts w:ascii="Times New Roman" w:hAnsi="Times New Roman" w:cs="Times New Roman"/>
        </w:rPr>
      </w:pPr>
    </w:p>
    <w:p w14:paraId="23AB0ABE" w14:textId="77777777" w:rsidR="00705242" w:rsidRPr="005503D6" w:rsidRDefault="00705242" w:rsidP="00420929">
      <w:pPr>
        <w:pStyle w:val="FootnoteText"/>
        <w:jc w:val="both"/>
        <w:rPr>
          <w:rFonts w:ascii="Times New Roman" w:hAnsi="Times New Roman" w:cs="Times New Roman"/>
        </w:rPr>
      </w:pPr>
      <w:r w:rsidRPr="005503D6">
        <w:rPr>
          <w:rFonts w:ascii="Times New Roman" w:hAnsi="Times New Roman" w:cs="Times New Roman"/>
        </w:rPr>
        <w:t xml:space="preserve">ACOSTA ALVARADO, Paola Andrea. </w:t>
      </w:r>
      <w:r w:rsidRPr="002B0178">
        <w:rPr>
          <w:rFonts w:ascii="Times New Roman" w:hAnsi="Times New Roman" w:cs="Times New Roman"/>
          <w:lang w:val="en-US"/>
        </w:rPr>
        <w:t xml:space="preserve">The Latin-American Judicial Dialogue: a Two-Way Street Towards Effective Protection. </w:t>
      </w:r>
      <w:r w:rsidRPr="005503D6">
        <w:rPr>
          <w:rFonts w:ascii="Times New Roman" w:hAnsi="Times New Roman" w:cs="Times New Roman"/>
        </w:rPr>
        <w:t xml:space="preserve">In HAECK, Yves; RUIZ-CHIRIMBOGA, Oswaldo; BURBANO-HERRERA, Clara (ed.). </w:t>
      </w:r>
      <w:r w:rsidRPr="002B0178">
        <w:rPr>
          <w:rFonts w:ascii="Times New Roman" w:hAnsi="Times New Roman" w:cs="Times New Roman"/>
          <w:i/>
          <w:lang w:val="en-US"/>
        </w:rPr>
        <w:t>The Inter-American Court of Human Rights:</w:t>
      </w:r>
      <w:r w:rsidRPr="002B0178">
        <w:rPr>
          <w:rFonts w:ascii="Times New Roman" w:hAnsi="Times New Roman" w:cs="Times New Roman"/>
          <w:lang w:val="en-US"/>
        </w:rPr>
        <w:t xml:space="preserve"> Theory and Practice, Present and Future. </w:t>
      </w:r>
      <w:r w:rsidRPr="005503D6">
        <w:rPr>
          <w:rFonts w:ascii="Times New Roman" w:hAnsi="Times New Roman" w:cs="Times New Roman"/>
        </w:rPr>
        <w:t>Cambridge: Intersencia, 2015. p. 693-711.</w:t>
      </w:r>
    </w:p>
    <w:p w14:paraId="73C7D0D2" w14:textId="77777777" w:rsidR="00705242" w:rsidRPr="005503D6" w:rsidRDefault="00705242" w:rsidP="00420929">
      <w:pPr>
        <w:pStyle w:val="FootnoteText"/>
        <w:jc w:val="both"/>
        <w:rPr>
          <w:rFonts w:ascii="Times New Roman" w:hAnsi="Times New Roman" w:cs="Times New Roman"/>
        </w:rPr>
      </w:pPr>
    </w:p>
    <w:p w14:paraId="67ECD07D" w14:textId="77777777" w:rsidR="000F4898" w:rsidRPr="005503D6" w:rsidRDefault="000F4898" w:rsidP="00420929">
      <w:pPr>
        <w:pStyle w:val="FootnoteText"/>
        <w:jc w:val="both"/>
        <w:rPr>
          <w:rFonts w:ascii="Times New Roman" w:hAnsi="Times New Roman" w:cs="Times New Roman"/>
        </w:rPr>
      </w:pPr>
      <w:r w:rsidRPr="005503D6">
        <w:rPr>
          <w:rFonts w:ascii="Times New Roman" w:hAnsi="Times New Roman" w:cs="Times New Roman"/>
        </w:rPr>
        <w:t xml:space="preserve">AGUILAR CAVALLO, Gonzalo. El diálogo judicial multinível. In: MEZZETTI, Luca; CONCI, Luiz Guilherme Arcaro (coord.). </w:t>
      </w:r>
      <w:r w:rsidRPr="005503D6">
        <w:rPr>
          <w:rFonts w:ascii="Times New Roman" w:hAnsi="Times New Roman" w:cs="Times New Roman"/>
          <w:i/>
        </w:rPr>
        <w:t>Diálogo entre cortes</w:t>
      </w:r>
      <w:r w:rsidRPr="005503D6">
        <w:rPr>
          <w:rFonts w:ascii="Times New Roman" w:hAnsi="Times New Roman" w:cs="Times New Roman"/>
        </w:rPr>
        <w:t>: a jurisprudência nacional e internacional como fator de aproximação de ordens jurídicas em um mundo cosmopolita. Brasília: OAB, Conselho Federal, 2015.</w:t>
      </w:r>
    </w:p>
    <w:p w14:paraId="57231C5D" w14:textId="77777777" w:rsidR="00705242" w:rsidRPr="005503D6" w:rsidRDefault="00705242" w:rsidP="00420929">
      <w:pPr>
        <w:widowControl w:val="0"/>
        <w:autoSpaceDE w:val="0"/>
        <w:autoSpaceDN w:val="0"/>
        <w:adjustRightInd w:val="0"/>
        <w:jc w:val="both"/>
        <w:rPr>
          <w:rFonts w:ascii="Times New Roman" w:hAnsi="Times New Roman" w:cs="Times New Roman"/>
        </w:rPr>
      </w:pPr>
    </w:p>
    <w:p w14:paraId="797B7A86" w14:textId="4B5BBDC1" w:rsidR="00705242" w:rsidRPr="002B0178" w:rsidRDefault="00705242" w:rsidP="00420929">
      <w:pPr>
        <w:widowControl w:val="0"/>
        <w:autoSpaceDE w:val="0"/>
        <w:autoSpaceDN w:val="0"/>
        <w:adjustRightInd w:val="0"/>
        <w:jc w:val="both"/>
        <w:rPr>
          <w:rFonts w:ascii="Times New Roman" w:hAnsi="Times New Roman" w:cs="Times New Roman"/>
        </w:rPr>
      </w:pPr>
      <w:r w:rsidRPr="005503D6">
        <w:rPr>
          <w:rFonts w:ascii="Times New Roman" w:hAnsi="Times New Roman" w:cs="Times New Roman"/>
        </w:rPr>
        <w:t xml:space="preserve">ARANGO, Rodolfo. </w:t>
      </w:r>
      <w:r w:rsidRPr="002B0178">
        <w:rPr>
          <w:rFonts w:ascii="Times New Roman" w:hAnsi="Times New Roman" w:cs="Times New Roman"/>
        </w:rPr>
        <w:t xml:space="preserve">Fundamentos del </w:t>
      </w:r>
      <w:r w:rsidRPr="002B0178">
        <w:rPr>
          <w:rFonts w:ascii="Times New Roman" w:hAnsi="Times New Roman" w:cs="Times New Roman"/>
          <w:i/>
          <w:iCs/>
        </w:rPr>
        <w:t>Ius Constitutionale Commune</w:t>
      </w:r>
      <w:r w:rsidRPr="002B0178">
        <w:rPr>
          <w:rFonts w:ascii="Times New Roman" w:hAnsi="Times New Roman" w:cs="Times New Roman"/>
          <w:iCs/>
        </w:rPr>
        <w:t xml:space="preserve"> </w:t>
      </w:r>
      <w:r w:rsidRPr="002B0178">
        <w:rPr>
          <w:rFonts w:ascii="Times New Roman" w:hAnsi="Times New Roman" w:cs="Times New Roman"/>
        </w:rPr>
        <w:t xml:space="preserve">en América Latina. In: von BOGDANDY, Armin; MORALES ANTONIAZZI, Mariela; FERRER MAC-GREGOR, Eduardo. </w:t>
      </w:r>
      <w:r w:rsidRPr="002B0178">
        <w:rPr>
          <w:rFonts w:ascii="Times New Roman" w:hAnsi="Times New Roman" w:cs="Times New Roman"/>
          <w:i/>
        </w:rPr>
        <w:t>Ius Constitutionale Commune en América Latina</w:t>
      </w:r>
      <w:r w:rsidRPr="002B0178">
        <w:rPr>
          <w:rFonts w:ascii="Times New Roman" w:hAnsi="Times New Roman" w:cs="Times New Roman"/>
        </w:rPr>
        <w:t>: textos básicos para su compreensión. México: Instituto de Estudios Constitucionales  del Estado de Querétaro, Max Planck Institute for Comparative Public Law and Internationa</w:t>
      </w:r>
      <w:r w:rsidR="00C03487" w:rsidRPr="002B0178">
        <w:rPr>
          <w:rFonts w:ascii="Times New Roman" w:hAnsi="Times New Roman" w:cs="Times New Roman"/>
        </w:rPr>
        <w:t>l Law,  2017. p. 179-192</w:t>
      </w:r>
      <w:r w:rsidRPr="002B0178">
        <w:rPr>
          <w:rFonts w:ascii="Times New Roman" w:hAnsi="Times New Roman" w:cs="Times New Roman"/>
        </w:rPr>
        <w:t>.</w:t>
      </w:r>
    </w:p>
    <w:p w14:paraId="2A66C34B" w14:textId="77777777" w:rsidR="00C03487" w:rsidRPr="002B0178" w:rsidRDefault="00C03487" w:rsidP="00420929">
      <w:pPr>
        <w:widowControl w:val="0"/>
        <w:autoSpaceDE w:val="0"/>
        <w:autoSpaceDN w:val="0"/>
        <w:adjustRightInd w:val="0"/>
        <w:jc w:val="both"/>
        <w:rPr>
          <w:rFonts w:ascii="Times New Roman" w:hAnsi="Times New Roman" w:cs="Times New Roman"/>
        </w:rPr>
      </w:pPr>
    </w:p>
    <w:p w14:paraId="2AC12099" w14:textId="77777777" w:rsidR="00C03487" w:rsidRPr="005503D6" w:rsidRDefault="00C03487" w:rsidP="00420929">
      <w:pPr>
        <w:pStyle w:val="FootnoteText"/>
        <w:jc w:val="both"/>
        <w:rPr>
          <w:rFonts w:ascii="Times New Roman" w:hAnsi="Times New Roman" w:cs="Times New Roman"/>
        </w:rPr>
      </w:pPr>
      <w:r w:rsidRPr="005503D6">
        <w:rPr>
          <w:rFonts w:ascii="Times New Roman" w:hAnsi="Times New Roman" w:cs="Times New Roman"/>
        </w:rPr>
        <w:t xml:space="preserve">ARAUJO, Luis Claudio Martins de. </w:t>
      </w:r>
      <w:r w:rsidRPr="005503D6">
        <w:rPr>
          <w:rFonts w:ascii="Times New Roman" w:hAnsi="Times New Roman" w:cs="Times New Roman"/>
          <w:i/>
        </w:rPr>
        <w:t>Constitucionalismo Transfronteiriço, Direitos Humanos e Direitos Fundamentais</w:t>
      </w:r>
      <w:r w:rsidRPr="005503D6">
        <w:rPr>
          <w:rFonts w:ascii="Times New Roman" w:hAnsi="Times New Roman" w:cs="Times New Roman"/>
        </w:rPr>
        <w:t>: a consistência argumentativa da jurisdição de garantias nos diálogos transnacionais. Rio de Janeiro: Lumen Juris, 2017.</w:t>
      </w:r>
    </w:p>
    <w:p w14:paraId="3A05385C" w14:textId="77777777" w:rsidR="00BD6DCD" w:rsidRPr="002B0178" w:rsidRDefault="00BD6DCD" w:rsidP="00420929">
      <w:pPr>
        <w:widowControl w:val="0"/>
        <w:autoSpaceDE w:val="0"/>
        <w:autoSpaceDN w:val="0"/>
        <w:adjustRightInd w:val="0"/>
        <w:jc w:val="both"/>
        <w:rPr>
          <w:rFonts w:ascii="Times New Roman" w:hAnsi="Times New Roman" w:cs="Times New Roman"/>
        </w:rPr>
      </w:pPr>
    </w:p>
    <w:p w14:paraId="754FE6BA" w14:textId="3CC0F570" w:rsidR="00BD6DCD" w:rsidRPr="005503D6" w:rsidRDefault="00BD6DCD" w:rsidP="00420929">
      <w:pPr>
        <w:pStyle w:val="FootnoteText"/>
        <w:jc w:val="both"/>
        <w:rPr>
          <w:rFonts w:ascii="Times New Roman" w:hAnsi="Times New Roman" w:cs="Times New Roman"/>
        </w:rPr>
      </w:pPr>
      <w:r w:rsidRPr="002B0178">
        <w:rPr>
          <w:rFonts w:ascii="Times New Roman" w:hAnsi="Times New Roman" w:cs="Times New Roman"/>
          <w:color w:val="1F1C1D"/>
        </w:rPr>
        <w:t xml:space="preserve">BIDART CAMPOS, Germán J. </w:t>
      </w:r>
      <w:r w:rsidRPr="002B0178">
        <w:rPr>
          <w:rFonts w:ascii="Times New Roman" w:hAnsi="Times New Roman" w:cs="Times New Roman"/>
          <w:i/>
          <w:color w:val="1F1C1D"/>
        </w:rPr>
        <w:t>El derecho de la Constitución y su fuerza normativa</w:t>
      </w:r>
      <w:r w:rsidRPr="002B0178">
        <w:rPr>
          <w:rFonts w:ascii="Times New Roman" w:hAnsi="Times New Roman" w:cs="Times New Roman"/>
          <w:color w:val="1F1C1D"/>
        </w:rPr>
        <w:t>. Buenos Aires: Sociedad Anónima Editora Comercial, Industrial y Financiera, 1995.</w:t>
      </w:r>
    </w:p>
    <w:p w14:paraId="030737B0" w14:textId="77777777" w:rsidR="000F4898" w:rsidRPr="005503D6" w:rsidRDefault="000F4898" w:rsidP="00420929">
      <w:pPr>
        <w:pStyle w:val="FootnoteText"/>
        <w:jc w:val="both"/>
        <w:rPr>
          <w:rFonts w:ascii="Times New Roman" w:hAnsi="Times New Roman" w:cs="Times New Roman"/>
        </w:rPr>
      </w:pPr>
    </w:p>
    <w:p w14:paraId="68076EDF" w14:textId="77777777" w:rsidR="006C21BF" w:rsidRPr="005503D6" w:rsidRDefault="006C21BF" w:rsidP="00420929">
      <w:pPr>
        <w:pStyle w:val="FootnoteText"/>
        <w:rPr>
          <w:rFonts w:ascii="Times New Roman" w:hAnsi="Times New Roman" w:cs="Times New Roman"/>
        </w:rPr>
      </w:pPr>
      <w:r w:rsidRPr="005503D6">
        <w:rPr>
          <w:rFonts w:ascii="Times New Roman" w:hAnsi="Times New Roman" w:cs="Times New Roman"/>
        </w:rPr>
        <w:t xml:space="preserve">BRASIL. Supremo Tribunal Federal. </w:t>
      </w:r>
      <w:r w:rsidRPr="00EE07D2">
        <w:rPr>
          <w:rFonts w:ascii="Times New Roman" w:hAnsi="Times New Roman" w:cs="Times New Roman"/>
          <w:i/>
        </w:rPr>
        <w:t>Arguição de Descumprimento de Preceito Fundamental n. 132-RJ</w:t>
      </w:r>
      <w:r w:rsidRPr="005503D6">
        <w:rPr>
          <w:rFonts w:ascii="Times New Roman" w:hAnsi="Times New Roman" w:cs="Times New Roman"/>
        </w:rPr>
        <w:t>. Relator Ayres Britto. Brasília, Dje 14 out. 2011.</w:t>
      </w:r>
    </w:p>
    <w:p w14:paraId="7EB4AF0D" w14:textId="77777777" w:rsidR="006C21BF" w:rsidRPr="005503D6" w:rsidRDefault="006C21BF" w:rsidP="00420929">
      <w:pPr>
        <w:pStyle w:val="FootnoteText"/>
        <w:jc w:val="both"/>
        <w:rPr>
          <w:rFonts w:ascii="Times New Roman" w:hAnsi="Times New Roman" w:cs="Times New Roman"/>
        </w:rPr>
      </w:pPr>
    </w:p>
    <w:p w14:paraId="77E5829B" w14:textId="67DF5B0B" w:rsidR="006C21BF" w:rsidRPr="005503D6" w:rsidRDefault="006C21BF" w:rsidP="00420929">
      <w:pPr>
        <w:pStyle w:val="FootnoteText"/>
        <w:jc w:val="both"/>
        <w:rPr>
          <w:rFonts w:ascii="Times New Roman" w:hAnsi="Times New Roman" w:cs="Times New Roman"/>
        </w:rPr>
      </w:pPr>
      <w:r w:rsidRPr="005503D6">
        <w:rPr>
          <w:rFonts w:ascii="Times New Roman" w:hAnsi="Times New Roman" w:cs="Times New Roman"/>
        </w:rPr>
        <w:t xml:space="preserve">BRASIL. Supremo Tribunal Federal. </w:t>
      </w:r>
      <w:r w:rsidRPr="00EE07D2">
        <w:rPr>
          <w:rFonts w:ascii="Times New Roman" w:hAnsi="Times New Roman" w:cs="Times New Roman"/>
          <w:i/>
        </w:rPr>
        <w:t>PET 338/2009 - RR</w:t>
      </w:r>
      <w:r w:rsidRPr="005503D6">
        <w:rPr>
          <w:rFonts w:ascii="Times New Roman" w:hAnsi="Times New Roman" w:cs="Times New Roman"/>
        </w:rPr>
        <w:t>. Brasília Relator Marco Aurélio. Brasília, Dje 25 set. 2009.</w:t>
      </w:r>
    </w:p>
    <w:p w14:paraId="3AD066E0" w14:textId="77777777" w:rsidR="006C21BF" w:rsidRPr="005503D6" w:rsidRDefault="006C21BF" w:rsidP="00420929">
      <w:pPr>
        <w:pStyle w:val="FootnoteText"/>
        <w:jc w:val="both"/>
        <w:rPr>
          <w:rFonts w:ascii="Times New Roman" w:hAnsi="Times New Roman" w:cs="Times New Roman"/>
        </w:rPr>
      </w:pPr>
    </w:p>
    <w:p w14:paraId="00ABE4AA" w14:textId="77777777" w:rsidR="00705242" w:rsidRPr="005503D6" w:rsidRDefault="00705242" w:rsidP="00420929">
      <w:pPr>
        <w:pStyle w:val="FootnoteText"/>
        <w:jc w:val="both"/>
        <w:rPr>
          <w:rFonts w:ascii="Times New Roman" w:hAnsi="Times New Roman" w:cs="Times New Roman"/>
        </w:rPr>
      </w:pPr>
      <w:r w:rsidRPr="005503D6">
        <w:rPr>
          <w:rFonts w:ascii="Times New Roman" w:hAnsi="Times New Roman" w:cs="Times New Roman"/>
        </w:rPr>
        <w:t xml:space="preserve">BREWER-CARÍAS, Allan. El ilegítimo ‘control de constitucionalidad’ de las sentencias de la Corte Interamericana de Derechos Humanos por parte la sala constitucional del tribunal supremo de justicia de Venezuela: El caso Leopoldo López vs. Venezuela, septiembre 2011. </w:t>
      </w:r>
      <w:r w:rsidRPr="005503D6">
        <w:rPr>
          <w:rFonts w:ascii="Times New Roman" w:hAnsi="Times New Roman" w:cs="Times New Roman"/>
          <w:i/>
        </w:rPr>
        <w:t>Estudios Constitucionales</w:t>
      </w:r>
      <w:r w:rsidRPr="005503D6">
        <w:rPr>
          <w:rFonts w:ascii="Times New Roman" w:hAnsi="Times New Roman" w:cs="Times New Roman"/>
        </w:rPr>
        <w:t>, Talca, Año 10, n 2, p. 575-608, 2012.</w:t>
      </w:r>
    </w:p>
    <w:p w14:paraId="7DCAA069" w14:textId="77777777" w:rsidR="005160E1" w:rsidRPr="005503D6" w:rsidRDefault="005160E1" w:rsidP="00420929">
      <w:pPr>
        <w:pStyle w:val="FootnoteText"/>
        <w:jc w:val="both"/>
        <w:rPr>
          <w:rFonts w:ascii="Times New Roman" w:hAnsi="Times New Roman" w:cs="Times New Roman"/>
        </w:rPr>
      </w:pPr>
    </w:p>
    <w:p w14:paraId="7F2B36EE" w14:textId="3D4345DF" w:rsidR="00670104" w:rsidRDefault="00670104" w:rsidP="00420929">
      <w:pPr>
        <w:pStyle w:val="FootnoteText"/>
        <w:jc w:val="both"/>
        <w:rPr>
          <w:rFonts w:ascii="Times New Roman" w:hAnsi="Times New Roman" w:cs="Times New Roman"/>
        </w:rPr>
      </w:pPr>
      <w:r w:rsidRPr="005503D6">
        <w:rPr>
          <w:rFonts w:ascii="Times New Roman" w:hAnsi="Times New Roman" w:cs="Times New Roman"/>
        </w:rPr>
        <w:t xml:space="preserve">BURGORGUE-LARSEN, Laurence. De la internacionalización del diálogo entre los jueces. In VON BOGDANDY, Armin; PIOVESAN, Flávia; MORALES ANTONIAZZI, Mariela. </w:t>
      </w:r>
      <w:r w:rsidRPr="005503D6">
        <w:rPr>
          <w:rFonts w:ascii="Times New Roman" w:hAnsi="Times New Roman" w:cs="Times New Roman"/>
          <w:i/>
        </w:rPr>
        <w:t>Estudos Avançados de Direitos Humanos</w:t>
      </w:r>
      <w:r w:rsidRPr="005503D6">
        <w:rPr>
          <w:rFonts w:ascii="Times New Roman" w:hAnsi="Times New Roman" w:cs="Times New Roman"/>
        </w:rPr>
        <w:t>. Democracia e Integração Jurídica: Emergência de um Novo Direito Público. Rio de Janeiro: Elsevier, 2013.</w:t>
      </w:r>
    </w:p>
    <w:p w14:paraId="4DE82266" w14:textId="77777777" w:rsidR="00CC136C" w:rsidRPr="005503D6" w:rsidRDefault="00CC136C" w:rsidP="00420929">
      <w:pPr>
        <w:pStyle w:val="FootnoteText"/>
        <w:jc w:val="both"/>
        <w:rPr>
          <w:rFonts w:ascii="Times New Roman" w:hAnsi="Times New Roman" w:cs="Times New Roman"/>
        </w:rPr>
      </w:pPr>
    </w:p>
    <w:p w14:paraId="21C6D4A0" w14:textId="21C8128D" w:rsidR="00AF28B7" w:rsidRDefault="006A00EA" w:rsidP="00420929">
      <w:pPr>
        <w:pStyle w:val="FootnoteText"/>
        <w:jc w:val="both"/>
        <w:rPr>
          <w:rFonts w:ascii="Times New Roman" w:hAnsi="Times New Roman" w:cs="Times New Roman"/>
        </w:rPr>
      </w:pPr>
      <w:r w:rsidRPr="006A00EA">
        <w:rPr>
          <w:rFonts w:ascii="Times New Roman" w:hAnsi="Times New Roman" w:cs="Times New Roman"/>
        </w:rPr>
        <w:t xml:space="preserve">CANÇADO TRINDADE, Antônio Augusto. Memorial em prol de uma mentalidade quanto à proteção dos direitos humanos nos planos internacional e nacional. </w:t>
      </w:r>
      <w:r w:rsidRPr="006A00EA">
        <w:rPr>
          <w:rFonts w:ascii="Times New Roman" w:hAnsi="Times New Roman" w:cs="Times New Roman"/>
          <w:i/>
        </w:rPr>
        <w:t>Revista do Instituto Brasileiro de Direitos Humanos</w:t>
      </w:r>
      <w:r w:rsidRPr="006A00EA">
        <w:rPr>
          <w:rFonts w:ascii="Times New Roman" w:hAnsi="Times New Roman" w:cs="Times New Roman"/>
        </w:rPr>
        <w:t>, v. 2, n. 2, p. 13-39, 2001.</w:t>
      </w:r>
    </w:p>
    <w:p w14:paraId="68B9B9C8" w14:textId="77777777" w:rsidR="006A00EA" w:rsidRDefault="006A00EA" w:rsidP="00420929">
      <w:pPr>
        <w:pStyle w:val="FootnoteText"/>
        <w:jc w:val="both"/>
        <w:rPr>
          <w:rFonts w:ascii="Times New Roman" w:hAnsi="Times New Roman" w:cs="Times New Roman"/>
        </w:rPr>
      </w:pPr>
    </w:p>
    <w:p w14:paraId="36B4F22D" w14:textId="3617CFCC" w:rsidR="00C04F45" w:rsidRDefault="00C04F45" w:rsidP="00420929">
      <w:pPr>
        <w:pStyle w:val="FootnoteText"/>
        <w:jc w:val="both"/>
        <w:rPr>
          <w:rFonts w:ascii="Times New Roman" w:hAnsi="Times New Roman" w:cs="Times New Roman"/>
        </w:rPr>
      </w:pPr>
      <w:r w:rsidRPr="00C04F45">
        <w:rPr>
          <w:rFonts w:ascii="Times New Roman" w:hAnsi="Times New Roman" w:cs="Times New Roman"/>
        </w:rPr>
        <w:t xml:space="preserve">CALDERÓN GAMBOA, Jorge F. </w:t>
      </w:r>
      <w:r w:rsidRPr="00C04F45">
        <w:rPr>
          <w:rFonts w:ascii="Times New Roman" w:hAnsi="Times New Roman" w:cs="Times New Roman"/>
          <w:i/>
        </w:rPr>
        <w:t>La reparación integral en la jurisprudencia de la Corte Interamericana de Derechos Humanos</w:t>
      </w:r>
      <w:r w:rsidRPr="00C04F45">
        <w:rPr>
          <w:rFonts w:ascii="Times New Roman" w:hAnsi="Times New Roman" w:cs="Times New Roman"/>
        </w:rPr>
        <w:t xml:space="preserve">: estándares aplicables al nuevo paradigma mexicano. Mexico: Instituto de Investigaciones Jurídicas, Suprema Corte de la </w:t>
      </w:r>
      <w:r>
        <w:rPr>
          <w:rFonts w:ascii="Times New Roman" w:hAnsi="Times New Roman" w:cs="Times New Roman"/>
        </w:rPr>
        <w:t>Nación, 2013. p. 146-219</w:t>
      </w:r>
      <w:r w:rsidRPr="00C04F45">
        <w:rPr>
          <w:rFonts w:ascii="Times New Roman" w:hAnsi="Times New Roman" w:cs="Times New Roman"/>
        </w:rPr>
        <w:t>.</w:t>
      </w:r>
      <w:r w:rsidR="00EE07D2">
        <w:rPr>
          <w:rFonts w:ascii="Times New Roman" w:hAnsi="Times New Roman" w:cs="Times New Roman"/>
        </w:rPr>
        <w:t xml:space="preserve"> Disponível em: </w:t>
      </w:r>
      <w:hyperlink r:id="rId9" w:history="1">
        <w:r w:rsidR="00EE07D2" w:rsidRPr="00256308">
          <w:rPr>
            <w:rStyle w:val="Hyperlink"/>
            <w:rFonts w:ascii="Times New Roman" w:hAnsi="Times New Roman" w:cs="Times New Roman"/>
          </w:rPr>
          <w:t>http://www.corteidh.or.cr/tablas/r33008.pdf</w:t>
        </w:r>
      </w:hyperlink>
      <w:r w:rsidR="00EE07D2">
        <w:rPr>
          <w:rFonts w:ascii="Times New Roman" w:hAnsi="Times New Roman" w:cs="Times New Roman"/>
        </w:rPr>
        <w:t xml:space="preserve"> . Acesso em: 20 abr. 2019.</w:t>
      </w:r>
    </w:p>
    <w:p w14:paraId="31AC6BCC" w14:textId="77777777" w:rsidR="006618E8" w:rsidRPr="006618E8" w:rsidRDefault="006618E8" w:rsidP="00420929">
      <w:pPr>
        <w:pStyle w:val="FootnoteText"/>
        <w:jc w:val="both"/>
        <w:rPr>
          <w:rFonts w:ascii="Times New Roman" w:hAnsi="Times New Roman" w:cs="Times New Roman"/>
        </w:rPr>
      </w:pPr>
    </w:p>
    <w:p w14:paraId="3EB04D32" w14:textId="4C223563" w:rsidR="006618E8" w:rsidRPr="006618E8" w:rsidRDefault="006618E8" w:rsidP="00420929">
      <w:pPr>
        <w:pStyle w:val="FootnoteText"/>
        <w:jc w:val="both"/>
        <w:rPr>
          <w:rFonts w:ascii="Times New Roman" w:hAnsi="Times New Roman" w:cs="Times New Roman"/>
        </w:rPr>
      </w:pPr>
      <w:r w:rsidRPr="006618E8">
        <w:rPr>
          <w:rFonts w:ascii="Times New Roman" w:hAnsi="Times New Roman" w:cs="Times New Roman"/>
        </w:rPr>
        <w:t xml:space="preserve">CANÇADO TRINDADE, Antônio Augusto. </w:t>
      </w:r>
      <w:r w:rsidRPr="006618E8">
        <w:rPr>
          <w:rFonts w:ascii="Times New Roman" w:hAnsi="Times New Roman" w:cs="Times New Roman"/>
          <w:i/>
        </w:rPr>
        <w:t>Tratado de Direito Internacional dos Direitos Humanos</w:t>
      </w:r>
      <w:r w:rsidRPr="006618E8">
        <w:rPr>
          <w:rFonts w:ascii="Times New Roman" w:hAnsi="Times New Roman" w:cs="Times New Roman"/>
        </w:rPr>
        <w:t>, v. I. Porto Alegre: Sérgio Fabris Editor, 1999</w:t>
      </w:r>
      <w:r>
        <w:rPr>
          <w:rFonts w:ascii="Times New Roman" w:hAnsi="Times New Roman" w:cs="Times New Roman"/>
        </w:rPr>
        <w:t>.</w:t>
      </w:r>
    </w:p>
    <w:p w14:paraId="56BB8508" w14:textId="77777777" w:rsidR="00C04F45" w:rsidRDefault="00C04F45" w:rsidP="00420929">
      <w:pPr>
        <w:pStyle w:val="FootnoteText"/>
        <w:jc w:val="both"/>
        <w:rPr>
          <w:rFonts w:ascii="Times New Roman" w:hAnsi="Times New Roman" w:cs="Times New Roman"/>
        </w:rPr>
      </w:pPr>
    </w:p>
    <w:p w14:paraId="70556570" w14:textId="0A63DEA4" w:rsidR="005C0EA0" w:rsidRDefault="005C0EA0" w:rsidP="00420929">
      <w:pPr>
        <w:pStyle w:val="FootnoteText"/>
        <w:jc w:val="both"/>
        <w:rPr>
          <w:rFonts w:ascii="Times New Roman" w:hAnsi="Times New Roman" w:cs="Times New Roman"/>
        </w:rPr>
      </w:pPr>
      <w:r w:rsidRPr="005C0EA0">
        <w:rPr>
          <w:rFonts w:ascii="Times New Roman" w:hAnsi="Times New Roman" w:cs="Times New Roman"/>
        </w:rPr>
        <w:t xml:space="preserve">CHILE. Ministerio de Justicia y Derechos Humanos. </w:t>
      </w:r>
      <w:r w:rsidRPr="005C0EA0">
        <w:rPr>
          <w:rFonts w:ascii="Times New Roman" w:hAnsi="Times New Roman" w:cs="Times New Roman"/>
          <w:i/>
        </w:rPr>
        <w:t>Comunicado de prensa Ministerio de Relaciones Exteriores – Ministerio de Justicia y Derechos Humanos sobre Sistema Interamericano de Derechos Humanos</w:t>
      </w:r>
      <w:r w:rsidRPr="005C0EA0">
        <w:rPr>
          <w:rFonts w:ascii="Times New Roman" w:hAnsi="Times New Roman" w:cs="Times New Roman"/>
        </w:rPr>
        <w:t xml:space="preserve">. Santiago, 23 de abril de 2019. Disponível em: </w:t>
      </w:r>
      <w:hyperlink r:id="rId10" w:history="1">
        <w:r w:rsidR="00F228D2" w:rsidRPr="00256308">
          <w:rPr>
            <w:rStyle w:val="Hyperlink"/>
            <w:rFonts w:ascii="Times New Roman" w:hAnsi="Times New Roman" w:cs="Times New Roman"/>
          </w:rPr>
          <w:t>http://www.minjusticia.gob.cl/comunicado-de-prensa-ministerio-de-relaciones-exteriores-ministerio-de-justicia-y-derechos-humanos-sobre-sistema-interamericano-de-derechos-humanos/</w:t>
        </w:r>
      </w:hyperlink>
      <w:r w:rsidR="00F228D2">
        <w:rPr>
          <w:rFonts w:ascii="Times New Roman" w:hAnsi="Times New Roman" w:cs="Times New Roman"/>
        </w:rPr>
        <w:t xml:space="preserve"> .</w:t>
      </w:r>
      <w:r w:rsidRPr="005C0EA0">
        <w:rPr>
          <w:rFonts w:ascii="Times New Roman" w:hAnsi="Times New Roman" w:cs="Times New Roman"/>
        </w:rPr>
        <w:t xml:space="preserve"> Acesso em: 25 abr. 2019.</w:t>
      </w:r>
    </w:p>
    <w:p w14:paraId="17216669" w14:textId="77777777" w:rsidR="005C0EA0" w:rsidRPr="005503D6" w:rsidRDefault="005C0EA0" w:rsidP="00420929">
      <w:pPr>
        <w:pStyle w:val="FootnoteText"/>
        <w:jc w:val="both"/>
        <w:rPr>
          <w:rFonts w:ascii="Times New Roman" w:hAnsi="Times New Roman" w:cs="Times New Roman"/>
        </w:rPr>
      </w:pPr>
    </w:p>
    <w:p w14:paraId="3AB39F1D" w14:textId="77777777" w:rsidR="000F4898" w:rsidRPr="005503D6" w:rsidRDefault="000F4898" w:rsidP="00420929">
      <w:pPr>
        <w:pStyle w:val="FootnoteText"/>
        <w:rPr>
          <w:rFonts w:ascii="Times New Roman" w:hAnsi="Times New Roman" w:cs="Times New Roman"/>
        </w:rPr>
      </w:pPr>
      <w:r w:rsidRPr="005503D6">
        <w:rPr>
          <w:rFonts w:ascii="Times New Roman" w:hAnsi="Times New Roman" w:cs="Times New Roman"/>
        </w:rPr>
        <w:t xml:space="preserve">COLOMBIA. Corte Constitucional. </w:t>
      </w:r>
      <w:r w:rsidRPr="005503D6">
        <w:rPr>
          <w:rFonts w:ascii="Times New Roman" w:hAnsi="Times New Roman" w:cs="Times New Roman"/>
          <w:i/>
        </w:rPr>
        <w:t>Sentença T-025/04</w:t>
      </w:r>
      <w:r w:rsidRPr="005503D6">
        <w:rPr>
          <w:rFonts w:ascii="Times New Roman" w:hAnsi="Times New Roman" w:cs="Times New Roman"/>
        </w:rPr>
        <w:t>. Relator Manuel José Cepeda Espinosa. Bogota, 17 jun. 2004.</w:t>
      </w:r>
    </w:p>
    <w:p w14:paraId="17EBF5FA" w14:textId="77777777" w:rsidR="000F4898" w:rsidRPr="005503D6" w:rsidRDefault="000F4898" w:rsidP="00420929">
      <w:pPr>
        <w:pStyle w:val="FootnoteText"/>
        <w:rPr>
          <w:rFonts w:ascii="Times New Roman" w:hAnsi="Times New Roman" w:cs="Times New Roman"/>
        </w:rPr>
      </w:pPr>
    </w:p>
    <w:p w14:paraId="52483483" w14:textId="77777777" w:rsidR="000F4898" w:rsidRPr="005503D6" w:rsidRDefault="000F4898" w:rsidP="00420929">
      <w:pPr>
        <w:pStyle w:val="FootnoteText"/>
        <w:rPr>
          <w:rFonts w:ascii="Times New Roman" w:hAnsi="Times New Roman" w:cs="Times New Roman"/>
        </w:rPr>
      </w:pPr>
      <w:r w:rsidRPr="005503D6">
        <w:rPr>
          <w:rFonts w:ascii="Times New Roman" w:hAnsi="Times New Roman" w:cs="Times New Roman"/>
        </w:rPr>
        <w:t xml:space="preserve">COLOMBIA. Corte Constitucional. </w:t>
      </w:r>
      <w:r w:rsidRPr="005503D6">
        <w:rPr>
          <w:rFonts w:ascii="Times New Roman" w:hAnsi="Times New Roman" w:cs="Times New Roman"/>
          <w:i/>
        </w:rPr>
        <w:t>Sentença C-141/10</w:t>
      </w:r>
      <w:r w:rsidRPr="005503D6">
        <w:rPr>
          <w:rFonts w:ascii="Times New Roman" w:hAnsi="Times New Roman" w:cs="Times New Roman"/>
        </w:rPr>
        <w:t>. Relator Humberto Antonio Sierra Porto. Bogota, 26 feb. 2010.</w:t>
      </w:r>
    </w:p>
    <w:p w14:paraId="37136460" w14:textId="77777777" w:rsidR="000F4898" w:rsidRPr="005503D6" w:rsidRDefault="000F4898" w:rsidP="00420929">
      <w:pPr>
        <w:jc w:val="both"/>
        <w:rPr>
          <w:rFonts w:ascii="Times New Roman" w:hAnsi="Times New Roman" w:cs="Times New Roman"/>
        </w:rPr>
      </w:pPr>
    </w:p>
    <w:p w14:paraId="1ED4ED1E" w14:textId="46B115EE" w:rsidR="000F4898" w:rsidRPr="005503D6" w:rsidRDefault="000F4898" w:rsidP="00420929">
      <w:pPr>
        <w:pStyle w:val="FootnoteText"/>
        <w:jc w:val="both"/>
        <w:rPr>
          <w:rFonts w:ascii="Times New Roman" w:hAnsi="Times New Roman" w:cs="Times New Roman"/>
        </w:rPr>
      </w:pPr>
      <w:r w:rsidRPr="005503D6">
        <w:rPr>
          <w:rFonts w:ascii="Times New Roman" w:hAnsi="Times New Roman" w:cs="Times New Roman"/>
        </w:rPr>
        <w:t xml:space="preserve">CORTE INTERAMERICANA DE DIREITOS HUMANOS. </w:t>
      </w:r>
      <w:r w:rsidRPr="005503D6">
        <w:rPr>
          <w:rFonts w:ascii="Times New Roman" w:hAnsi="Times New Roman" w:cs="Times New Roman"/>
          <w:i/>
        </w:rPr>
        <w:t>Relatório Anual de 2018</w:t>
      </w:r>
      <w:r w:rsidRPr="005503D6">
        <w:rPr>
          <w:rFonts w:ascii="Times New Roman" w:hAnsi="Times New Roman" w:cs="Times New Roman"/>
        </w:rPr>
        <w:t xml:space="preserve">. Disponível em: </w:t>
      </w:r>
      <w:hyperlink r:id="rId11" w:history="1">
        <w:r w:rsidRPr="005503D6">
          <w:rPr>
            <w:rStyle w:val="Hyperlink"/>
            <w:rFonts w:ascii="Times New Roman" w:hAnsi="Times New Roman" w:cs="Times New Roman"/>
          </w:rPr>
          <w:t>http://www.corteidh.or.cr/tablas/informe2018/portugues.pdf</w:t>
        </w:r>
      </w:hyperlink>
      <w:r w:rsidRPr="005503D6">
        <w:rPr>
          <w:rFonts w:ascii="Times New Roman" w:hAnsi="Times New Roman" w:cs="Times New Roman"/>
        </w:rPr>
        <w:t xml:space="preserve">. Acesso em: 11 abr. 2019. </w:t>
      </w:r>
    </w:p>
    <w:p w14:paraId="69995736" w14:textId="77777777" w:rsidR="000F4898" w:rsidRPr="005503D6" w:rsidRDefault="000F4898" w:rsidP="00420929">
      <w:pPr>
        <w:pStyle w:val="FootnoteText"/>
        <w:jc w:val="both"/>
        <w:rPr>
          <w:rFonts w:ascii="Times New Roman" w:hAnsi="Times New Roman" w:cs="Times New Roman"/>
        </w:rPr>
      </w:pPr>
    </w:p>
    <w:p w14:paraId="0866D3E7" w14:textId="588A9544" w:rsidR="00820115" w:rsidRPr="002B0178" w:rsidRDefault="00820115" w:rsidP="00420929">
      <w:pPr>
        <w:pStyle w:val="NormalWeb"/>
        <w:spacing w:before="0" w:beforeAutospacing="0" w:after="0" w:afterAutospacing="0"/>
        <w:jc w:val="both"/>
        <w:rPr>
          <w:sz w:val="24"/>
          <w:szCs w:val="24"/>
          <w:lang w:val="pt-BR"/>
        </w:rPr>
      </w:pPr>
      <w:r w:rsidRPr="002B0178">
        <w:rPr>
          <w:sz w:val="24"/>
          <w:szCs w:val="24"/>
          <w:lang w:val="pt-BR"/>
        </w:rPr>
        <w:t xml:space="preserve">CORTE INTERAMERICANA DE DERECHOS HUMANOS. </w:t>
      </w:r>
      <w:r w:rsidRPr="002B0178">
        <w:rPr>
          <w:bCs/>
          <w:i/>
          <w:sz w:val="24"/>
          <w:szCs w:val="24"/>
          <w:lang w:val="pt-BR"/>
        </w:rPr>
        <w:t>Caso Almonacid-Arellano y otros</w:t>
      </w:r>
      <w:r w:rsidRPr="002B0178">
        <w:rPr>
          <w:bCs/>
          <w:i/>
          <w:iCs/>
          <w:sz w:val="24"/>
          <w:szCs w:val="24"/>
          <w:lang w:val="pt-BR"/>
        </w:rPr>
        <w:t xml:space="preserve"> vs</w:t>
      </w:r>
      <w:r w:rsidRPr="002B0178">
        <w:rPr>
          <w:bCs/>
          <w:i/>
          <w:sz w:val="24"/>
          <w:szCs w:val="24"/>
          <w:lang w:val="pt-BR"/>
        </w:rPr>
        <w:t>. Chile</w:t>
      </w:r>
      <w:r w:rsidRPr="002B0178">
        <w:rPr>
          <w:b/>
          <w:bCs/>
          <w:sz w:val="24"/>
          <w:szCs w:val="24"/>
          <w:lang w:val="pt-BR"/>
        </w:rPr>
        <w:t xml:space="preserve">. </w:t>
      </w:r>
      <w:r w:rsidRPr="002B0178">
        <w:rPr>
          <w:bCs/>
          <w:sz w:val="24"/>
          <w:szCs w:val="24"/>
          <w:lang w:val="pt-BR"/>
        </w:rPr>
        <w:t xml:space="preserve">Sentencia de 26 de Septiembre, 2006. </w:t>
      </w:r>
      <w:r w:rsidRPr="002B0178">
        <w:rPr>
          <w:bCs/>
          <w:iCs/>
          <w:sz w:val="24"/>
          <w:szCs w:val="24"/>
          <w:lang w:val="pt-BR"/>
        </w:rPr>
        <w:t>Excepciones Preliminares, Fondo, Reparacione</w:t>
      </w:r>
      <w:r w:rsidR="00F87B89" w:rsidRPr="002B0178">
        <w:rPr>
          <w:bCs/>
          <w:iCs/>
          <w:sz w:val="24"/>
          <w:szCs w:val="24"/>
          <w:lang w:val="pt-BR"/>
        </w:rPr>
        <w:t>s y Costas. Série C-154</w:t>
      </w:r>
      <w:r w:rsidRPr="002B0178">
        <w:rPr>
          <w:bCs/>
          <w:iCs/>
          <w:sz w:val="24"/>
          <w:szCs w:val="24"/>
          <w:lang w:val="pt-BR"/>
        </w:rPr>
        <w:t xml:space="preserve">. </w:t>
      </w:r>
    </w:p>
    <w:p w14:paraId="4BE40DEE" w14:textId="77777777" w:rsidR="00F87B89" w:rsidRPr="005503D6" w:rsidRDefault="00F87B89" w:rsidP="00420929">
      <w:pPr>
        <w:pStyle w:val="Title"/>
        <w:jc w:val="both"/>
        <w:rPr>
          <w:rFonts w:ascii="Times New Roman" w:hAnsi="Times New Roman"/>
          <w:b w:val="0"/>
          <w:sz w:val="24"/>
        </w:rPr>
      </w:pPr>
    </w:p>
    <w:p w14:paraId="6BDBFBC3" w14:textId="20A292FB" w:rsidR="00820115" w:rsidRPr="005503D6" w:rsidRDefault="00820115" w:rsidP="00420929">
      <w:pPr>
        <w:pStyle w:val="Title"/>
        <w:jc w:val="both"/>
        <w:rPr>
          <w:rFonts w:ascii="Times New Roman" w:hAnsi="Times New Roman"/>
          <w:b w:val="0"/>
          <w:sz w:val="24"/>
        </w:rPr>
      </w:pPr>
      <w:r w:rsidRPr="005503D6">
        <w:rPr>
          <w:rFonts w:ascii="Times New Roman" w:hAnsi="Times New Roman"/>
          <w:b w:val="0"/>
          <w:sz w:val="24"/>
          <w:lang w:val="es-ES_tradnl"/>
        </w:rPr>
        <w:t xml:space="preserve">CORTE INTERAMERICANA DE DERECHOS HUMANOS. </w:t>
      </w:r>
      <w:r w:rsidRPr="005503D6">
        <w:rPr>
          <w:rFonts w:ascii="Times New Roman" w:hAnsi="Times New Roman"/>
          <w:b w:val="0"/>
          <w:bCs w:val="0"/>
          <w:i/>
          <w:sz w:val="24"/>
          <w:lang w:val="es-ES_tradnl"/>
        </w:rPr>
        <w:t>Caso Trabajadores Cesados del Congreso (Aguado Alfaro y otros) Vs. Perú</w:t>
      </w:r>
      <w:r w:rsidRPr="005503D6">
        <w:rPr>
          <w:rFonts w:ascii="Times New Roman" w:hAnsi="Times New Roman"/>
          <w:b w:val="0"/>
          <w:bCs w:val="0"/>
          <w:sz w:val="24"/>
          <w:lang w:val="es-ES_tradnl"/>
        </w:rPr>
        <w:t>. Sentencia de 24 de noviembre de 2006. Excepciones Preliminares, Fondo, Reparaciones y Costas</w:t>
      </w:r>
      <w:r w:rsidRPr="005503D6">
        <w:rPr>
          <w:rFonts w:ascii="Times New Roman" w:hAnsi="Times New Roman"/>
          <w:b w:val="0"/>
          <w:bCs w:val="0"/>
          <w:i/>
          <w:sz w:val="24"/>
          <w:lang w:val="es-ES_tradnl"/>
        </w:rPr>
        <w:t>.</w:t>
      </w:r>
      <w:r w:rsidRPr="005503D6">
        <w:rPr>
          <w:rFonts w:ascii="Times New Roman" w:hAnsi="Times New Roman"/>
          <w:b w:val="0"/>
          <w:bCs w:val="0"/>
          <w:sz w:val="24"/>
          <w:lang w:val="es-ES_tradnl"/>
        </w:rPr>
        <w:t xml:space="preserve"> Serie C-158</w:t>
      </w:r>
      <w:r w:rsidRPr="005503D6">
        <w:rPr>
          <w:rFonts w:ascii="Times New Roman" w:hAnsi="Times New Roman"/>
          <w:b w:val="0"/>
          <w:sz w:val="24"/>
        </w:rPr>
        <w:t>.</w:t>
      </w:r>
    </w:p>
    <w:p w14:paraId="11ABB0AD" w14:textId="77777777" w:rsidR="00084989" w:rsidRPr="005503D6" w:rsidRDefault="00084989" w:rsidP="00420929">
      <w:pPr>
        <w:pStyle w:val="Title"/>
        <w:jc w:val="both"/>
        <w:rPr>
          <w:rFonts w:ascii="Times New Roman" w:hAnsi="Times New Roman"/>
          <w:b w:val="0"/>
          <w:sz w:val="24"/>
        </w:rPr>
      </w:pPr>
    </w:p>
    <w:p w14:paraId="2692BB53" w14:textId="77777777" w:rsidR="00084989" w:rsidRPr="005503D6" w:rsidRDefault="00084989" w:rsidP="00420929">
      <w:pPr>
        <w:pStyle w:val="FootnoteText"/>
        <w:rPr>
          <w:rFonts w:ascii="Times New Roman" w:hAnsi="Times New Roman" w:cs="Times New Roman"/>
        </w:rPr>
      </w:pPr>
      <w:r w:rsidRPr="005503D6">
        <w:rPr>
          <w:rFonts w:ascii="Times New Roman" w:hAnsi="Times New Roman" w:cs="Times New Roman"/>
        </w:rPr>
        <w:t xml:space="preserve">CORTE INTERAMERICANA DE DERECHOS HUMANOS. </w:t>
      </w:r>
      <w:r w:rsidRPr="005503D6">
        <w:rPr>
          <w:rFonts w:ascii="Times New Roman" w:hAnsi="Times New Roman" w:cs="Times New Roman"/>
          <w:i/>
        </w:rPr>
        <w:t>Caso Cabrera García y Motiel Flores v. Mexico</w:t>
      </w:r>
      <w:r w:rsidRPr="005503D6">
        <w:rPr>
          <w:rFonts w:ascii="Times New Roman" w:hAnsi="Times New Roman" w:cs="Times New Roman"/>
        </w:rPr>
        <w:t>. Sentencia de 26 de Noviembre de 2010. Excepciones Preliminares, Fondo, Reparaciones e Costas. Serie C-220.</w:t>
      </w:r>
    </w:p>
    <w:p w14:paraId="2CBF7F58" w14:textId="77777777" w:rsidR="00084989" w:rsidRPr="005503D6" w:rsidRDefault="00084989" w:rsidP="00420929">
      <w:pPr>
        <w:pStyle w:val="FootnoteText"/>
        <w:rPr>
          <w:rFonts w:ascii="Times New Roman" w:hAnsi="Times New Roman" w:cs="Times New Roman"/>
        </w:rPr>
      </w:pPr>
    </w:p>
    <w:p w14:paraId="66291E04" w14:textId="05FBFC01" w:rsidR="00084989" w:rsidRPr="005503D6" w:rsidRDefault="00084989" w:rsidP="00420929">
      <w:pPr>
        <w:pStyle w:val="FootnoteText"/>
        <w:rPr>
          <w:rFonts w:ascii="Times New Roman" w:hAnsi="Times New Roman" w:cs="Times New Roman"/>
        </w:rPr>
      </w:pPr>
      <w:r w:rsidRPr="005503D6">
        <w:rPr>
          <w:rFonts w:ascii="Times New Roman" w:hAnsi="Times New Roman" w:cs="Times New Roman"/>
        </w:rPr>
        <w:t xml:space="preserve">CORTE INTERAMERICANA DE DERECHOS HUMANOS. </w:t>
      </w:r>
      <w:r w:rsidRPr="005503D6">
        <w:rPr>
          <w:rFonts w:ascii="Times New Roman" w:hAnsi="Times New Roman" w:cs="Times New Roman"/>
          <w:i/>
        </w:rPr>
        <w:t>Caso Juan Gelman v. Uruguai</w:t>
      </w:r>
      <w:r w:rsidRPr="005503D6">
        <w:rPr>
          <w:rFonts w:ascii="Times New Roman" w:hAnsi="Times New Roman" w:cs="Times New Roman"/>
        </w:rPr>
        <w:t>. Sentencia de 20 de Marzo de 2013. Supervisión de Cumplimiento.</w:t>
      </w:r>
    </w:p>
    <w:p w14:paraId="6591FDB9" w14:textId="77777777" w:rsidR="00084989" w:rsidRPr="005503D6" w:rsidRDefault="00084989" w:rsidP="00420929">
      <w:pPr>
        <w:pStyle w:val="FootnoteText"/>
        <w:rPr>
          <w:rFonts w:ascii="Times New Roman" w:hAnsi="Times New Roman" w:cs="Times New Roman"/>
        </w:rPr>
      </w:pPr>
    </w:p>
    <w:p w14:paraId="52717F81" w14:textId="1518701E" w:rsidR="00084989" w:rsidRPr="005503D6" w:rsidRDefault="00084989" w:rsidP="00420929">
      <w:pPr>
        <w:pStyle w:val="FootnoteText"/>
        <w:rPr>
          <w:rFonts w:ascii="Times New Roman" w:hAnsi="Times New Roman" w:cs="Times New Roman"/>
        </w:rPr>
      </w:pPr>
      <w:r w:rsidRPr="005503D6">
        <w:rPr>
          <w:rFonts w:ascii="Times New Roman" w:hAnsi="Times New Roman" w:cs="Times New Roman"/>
        </w:rPr>
        <w:t xml:space="preserve">CORTE INTERAMERICANA DE DERECHOS HUMANOS. </w:t>
      </w:r>
      <w:r w:rsidRPr="005503D6">
        <w:rPr>
          <w:rFonts w:ascii="Times New Roman" w:hAnsi="Times New Roman" w:cs="Times New Roman"/>
          <w:i/>
        </w:rPr>
        <w:t>Opinión Consultiva n. 21</w:t>
      </w:r>
      <w:r w:rsidRPr="005503D6">
        <w:rPr>
          <w:rFonts w:ascii="Times New Roman" w:hAnsi="Times New Roman" w:cs="Times New Roman"/>
        </w:rPr>
        <w:t xml:space="preserve"> de 19 de Agosto de 2014. Derechos y Garatías de Niñas y Niños en el Contexto de la Migración y/o en Necesidad de Protección Internacional. Série A-21.</w:t>
      </w:r>
    </w:p>
    <w:p w14:paraId="34FEEDC9" w14:textId="77777777" w:rsidR="00496C1B" w:rsidRPr="005503D6" w:rsidRDefault="00496C1B" w:rsidP="00420929">
      <w:pPr>
        <w:pStyle w:val="Title"/>
        <w:jc w:val="both"/>
        <w:rPr>
          <w:rFonts w:ascii="Times New Roman" w:hAnsi="Times New Roman"/>
          <w:b w:val="0"/>
          <w:sz w:val="24"/>
          <w:lang w:val="es-ES_tradnl"/>
        </w:rPr>
      </w:pPr>
    </w:p>
    <w:p w14:paraId="3B27B5E4" w14:textId="6F52C2F0" w:rsidR="00F87B89" w:rsidRPr="002B0178" w:rsidRDefault="00496C1B" w:rsidP="00420929">
      <w:pPr>
        <w:pStyle w:val="FootnoteText"/>
        <w:jc w:val="both"/>
        <w:rPr>
          <w:rFonts w:ascii="Times New Roman" w:eastAsia="Times New Roman" w:hAnsi="Times New Roman" w:cs="Times New Roman"/>
          <w:bCs/>
          <w:color w:val="000000"/>
        </w:rPr>
      </w:pPr>
      <w:r w:rsidRPr="005503D6">
        <w:rPr>
          <w:rFonts w:ascii="Times New Roman" w:hAnsi="Times New Roman" w:cs="Times New Roman"/>
        </w:rPr>
        <w:t xml:space="preserve">CORTE INTERAMERICANA DE DERECHOS HUMANOS. </w:t>
      </w:r>
      <w:r w:rsidRPr="002B0178">
        <w:rPr>
          <w:rFonts w:ascii="Times New Roman" w:eastAsia="Times New Roman" w:hAnsi="Times New Roman" w:cs="Times New Roman"/>
          <w:bCs/>
          <w:i/>
          <w:color w:val="000000"/>
        </w:rPr>
        <w:t xml:space="preserve">Caso Pueblo Indígena Xucuru y sus miembros Vs. </w:t>
      </w:r>
      <w:r w:rsidRPr="005503D6">
        <w:rPr>
          <w:rFonts w:ascii="Times New Roman" w:eastAsia="Times New Roman" w:hAnsi="Times New Roman" w:cs="Times New Roman"/>
          <w:bCs/>
          <w:i/>
          <w:color w:val="000000"/>
          <w:lang w:val="en-US"/>
        </w:rPr>
        <w:t>Brasil</w:t>
      </w:r>
      <w:r w:rsidRPr="005503D6">
        <w:rPr>
          <w:rFonts w:ascii="Times New Roman" w:eastAsia="Times New Roman" w:hAnsi="Times New Roman" w:cs="Times New Roman"/>
          <w:bCs/>
          <w:color w:val="000000"/>
          <w:lang w:val="en-US"/>
        </w:rPr>
        <w:t xml:space="preserve">. </w:t>
      </w:r>
      <w:r w:rsidRPr="002B0178">
        <w:rPr>
          <w:rFonts w:ascii="Times New Roman" w:eastAsia="Times New Roman" w:hAnsi="Times New Roman" w:cs="Times New Roman"/>
          <w:bCs/>
          <w:color w:val="000000"/>
        </w:rPr>
        <w:t xml:space="preserve">Excepciones Preliminares, Fondo, Reparaciones y Costas. Sentencia de 5 </w:t>
      </w:r>
      <w:r w:rsidR="00E84C49" w:rsidRPr="002B0178">
        <w:rPr>
          <w:rFonts w:ascii="Times New Roman" w:eastAsia="Times New Roman" w:hAnsi="Times New Roman" w:cs="Times New Roman"/>
          <w:bCs/>
          <w:color w:val="000000"/>
        </w:rPr>
        <w:t>de febrero de 2018. Serie C-</w:t>
      </w:r>
      <w:r w:rsidRPr="002B0178">
        <w:rPr>
          <w:rFonts w:ascii="Times New Roman" w:eastAsia="Times New Roman" w:hAnsi="Times New Roman" w:cs="Times New Roman"/>
          <w:bCs/>
          <w:color w:val="000000"/>
        </w:rPr>
        <w:t>346.</w:t>
      </w:r>
    </w:p>
    <w:p w14:paraId="0A479C0F" w14:textId="77777777" w:rsidR="00084989" w:rsidRPr="005503D6" w:rsidRDefault="00084989" w:rsidP="00420929">
      <w:pPr>
        <w:pStyle w:val="FootnoteText"/>
        <w:jc w:val="both"/>
        <w:rPr>
          <w:rFonts w:ascii="Times New Roman" w:hAnsi="Times New Roman" w:cs="Times New Roman"/>
        </w:rPr>
      </w:pPr>
    </w:p>
    <w:p w14:paraId="783AB420" w14:textId="7F4E0073" w:rsidR="00084989" w:rsidRDefault="00084989" w:rsidP="00420929">
      <w:pPr>
        <w:pStyle w:val="FootnoteText"/>
        <w:jc w:val="both"/>
        <w:rPr>
          <w:rFonts w:ascii="Times New Roman" w:hAnsi="Times New Roman" w:cs="Times New Roman"/>
        </w:rPr>
      </w:pPr>
      <w:r w:rsidRPr="005503D6">
        <w:rPr>
          <w:rFonts w:ascii="Times New Roman" w:hAnsi="Times New Roman" w:cs="Times New Roman"/>
        </w:rPr>
        <w:t xml:space="preserve">CORTE INTERAMERICANA DE DERECHOS HUMANOS. </w:t>
      </w:r>
      <w:r w:rsidRPr="005503D6">
        <w:rPr>
          <w:rFonts w:ascii="Times New Roman" w:hAnsi="Times New Roman" w:cs="Times New Roman"/>
          <w:i/>
        </w:rPr>
        <w:t>Castañeda Gutman vs. Estados Unidos Mexicanos</w:t>
      </w:r>
      <w:r w:rsidRPr="005503D6">
        <w:rPr>
          <w:rFonts w:ascii="Times New Roman" w:hAnsi="Times New Roman" w:cs="Times New Roman"/>
        </w:rPr>
        <w:t>. Sentencia de 6 de Agosto de 2008. Excepciones preliminares, Fondo, Re</w:t>
      </w:r>
      <w:r w:rsidR="00E84C49">
        <w:rPr>
          <w:rFonts w:ascii="Times New Roman" w:hAnsi="Times New Roman" w:cs="Times New Roman"/>
        </w:rPr>
        <w:t>paraciones y Costas. Serie C-</w:t>
      </w:r>
      <w:r w:rsidRPr="005503D6">
        <w:rPr>
          <w:rFonts w:ascii="Times New Roman" w:hAnsi="Times New Roman" w:cs="Times New Roman"/>
        </w:rPr>
        <w:t>184.</w:t>
      </w:r>
    </w:p>
    <w:p w14:paraId="78D940D9" w14:textId="77777777" w:rsidR="00E84C49" w:rsidRPr="00671A2F" w:rsidRDefault="00E84C49" w:rsidP="00420929">
      <w:pPr>
        <w:pStyle w:val="FootnoteText"/>
        <w:jc w:val="both"/>
        <w:rPr>
          <w:rFonts w:ascii="Times New Roman" w:hAnsi="Times New Roman" w:cs="Times New Roman"/>
        </w:rPr>
      </w:pPr>
    </w:p>
    <w:p w14:paraId="4199CDF3" w14:textId="6E74329C" w:rsidR="00E84C49" w:rsidRPr="00671A2F" w:rsidRDefault="00E84C49" w:rsidP="00420929">
      <w:pPr>
        <w:pStyle w:val="FootnoteText"/>
        <w:jc w:val="both"/>
        <w:rPr>
          <w:rFonts w:ascii="Times New Roman" w:hAnsi="Times New Roman" w:cs="Times New Roman"/>
        </w:rPr>
      </w:pPr>
      <w:r w:rsidRPr="00671A2F">
        <w:rPr>
          <w:rFonts w:ascii="Times New Roman" w:hAnsi="Times New Roman" w:cs="Times New Roman"/>
        </w:rPr>
        <w:lastRenderedPageBreak/>
        <w:t xml:space="preserve">CORTE INTERAMERICANA DE DERECHOS HUMANOS. </w:t>
      </w:r>
      <w:r w:rsidRPr="00671A2F">
        <w:rPr>
          <w:rFonts w:ascii="Times New Roman" w:hAnsi="Times New Roman" w:cs="Times New Roman"/>
          <w:i/>
        </w:rPr>
        <w:t>Caso Olmedo Bustos y otros (Última Tentación de Cristo) vs. Chile</w:t>
      </w:r>
      <w:r w:rsidRPr="00671A2F">
        <w:rPr>
          <w:rFonts w:ascii="Times New Roman" w:hAnsi="Times New Roman" w:cs="Times New Roman"/>
        </w:rPr>
        <w:t>. Sentencia de 5 de Febrero de 2001. Fondo, Reparaciones y Costas. Série C-73.</w:t>
      </w:r>
    </w:p>
    <w:p w14:paraId="62EA28C5" w14:textId="77777777" w:rsidR="00025D1B" w:rsidRDefault="00025D1B" w:rsidP="00420929">
      <w:pPr>
        <w:pStyle w:val="FootnoteText"/>
        <w:jc w:val="both"/>
      </w:pPr>
    </w:p>
    <w:p w14:paraId="298B5DF3" w14:textId="14D78255" w:rsidR="00025D1B" w:rsidRDefault="00025D1B" w:rsidP="00025D1B">
      <w:pPr>
        <w:pStyle w:val="FootnoteText"/>
        <w:rPr>
          <w:rFonts w:ascii="Times New Roman" w:hAnsi="Times New Roman" w:cs="Times New Roman"/>
        </w:rPr>
      </w:pPr>
      <w:r w:rsidRPr="00025D1B">
        <w:rPr>
          <w:rFonts w:ascii="Times New Roman" w:hAnsi="Times New Roman" w:cs="Times New Roman"/>
        </w:rPr>
        <w:t xml:space="preserve">CORTE INTERAMERICANA DE DERECHOS HUMANOS. </w:t>
      </w:r>
      <w:r w:rsidRPr="00025D1B">
        <w:rPr>
          <w:rFonts w:ascii="Times New Roman" w:hAnsi="Times New Roman" w:cs="Times New Roman"/>
          <w:i/>
        </w:rPr>
        <w:t>Caso Gomes Lund e outros (“Guerrilha do Araguaia”) vs. Brasil</w:t>
      </w:r>
      <w:r w:rsidRPr="00025D1B">
        <w:rPr>
          <w:rFonts w:ascii="Times New Roman" w:hAnsi="Times New Roman" w:cs="Times New Roman"/>
        </w:rPr>
        <w:t xml:space="preserve">. Supervisión de Cumplimiento de Sentencia, </w:t>
      </w:r>
      <w:r w:rsidR="00F30763">
        <w:rPr>
          <w:rFonts w:ascii="Times New Roman" w:hAnsi="Times New Roman" w:cs="Times New Roman"/>
        </w:rPr>
        <w:t xml:space="preserve">Resolución de la Corte Interamericana de Derechos Humanos </w:t>
      </w:r>
      <w:r w:rsidRPr="00025D1B">
        <w:rPr>
          <w:rFonts w:ascii="Times New Roman" w:hAnsi="Times New Roman" w:cs="Times New Roman"/>
        </w:rPr>
        <w:t>de 17 de Octubre de 2017.</w:t>
      </w:r>
    </w:p>
    <w:p w14:paraId="45F73D80" w14:textId="77777777" w:rsidR="00A26490" w:rsidRDefault="00A26490" w:rsidP="00025D1B">
      <w:pPr>
        <w:pStyle w:val="FootnoteText"/>
        <w:rPr>
          <w:rFonts w:ascii="Times New Roman" w:hAnsi="Times New Roman" w:cs="Times New Roman"/>
        </w:rPr>
      </w:pPr>
    </w:p>
    <w:p w14:paraId="38FF3A68" w14:textId="3A983B91" w:rsidR="00A26490" w:rsidRPr="00025D1B" w:rsidRDefault="00A26490" w:rsidP="00025D1B">
      <w:pPr>
        <w:pStyle w:val="FootnoteText"/>
        <w:rPr>
          <w:rFonts w:ascii="Times New Roman" w:hAnsi="Times New Roman" w:cs="Times New Roman"/>
        </w:rPr>
      </w:pPr>
      <w:r w:rsidRPr="00A26490">
        <w:rPr>
          <w:rFonts w:ascii="Times New Roman" w:hAnsi="Times New Roman" w:cs="Times New Roman"/>
        </w:rPr>
        <w:t xml:space="preserve">CORTE INTERAMERICANA DE DERECHOS HUMANOS. </w:t>
      </w:r>
      <w:r w:rsidRPr="00A26490">
        <w:rPr>
          <w:rFonts w:ascii="Times New Roman" w:hAnsi="Times New Roman" w:cs="Times New Roman"/>
          <w:i/>
        </w:rPr>
        <w:t>Caso Favela Nova Brasília vs. Brasil</w:t>
      </w:r>
      <w:r w:rsidRPr="00A26490">
        <w:rPr>
          <w:rFonts w:ascii="Times New Roman" w:hAnsi="Times New Roman" w:cs="Times New Roman"/>
        </w:rPr>
        <w:t>. Sentença de 5 de fevereiro de 2018. Interpretação de Sentença de Exceções Preliminares, Mérito, Reparações e Custas.</w:t>
      </w:r>
    </w:p>
    <w:p w14:paraId="4C2B05D3" w14:textId="77777777" w:rsidR="00025D1B" w:rsidRDefault="00025D1B" w:rsidP="00420929">
      <w:pPr>
        <w:pStyle w:val="FootnoteText"/>
        <w:jc w:val="both"/>
        <w:rPr>
          <w:rFonts w:ascii="Times New Roman" w:hAnsi="Times New Roman" w:cs="Times New Roman"/>
        </w:rPr>
      </w:pPr>
    </w:p>
    <w:p w14:paraId="75B9997C" w14:textId="45C3173B" w:rsidR="00F30763" w:rsidRDefault="00F30763" w:rsidP="00420929">
      <w:pPr>
        <w:pStyle w:val="FootnoteText"/>
        <w:jc w:val="both"/>
        <w:rPr>
          <w:rFonts w:ascii="Times New Roman" w:hAnsi="Times New Roman" w:cs="Times New Roman"/>
        </w:rPr>
      </w:pPr>
      <w:r w:rsidRPr="00F30763">
        <w:rPr>
          <w:rFonts w:ascii="Times New Roman" w:hAnsi="Times New Roman" w:cs="Times New Roman"/>
        </w:rPr>
        <w:t xml:space="preserve">CORTE INTERAMERICANA DE DERECHOS HUMANOS. </w:t>
      </w:r>
      <w:r w:rsidRPr="00F30763">
        <w:rPr>
          <w:rFonts w:ascii="Times New Roman" w:hAnsi="Times New Roman" w:cs="Times New Roman"/>
          <w:i/>
        </w:rPr>
        <w:t>Caso Ximenes Lopes vs. Brasil</w:t>
      </w:r>
      <w:r w:rsidRPr="00F30763">
        <w:rPr>
          <w:rFonts w:ascii="Times New Roman" w:hAnsi="Times New Roman" w:cs="Times New Roman"/>
        </w:rPr>
        <w:t>. Supervisión de Cumplimiento de Sentencia. Resolución de la Corte Interamericana de Derechos Humanos de 17 de mayo de 2010.</w:t>
      </w:r>
    </w:p>
    <w:p w14:paraId="317BDE23" w14:textId="77777777" w:rsidR="005C1C04" w:rsidRPr="005C1C04" w:rsidRDefault="005C1C04" w:rsidP="00420929">
      <w:pPr>
        <w:pStyle w:val="FootnoteText"/>
        <w:jc w:val="both"/>
        <w:rPr>
          <w:rFonts w:ascii="Times New Roman" w:hAnsi="Times New Roman" w:cs="Times New Roman"/>
        </w:rPr>
      </w:pPr>
    </w:p>
    <w:p w14:paraId="7805B436" w14:textId="211558F6" w:rsidR="005C1C04" w:rsidRPr="005C1C04" w:rsidRDefault="005C1C04" w:rsidP="00420929">
      <w:pPr>
        <w:pStyle w:val="FootnoteText"/>
        <w:jc w:val="both"/>
        <w:rPr>
          <w:rFonts w:ascii="Times New Roman" w:hAnsi="Times New Roman" w:cs="Times New Roman"/>
        </w:rPr>
      </w:pPr>
      <w:r w:rsidRPr="005C1C04">
        <w:rPr>
          <w:rFonts w:ascii="Times New Roman" w:hAnsi="Times New Roman" w:cs="Times New Roman"/>
        </w:rPr>
        <w:t xml:space="preserve">CORTE INTERAMERICANA DE DERECHOS HUMANOS. </w:t>
      </w:r>
      <w:r w:rsidRPr="005C1C04">
        <w:rPr>
          <w:rFonts w:ascii="Times New Roman" w:hAnsi="Times New Roman" w:cs="Times New Roman"/>
          <w:i/>
        </w:rPr>
        <w:t xml:space="preserve">Caso Artavia Murillo y otros </w:t>
      </w:r>
      <w:r w:rsidR="00BB3E01">
        <w:rPr>
          <w:rFonts w:ascii="Times New Roman" w:hAnsi="Times New Roman" w:cs="Times New Roman"/>
          <w:i/>
        </w:rPr>
        <w:t xml:space="preserve">(Fecundación in vitro) </w:t>
      </w:r>
      <w:r w:rsidRPr="005C1C04">
        <w:rPr>
          <w:rFonts w:ascii="Times New Roman" w:hAnsi="Times New Roman" w:cs="Times New Roman"/>
          <w:i/>
        </w:rPr>
        <w:t>vs. Costa Rica</w:t>
      </w:r>
      <w:r w:rsidRPr="005C1C04">
        <w:rPr>
          <w:rFonts w:ascii="Times New Roman" w:hAnsi="Times New Roman" w:cs="Times New Roman"/>
        </w:rPr>
        <w:t xml:space="preserve">. Sentencia de 28 de noviembre de 2012. </w:t>
      </w:r>
      <w:r w:rsidRPr="005C1C04">
        <w:rPr>
          <w:rFonts w:ascii="Times New Roman" w:hAnsi="Times New Roman" w:cs="Times New Roman"/>
          <w:bCs/>
        </w:rPr>
        <w:t>Excepciones Preliminares, Fondo, Reparaciones y Costas. Série C-257</w:t>
      </w:r>
      <w:r w:rsidRPr="005C1C04">
        <w:rPr>
          <w:rFonts w:ascii="Times New Roman" w:hAnsi="Times New Roman" w:cs="Times New Roman"/>
          <w:b/>
          <w:bCs/>
        </w:rPr>
        <w:t>.</w:t>
      </w:r>
    </w:p>
    <w:p w14:paraId="673A057A" w14:textId="77777777" w:rsidR="00705242" w:rsidRPr="00E84C49" w:rsidRDefault="00705242" w:rsidP="00420929">
      <w:pPr>
        <w:pStyle w:val="FootnoteText"/>
        <w:jc w:val="both"/>
        <w:rPr>
          <w:rFonts w:ascii="Times New Roman" w:hAnsi="Times New Roman" w:cs="Times New Roman"/>
        </w:rPr>
      </w:pPr>
    </w:p>
    <w:p w14:paraId="6C434B40" w14:textId="77777777" w:rsidR="00DD6B12" w:rsidRPr="005503D6" w:rsidRDefault="00DD6B12" w:rsidP="00420929">
      <w:pPr>
        <w:pStyle w:val="FootnoteText"/>
        <w:jc w:val="both"/>
        <w:rPr>
          <w:rFonts w:ascii="Times New Roman" w:hAnsi="Times New Roman" w:cs="Times New Roman"/>
        </w:rPr>
      </w:pPr>
      <w:r w:rsidRPr="005503D6">
        <w:rPr>
          <w:rFonts w:ascii="Times New Roman" w:hAnsi="Times New Roman" w:cs="Times New Roman"/>
        </w:rPr>
        <w:t xml:space="preserve">DALMAU, Rubem Martínez. Asembleas constituíntes e novo constitucionalismo en América Latina. </w:t>
      </w:r>
      <w:r w:rsidRPr="005503D6">
        <w:rPr>
          <w:rFonts w:ascii="Times New Roman" w:hAnsi="Times New Roman" w:cs="Times New Roman"/>
          <w:i/>
        </w:rPr>
        <w:t>Tempo Exterior</w:t>
      </w:r>
      <w:r w:rsidRPr="005503D6">
        <w:rPr>
          <w:rFonts w:ascii="Times New Roman" w:hAnsi="Times New Roman" w:cs="Times New Roman"/>
        </w:rPr>
        <w:t>, Pontevedra, n. 17, p. 5-15, xulio/deciembre 2008.</w:t>
      </w:r>
    </w:p>
    <w:p w14:paraId="6CAACAE9" w14:textId="77777777" w:rsidR="00DD6B12" w:rsidRPr="005503D6" w:rsidRDefault="00DD6B12" w:rsidP="00420929">
      <w:pPr>
        <w:pStyle w:val="FootnoteText"/>
        <w:jc w:val="both"/>
        <w:rPr>
          <w:rFonts w:ascii="Times New Roman" w:hAnsi="Times New Roman" w:cs="Times New Roman"/>
        </w:rPr>
      </w:pPr>
    </w:p>
    <w:p w14:paraId="5E6E8D41" w14:textId="77777777" w:rsidR="00DD6B12" w:rsidRPr="005503D6" w:rsidRDefault="00DD6B12" w:rsidP="00420929">
      <w:pPr>
        <w:pStyle w:val="FootnoteText"/>
        <w:jc w:val="both"/>
        <w:rPr>
          <w:rFonts w:ascii="Times New Roman" w:hAnsi="Times New Roman" w:cs="Times New Roman"/>
        </w:rPr>
      </w:pPr>
      <w:r w:rsidRPr="005503D6">
        <w:rPr>
          <w:rFonts w:ascii="Times New Roman" w:hAnsi="Times New Roman" w:cs="Times New Roman"/>
        </w:rPr>
        <w:t xml:space="preserve">De VERGOTTINI, Giuseppe. </w:t>
      </w:r>
      <w:r w:rsidRPr="002B0178">
        <w:rPr>
          <w:rFonts w:ascii="Times New Roman" w:hAnsi="Times New Roman" w:cs="Times New Roman"/>
          <w:color w:val="1A1718"/>
        </w:rPr>
        <w:t xml:space="preserve">El diálogo entre tribunales. Traducción de F. Reviriego Picón. </w:t>
      </w:r>
      <w:r w:rsidRPr="002B0178">
        <w:rPr>
          <w:rFonts w:ascii="Times New Roman" w:hAnsi="Times New Roman" w:cs="Times New Roman"/>
          <w:i/>
          <w:color w:val="1A1718"/>
        </w:rPr>
        <w:t>Teoría y Realidad Constitucional</w:t>
      </w:r>
      <w:r w:rsidRPr="002B0178">
        <w:rPr>
          <w:rFonts w:ascii="Times New Roman" w:hAnsi="Times New Roman" w:cs="Times New Roman"/>
          <w:color w:val="1A1718"/>
        </w:rPr>
        <w:t>: Revista Jurídica da UNED, Madrid, n. 28, p. 335-352, 2011.</w:t>
      </w:r>
    </w:p>
    <w:p w14:paraId="59B06063" w14:textId="77777777" w:rsidR="00DD6B12" w:rsidRPr="005503D6" w:rsidRDefault="00DD6B12" w:rsidP="00420929">
      <w:pPr>
        <w:pStyle w:val="FootnoteText"/>
        <w:jc w:val="both"/>
        <w:rPr>
          <w:rFonts w:ascii="Times New Roman" w:hAnsi="Times New Roman" w:cs="Times New Roman"/>
        </w:rPr>
      </w:pPr>
    </w:p>
    <w:p w14:paraId="6F3745CD" w14:textId="1BA633FF" w:rsidR="00DD6B12" w:rsidRPr="005503D6" w:rsidRDefault="00DD6B12" w:rsidP="00420929">
      <w:pPr>
        <w:pStyle w:val="FootnoteText"/>
        <w:jc w:val="both"/>
        <w:rPr>
          <w:rFonts w:ascii="Times New Roman" w:hAnsi="Times New Roman" w:cs="Times New Roman"/>
        </w:rPr>
      </w:pPr>
      <w:proofErr w:type="gramStart"/>
      <w:r w:rsidRPr="005503D6">
        <w:rPr>
          <w:rFonts w:ascii="Times New Roman" w:hAnsi="Times New Roman" w:cs="Times New Roman"/>
          <w:lang w:val="en-US"/>
        </w:rPr>
        <w:t>DELMAS-MARTY, Mireille.</w:t>
      </w:r>
      <w:proofErr w:type="gramEnd"/>
      <w:r w:rsidRPr="005503D6">
        <w:rPr>
          <w:rFonts w:ascii="Times New Roman" w:hAnsi="Times New Roman" w:cs="Times New Roman"/>
          <w:lang w:val="en-US"/>
        </w:rPr>
        <w:t xml:space="preserve"> </w:t>
      </w:r>
      <w:proofErr w:type="gramStart"/>
      <w:r w:rsidRPr="005503D6">
        <w:rPr>
          <w:rFonts w:ascii="Times New Roman" w:hAnsi="Times New Roman" w:cs="Times New Roman"/>
          <w:i/>
          <w:lang w:val="en-US"/>
        </w:rPr>
        <w:t>Legal pluralism as a dynamic process in a moving world</w:t>
      </w:r>
      <w:r w:rsidRPr="005503D6">
        <w:rPr>
          <w:rFonts w:ascii="Times New Roman" w:hAnsi="Times New Roman" w:cs="Times New Roman"/>
          <w:lang w:val="en-US"/>
        </w:rPr>
        <w:t>.</w:t>
      </w:r>
      <w:proofErr w:type="gramEnd"/>
      <w:r w:rsidRPr="005503D6">
        <w:rPr>
          <w:rFonts w:ascii="Times New Roman" w:hAnsi="Times New Roman" w:cs="Times New Roman"/>
          <w:lang w:val="en-US"/>
        </w:rPr>
        <w:t xml:space="preserve"> </w:t>
      </w:r>
      <w:r w:rsidRPr="002B0178">
        <w:rPr>
          <w:rFonts w:ascii="Times New Roman" w:hAnsi="Times New Roman" w:cs="Times New Roman"/>
        </w:rPr>
        <w:t xml:space="preserve">Feb 28, 2018. Disponível em: </w:t>
      </w:r>
      <w:hyperlink r:id="rId12" w:history="1">
        <w:r w:rsidR="00671A2F" w:rsidRPr="00256308">
          <w:rPr>
            <w:rStyle w:val="Hyperlink"/>
            <w:rFonts w:ascii="Times New Roman" w:hAnsi="Times New Roman" w:cs="Times New Roman"/>
          </w:rPr>
          <w:t>http://jamesgstewart.com/legal-pluralism-as-a-dynamic-process-in-a-moving-world/</w:t>
        </w:r>
      </w:hyperlink>
      <w:r w:rsidR="00671A2F">
        <w:rPr>
          <w:rFonts w:ascii="Times New Roman" w:hAnsi="Times New Roman" w:cs="Times New Roman"/>
        </w:rPr>
        <w:t xml:space="preserve"> </w:t>
      </w:r>
      <w:r w:rsidRPr="002B0178">
        <w:rPr>
          <w:rFonts w:ascii="Times New Roman" w:hAnsi="Times New Roman" w:cs="Times New Roman"/>
        </w:rPr>
        <w:t xml:space="preserve">. </w:t>
      </w:r>
      <w:r w:rsidRPr="005503D6">
        <w:rPr>
          <w:rFonts w:ascii="Times New Roman" w:hAnsi="Times New Roman" w:cs="Times New Roman"/>
          <w:lang w:val="en-US"/>
        </w:rPr>
        <w:t>Accesso em: 25 mar. 2019.</w:t>
      </w:r>
    </w:p>
    <w:p w14:paraId="367DBEBD" w14:textId="77777777" w:rsidR="00DD6B12" w:rsidRPr="005503D6" w:rsidRDefault="00DD6B12" w:rsidP="00420929">
      <w:pPr>
        <w:pStyle w:val="FootnoteText"/>
        <w:jc w:val="both"/>
        <w:rPr>
          <w:rFonts w:ascii="Times New Roman" w:hAnsi="Times New Roman" w:cs="Times New Roman"/>
        </w:rPr>
      </w:pPr>
    </w:p>
    <w:p w14:paraId="110B167B" w14:textId="77777777" w:rsidR="00DD6B12" w:rsidRPr="002B0178" w:rsidRDefault="00DD6B12" w:rsidP="00420929">
      <w:pPr>
        <w:pStyle w:val="FootnoteText"/>
        <w:jc w:val="both"/>
        <w:rPr>
          <w:rFonts w:ascii="Times New Roman" w:hAnsi="Times New Roman" w:cs="Times New Roman"/>
          <w:lang w:val="en-US"/>
        </w:rPr>
      </w:pPr>
      <w:proofErr w:type="gramStart"/>
      <w:r w:rsidRPr="002B0178">
        <w:rPr>
          <w:rFonts w:ascii="Times New Roman" w:hAnsi="Times New Roman" w:cs="Times New Roman"/>
          <w:lang w:val="en-US"/>
        </w:rPr>
        <w:t>DELMAS-MARTY, Mireille.</w:t>
      </w:r>
      <w:proofErr w:type="gramEnd"/>
      <w:r w:rsidRPr="002B0178">
        <w:rPr>
          <w:rFonts w:ascii="Times New Roman" w:hAnsi="Times New Roman" w:cs="Times New Roman"/>
          <w:lang w:val="en-US"/>
        </w:rPr>
        <w:t xml:space="preserve"> </w:t>
      </w:r>
      <w:r w:rsidRPr="005503D6">
        <w:rPr>
          <w:rFonts w:ascii="Times New Roman" w:hAnsi="Times New Roman" w:cs="Times New Roman"/>
          <w:lang w:val="en-US"/>
        </w:rPr>
        <w:t xml:space="preserve">Ordering Pluralism. </w:t>
      </w:r>
      <w:proofErr w:type="gramStart"/>
      <w:r w:rsidRPr="005503D6">
        <w:rPr>
          <w:rFonts w:ascii="Times New Roman" w:hAnsi="Times New Roman" w:cs="Times New Roman"/>
          <w:i/>
          <w:lang w:val="en-US"/>
        </w:rPr>
        <w:t>Max Weber Lecture Series</w:t>
      </w:r>
      <w:r w:rsidRPr="005503D6">
        <w:rPr>
          <w:rFonts w:ascii="Times New Roman" w:hAnsi="Times New Roman" w:cs="Times New Roman"/>
          <w:lang w:val="en-US"/>
        </w:rPr>
        <w:t xml:space="preserve"> 2009/06.</w:t>
      </w:r>
      <w:proofErr w:type="gramEnd"/>
      <w:r w:rsidRPr="005503D6">
        <w:rPr>
          <w:rFonts w:ascii="Times New Roman" w:hAnsi="Times New Roman" w:cs="Times New Roman"/>
          <w:lang w:val="en-US"/>
        </w:rPr>
        <w:t xml:space="preserve"> Florence: European University Institute, 2006.</w:t>
      </w:r>
    </w:p>
    <w:p w14:paraId="716A1A89" w14:textId="77777777" w:rsidR="00DD6B12" w:rsidRPr="002B0178" w:rsidRDefault="00DD6B12" w:rsidP="00420929">
      <w:pPr>
        <w:pStyle w:val="FootnoteText"/>
        <w:jc w:val="both"/>
        <w:rPr>
          <w:rFonts w:ascii="Times New Roman" w:hAnsi="Times New Roman" w:cs="Times New Roman"/>
          <w:lang w:val="en-US"/>
        </w:rPr>
      </w:pPr>
    </w:p>
    <w:p w14:paraId="16CDB271" w14:textId="6851B1CA" w:rsidR="00DD6B12" w:rsidRPr="005503D6" w:rsidRDefault="00DD6B12" w:rsidP="00420929">
      <w:pPr>
        <w:pStyle w:val="FootnoteText"/>
        <w:jc w:val="both"/>
        <w:rPr>
          <w:rFonts w:ascii="Times New Roman" w:hAnsi="Times New Roman" w:cs="Times New Roman"/>
        </w:rPr>
      </w:pPr>
      <w:proofErr w:type="gramStart"/>
      <w:r w:rsidRPr="005503D6">
        <w:rPr>
          <w:rFonts w:ascii="Times New Roman" w:hAnsi="Times New Roman" w:cs="Times New Roman"/>
          <w:lang w:val="en-US"/>
        </w:rPr>
        <w:t>DELMAS-MARTY, Mireille.</w:t>
      </w:r>
      <w:proofErr w:type="gramEnd"/>
      <w:r w:rsidRPr="005503D6">
        <w:rPr>
          <w:rFonts w:ascii="Times New Roman" w:hAnsi="Times New Roman" w:cs="Times New Roman"/>
          <w:lang w:val="en-US"/>
        </w:rPr>
        <w:t xml:space="preserve"> </w:t>
      </w:r>
      <w:r w:rsidRPr="002B0178">
        <w:rPr>
          <w:rFonts w:ascii="Times New Roman" w:eastAsia="Times New Roman" w:hAnsi="Times New Roman" w:cs="Times New Roman"/>
          <w:i/>
          <w:lang w:val="en-US"/>
        </w:rPr>
        <w:t>Les Forces imaginantes du droit,</w:t>
      </w:r>
      <w:r w:rsidRPr="002B0178">
        <w:rPr>
          <w:rFonts w:ascii="Times New Roman" w:eastAsia="Times New Roman" w:hAnsi="Times New Roman" w:cs="Times New Roman"/>
          <w:lang w:val="en-US"/>
        </w:rPr>
        <w:t xml:space="preserve"> volume 2. </w:t>
      </w:r>
      <w:r w:rsidRPr="005503D6">
        <w:rPr>
          <w:rFonts w:ascii="Times New Roman" w:eastAsia="Times New Roman" w:hAnsi="Times New Roman" w:cs="Times New Roman"/>
        </w:rPr>
        <w:t>Le Pluralisme ordonné. Paris: Seuil, 2006.</w:t>
      </w:r>
    </w:p>
    <w:p w14:paraId="37F1146E" w14:textId="77777777" w:rsidR="00705242" w:rsidRPr="005503D6" w:rsidRDefault="00705242" w:rsidP="00420929">
      <w:pPr>
        <w:pStyle w:val="FootnoteText"/>
        <w:jc w:val="both"/>
        <w:rPr>
          <w:rFonts w:ascii="Times New Roman" w:hAnsi="Times New Roman" w:cs="Times New Roman"/>
        </w:rPr>
      </w:pPr>
    </w:p>
    <w:p w14:paraId="38E23668" w14:textId="77777777" w:rsidR="00670104" w:rsidRPr="005503D6" w:rsidRDefault="00670104" w:rsidP="00420929">
      <w:pPr>
        <w:pStyle w:val="FootnoteText"/>
        <w:jc w:val="both"/>
        <w:rPr>
          <w:rFonts w:ascii="Times New Roman" w:hAnsi="Times New Roman" w:cs="Times New Roman"/>
        </w:rPr>
      </w:pPr>
      <w:r w:rsidRPr="005503D6">
        <w:rPr>
          <w:rFonts w:ascii="Times New Roman" w:hAnsi="Times New Roman" w:cs="Times New Roman"/>
        </w:rPr>
        <w:t xml:space="preserve">FACHIN, Melina Girardi. À Guisa de Introdução: os sentidos do constitucionalismo multinível”. In FACHIN, Melina Girardi (org.). </w:t>
      </w:r>
      <w:r w:rsidRPr="005503D6">
        <w:rPr>
          <w:rFonts w:ascii="Times New Roman" w:hAnsi="Times New Roman" w:cs="Times New Roman"/>
          <w:i/>
        </w:rPr>
        <w:t>Direito Constitucional Multinível</w:t>
      </w:r>
      <w:r w:rsidRPr="005503D6">
        <w:rPr>
          <w:rFonts w:ascii="Times New Roman" w:hAnsi="Times New Roman" w:cs="Times New Roman"/>
        </w:rPr>
        <w:t>: Diálogos a partir do Direito Internacional dos Direitos Humanos. Curitiba: Prismas, 2017.</w:t>
      </w:r>
    </w:p>
    <w:p w14:paraId="594E126A" w14:textId="77777777" w:rsidR="00670104" w:rsidRPr="005503D6" w:rsidRDefault="00670104" w:rsidP="00420929">
      <w:pPr>
        <w:pStyle w:val="FootnoteText"/>
        <w:jc w:val="both"/>
        <w:rPr>
          <w:rFonts w:ascii="Times New Roman" w:hAnsi="Times New Roman" w:cs="Times New Roman"/>
        </w:rPr>
      </w:pPr>
    </w:p>
    <w:p w14:paraId="22097F1A" w14:textId="77777777" w:rsidR="00DD6E30" w:rsidRPr="002B0178" w:rsidRDefault="00DD6E30" w:rsidP="00420929">
      <w:pPr>
        <w:pStyle w:val="FootnoteText"/>
        <w:jc w:val="both"/>
        <w:rPr>
          <w:rFonts w:ascii="Times New Roman" w:hAnsi="Times New Roman" w:cs="Times New Roman"/>
          <w:lang w:val="en-US"/>
        </w:rPr>
      </w:pPr>
      <w:r w:rsidRPr="005503D6">
        <w:rPr>
          <w:rFonts w:ascii="Times New Roman" w:hAnsi="Times New Roman" w:cs="Times New Roman"/>
        </w:rPr>
        <w:t xml:space="preserve">FERREIRA, Aurélio Buarque de Holanda. </w:t>
      </w:r>
      <w:r w:rsidRPr="005503D6">
        <w:rPr>
          <w:rFonts w:ascii="Times New Roman" w:hAnsi="Times New Roman" w:cs="Times New Roman"/>
          <w:i/>
        </w:rPr>
        <w:t>Miniaurélio</w:t>
      </w:r>
      <w:r w:rsidRPr="005503D6">
        <w:rPr>
          <w:rFonts w:ascii="Times New Roman" w:hAnsi="Times New Roman" w:cs="Times New Roman"/>
        </w:rPr>
        <w:t xml:space="preserve">: O Dicionário da Língua Portuguesa. </w:t>
      </w:r>
      <w:proofErr w:type="gramStart"/>
      <w:r w:rsidRPr="002B0178">
        <w:rPr>
          <w:rFonts w:ascii="Times New Roman" w:hAnsi="Times New Roman" w:cs="Times New Roman"/>
          <w:lang w:val="en-US"/>
        </w:rPr>
        <w:t>7 ed. Verbete diálogo.</w:t>
      </w:r>
      <w:proofErr w:type="gramEnd"/>
      <w:r w:rsidRPr="002B0178">
        <w:rPr>
          <w:rFonts w:ascii="Times New Roman" w:hAnsi="Times New Roman" w:cs="Times New Roman"/>
          <w:lang w:val="en-US"/>
        </w:rPr>
        <w:t xml:space="preserve"> Curitiba: Positivo, 2009.</w:t>
      </w:r>
    </w:p>
    <w:p w14:paraId="4BD769FA" w14:textId="77777777" w:rsidR="00DD6E30" w:rsidRPr="002B0178" w:rsidRDefault="00DD6E30" w:rsidP="00420929">
      <w:pPr>
        <w:pStyle w:val="FootnoteText"/>
        <w:jc w:val="both"/>
        <w:rPr>
          <w:rFonts w:ascii="Times New Roman" w:hAnsi="Times New Roman" w:cs="Times New Roman"/>
          <w:lang w:val="en-US"/>
        </w:rPr>
      </w:pPr>
    </w:p>
    <w:p w14:paraId="23255629" w14:textId="77777777" w:rsidR="00670104" w:rsidRPr="002B0178" w:rsidRDefault="00670104" w:rsidP="00420929">
      <w:pPr>
        <w:pStyle w:val="FootnoteText"/>
        <w:jc w:val="both"/>
        <w:rPr>
          <w:rFonts w:ascii="Times New Roman" w:hAnsi="Times New Roman" w:cs="Times New Roman"/>
          <w:lang w:val="en-US"/>
        </w:rPr>
      </w:pPr>
      <w:proofErr w:type="gramStart"/>
      <w:r w:rsidRPr="002B0178">
        <w:rPr>
          <w:rFonts w:ascii="Times New Roman" w:hAnsi="Times New Roman" w:cs="Times New Roman"/>
          <w:lang w:val="en-US"/>
        </w:rPr>
        <w:t>FERRER MAC-GREGOR, Eduardo.</w:t>
      </w:r>
      <w:proofErr w:type="gramEnd"/>
      <w:r w:rsidRPr="002B0178">
        <w:rPr>
          <w:rFonts w:ascii="Times New Roman" w:hAnsi="Times New Roman" w:cs="Times New Roman"/>
          <w:lang w:val="en-US"/>
        </w:rPr>
        <w:t xml:space="preserve"> What Do We Mean When We Talk About Judicial Dialogue? </w:t>
      </w:r>
      <w:proofErr w:type="gramStart"/>
      <w:r w:rsidRPr="002B0178">
        <w:rPr>
          <w:rFonts w:ascii="Times New Roman" w:hAnsi="Times New Roman" w:cs="Times New Roman"/>
          <w:lang w:val="en-US"/>
        </w:rPr>
        <w:t>Reflections of a Judge of the Inter-American Court of Human Rights.</w:t>
      </w:r>
      <w:proofErr w:type="gramEnd"/>
      <w:r w:rsidRPr="002B0178">
        <w:rPr>
          <w:rFonts w:ascii="Times New Roman" w:hAnsi="Times New Roman" w:cs="Times New Roman"/>
          <w:lang w:val="en-US"/>
        </w:rPr>
        <w:t xml:space="preserve"> </w:t>
      </w:r>
      <w:r w:rsidRPr="002B0178">
        <w:rPr>
          <w:rFonts w:ascii="Times New Roman" w:hAnsi="Times New Roman" w:cs="Times New Roman"/>
          <w:i/>
          <w:lang w:val="en-US"/>
        </w:rPr>
        <w:t>Harvard Human Rights Journal</w:t>
      </w:r>
      <w:r w:rsidRPr="002B0178">
        <w:rPr>
          <w:rFonts w:ascii="Times New Roman" w:hAnsi="Times New Roman" w:cs="Times New Roman"/>
          <w:lang w:val="en-US"/>
        </w:rPr>
        <w:t>, Cambridge, v. 30, p. 89-127, 2017, p. 91.</w:t>
      </w:r>
    </w:p>
    <w:p w14:paraId="7FBAD8B8" w14:textId="77777777" w:rsidR="00496C1B" w:rsidRPr="002B0178" w:rsidRDefault="00496C1B" w:rsidP="00420929">
      <w:pPr>
        <w:pStyle w:val="FootnoteText"/>
        <w:jc w:val="both"/>
        <w:rPr>
          <w:rFonts w:ascii="Times New Roman" w:hAnsi="Times New Roman" w:cs="Times New Roman"/>
          <w:lang w:val="en-US"/>
        </w:rPr>
      </w:pPr>
    </w:p>
    <w:p w14:paraId="7156668A" w14:textId="61C5D763" w:rsidR="00820115" w:rsidRPr="005503D6" w:rsidRDefault="00820115" w:rsidP="00420929">
      <w:pPr>
        <w:pStyle w:val="FootnoteText"/>
        <w:jc w:val="both"/>
        <w:rPr>
          <w:rFonts w:ascii="Times New Roman" w:hAnsi="Times New Roman" w:cs="Times New Roman"/>
        </w:rPr>
      </w:pPr>
      <w:proofErr w:type="gramStart"/>
      <w:r w:rsidRPr="002B0178">
        <w:rPr>
          <w:rFonts w:ascii="Times New Roman" w:hAnsi="Times New Roman" w:cs="Times New Roman"/>
          <w:lang w:val="en-US"/>
        </w:rPr>
        <w:t>FIX-ZAMUNDIO, Héctor.</w:t>
      </w:r>
      <w:proofErr w:type="gramEnd"/>
      <w:r w:rsidRPr="002B0178">
        <w:rPr>
          <w:rFonts w:ascii="Times New Roman" w:hAnsi="Times New Roman" w:cs="Times New Roman"/>
          <w:lang w:val="en-US"/>
        </w:rPr>
        <w:t xml:space="preserve"> </w:t>
      </w:r>
      <w:r w:rsidRPr="005503D6">
        <w:rPr>
          <w:rFonts w:ascii="Times New Roman" w:hAnsi="Times New Roman" w:cs="Times New Roman"/>
        </w:rPr>
        <w:t xml:space="preserve">Relaciones entre los Tribunales Constitucionales latino-americanos y la Corte Interamericana de Derechos Humanos. In FERRER MAC-GREGOR, </w:t>
      </w:r>
      <w:r w:rsidRPr="005503D6">
        <w:rPr>
          <w:rFonts w:ascii="Times New Roman" w:hAnsi="Times New Roman" w:cs="Times New Roman"/>
        </w:rPr>
        <w:lastRenderedPageBreak/>
        <w:t xml:space="preserve">Eduardo; HERRERA GARCÍA, Alfonso (coord.) </w:t>
      </w:r>
      <w:r w:rsidRPr="005503D6">
        <w:rPr>
          <w:rFonts w:ascii="Times New Roman" w:hAnsi="Times New Roman" w:cs="Times New Roman"/>
          <w:i/>
        </w:rPr>
        <w:t>Diálogo Jurisprudencial en Derechos Humanos</w:t>
      </w:r>
      <w:r w:rsidRPr="005503D6">
        <w:rPr>
          <w:rFonts w:ascii="Times New Roman" w:hAnsi="Times New Roman" w:cs="Times New Roman"/>
        </w:rPr>
        <w:t>: Entre Tribunales Constitucionales y Cortes Internacionales. Valencia: Tirant lo Blanch, 2</w:t>
      </w:r>
      <w:r w:rsidR="00F87B89" w:rsidRPr="005503D6">
        <w:rPr>
          <w:rFonts w:ascii="Times New Roman" w:hAnsi="Times New Roman" w:cs="Times New Roman"/>
        </w:rPr>
        <w:t>013. p. 673-765</w:t>
      </w:r>
      <w:r w:rsidRPr="005503D6">
        <w:rPr>
          <w:rFonts w:ascii="Times New Roman" w:hAnsi="Times New Roman" w:cs="Times New Roman"/>
        </w:rPr>
        <w:t>.</w:t>
      </w:r>
    </w:p>
    <w:p w14:paraId="3ACCD359" w14:textId="77777777" w:rsidR="00DD6B12" w:rsidRPr="005503D6" w:rsidRDefault="00DD6B12" w:rsidP="00420929">
      <w:pPr>
        <w:pStyle w:val="FootnoteText"/>
        <w:jc w:val="both"/>
        <w:rPr>
          <w:rFonts w:ascii="Times New Roman" w:hAnsi="Times New Roman" w:cs="Times New Roman"/>
        </w:rPr>
      </w:pPr>
    </w:p>
    <w:p w14:paraId="5ED4D3A6" w14:textId="14B38990" w:rsidR="00DD6B12" w:rsidRDefault="00DD6B12" w:rsidP="00420929">
      <w:pPr>
        <w:pStyle w:val="FootnoteText"/>
        <w:jc w:val="both"/>
        <w:rPr>
          <w:rFonts w:ascii="Times New Roman" w:hAnsi="Times New Roman" w:cs="Times New Roman"/>
        </w:rPr>
      </w:pPr>
      <w:r w:rsidRPr="005503D6">
        <w:rPr>
          <w:rFonts w:ascii="Times New Roman" w:hAnsi="Times New Roman" w:cs="Times New Roman"/>
        </w:rPr>
        <w:t xml:space="preserve">FOLLONI, André. A complexidade ideológica, jurídica e política do desenvolvimento sustentável e a necessidade de compreensão interdisciplinar do problema. </w:t>
      </w:r>
      <w:r w:rsidRPr="005503D6">
        <w:rPr>
          <w:rFonts w:ascii="Times New Roman" w:hAnsi="Times New Roman" w:cs="Times New Roman"/>
          <w:i/>
        </w:rPr>
        <w:t>Revista Direitos Humanos Fundamentais</w:t>
      </w:r>
      <w:r w:rsidRPr="005503D6">
        <w:rPr>
          <w:rFonts w:ascii="Times New Roman" w:hAnsi="Times New Roman" w:cs="Times New Roman"/>
        </w:rPr>
        <w:t>. Osasco, ano 14, n. 1, p. 63-91, jan-jun/2014.</w:t>
      </w:r>
    </w:p>
    <w:p w14:paraId="462EC3CE" w14:textId="77777777" w:rsidR="00E41CD4" w:rsidRDefault="00E41CD4" w:rsidP="00420929">
      <w:pPr>
        <w:pStyle w:val="FootnoteText"/>
        <w:jc w:val="both"/>
        <w:rPr>
          <w:rFonts w:ascii="Times New Roman" w:hAnsi="Times New Roman" w:cs="Times New Roman"/>
        </w:rPr>
      </w:pPr>
    </w:p>
    <w:p w14:paraId="0B1A7D2C" w14:textId="5EBFEC66" w:rsidR="00E41CD4" w:rsidRPr="005503D6" w:rsidRDefault="00E41CD4" w:rsidP="00420929">
      <w:pPr>
        <w:pStyle w:val="FootnoteText"/>
        <w:jc w:val="both"/>
        <w:rPr>
          <w:rFonts w:ascii="Times New Roman" w:hAnsi="Times New Roman" w:cs="Times New Roman"/>
        </w:rPr>
      </w:pPr>
      <w:r w:rsidRPr="00E41CD4">
        <w:rPr>
          <w:rFonts w:ascii="Times New Roman" w:hAnsi="Times New Roman" w:cs="Times New Roman"/>
        </w:rPr>
        <w:t xml:space="preserve">GABRIEL MAINO, Carlos Alberto. Los derechos humanos: baluarte y socavo de las instituciones. Hacia un adecuado equilibrio entre el control judicial de convencionalidad y la representación política de los procesos democráticos. </w:t>
      </w:r>
      <w:r w:rsidRPr="00E41CD4">
        <w:rPr>
          <w:rFonts w:ascii="Times New Roman" w:hAnsi="Times New Roman" w:cs="Times New Roman"/>
          <w:i/>
        </w:rPr>
        <w:t>Anuario de Derecho Constitucional Latinoamericano</w:t>
      </w:r>
      <w:r w:rsidRPr="00E41CD4">
        <w:rPr>
          <w:rFonts w:ascii="Times New Roman" w:hAnsi="Times New Roman" w:cs="Times New Roman"/>
        </w:rPr>
        <w:t>, Bogota, v. 22, Fundación Konrad Adenauer, Programa de Estado de Derecho para Latinoamérica, 2016. p. 357-380</w:t>
      </w:r>
      <w:r w:rsidR="002B73FF">
        <w:rPr>
          <w:rFonts w:ascii="Times New Roman" w:hAnsi="Times New Roman" w:cs="Times New Roman"/>
        </w:rPr>
        <w:t>.</w:t>
      </w:r>
    </w:p>
    <w:p w14:paraId="081FF07C" w14:textId="77777777" w:rsidR="00661078" w:rsidRPr="002B0178" w:rsidRDefault="00661078" w:rsidP="00420929">
      <w:pPr>
        <w:pStyle w:val="FootnoteText"/>
        <w:jc w:val="both"/>
        <w:rPr>
          <w:rFonts w:ascii="Times New Roman" w:hAnsi="Times New Roman" w:cs="Times New Roman"/>
        </w:rPr>
      </w:pPr>
    </w:p>
    <w:p w14:paraId="5C4E96A8" w14:textId="4DF69787" w:rsidR="00661078" w:rsidRPr="005503D6" w:rsidRDefault="00661078" w:rsidP="00420929">
      <w:pPr>
        <w:pStyle w:val="FootnoteText"/>
        <w:jc w:val="both"/>
        <w:rPr>
          <w:rFonts w:ascii="Times New Roman" w:hAnsi="Times New Roman" w:cs="Times New Roman"/>
        </w:rPr>
      </w:pPr>
      <w:r w:rsidRPr="002B0178">
        <w:rPr>
          <w:rFonts w:ascii="Times New Roman" w:hAnsi="Times New Roman" w:cs="Times New Roman"/>
        </w:rPr>
        <w:t xml:space="preserve">GARCÍA RAMIREZ, Sérgio. La “navegación americana” de los derechos humanos: hacia un </w:t>
      </w:r>
      <w:r w:rsidRPr="002B0178">
        <w:rPr>
          <w:rFonts w:ascii="Times New Roman" w:hAnsi="Times New Roman" w:cs="Times New Roman"/>
          <w:i/>
          <w:iCs/>
        </w:rPr>
        <w:t>Ius Commune</w:t>
      </w:r>
      <w:r w:rsidRPr="002B0178">
        <w:rPr>
          <w:rFonts w:ascii="Times New Roman" w:hAnsi="Times New Roman" w:cs="Times New Roman"/>
          <w:iCs/>
        </w:rPr>
        <w:t xml:space="preserve">. In von BOGDANDY, Armin; MORALES ANTONIAZZI, Mariela; FERRER MAC-GREGOR, Eduardo (coord.). </w:t>
      </w:r>
      <w:r w:rsidRPr="002B0178">
        <w:rPr>
          <w:rFonts w:ascii="Times New Roman" w:hAnsi="Times New Roman" w:cs="Times New Roman"/>
          <w:i/>
          <w:iCs/>
        </w:rPr>
        <w:t>Ius Constitutionale Commune en América Latina</w:t>
      </w:r>
      <w:r w:rsidRPr="002B0178">
        <w:rPr>
          <w:rFonts w:ascii="Times New Roman" w:hAnsi="Times New Roman" w:cs="Times New Roman"/>
          <w:iCs/>
        </w:rPr>
        <w:t xml:space="preserve">: textos básicos para su comprensión. México: </w:t>
      </w:r>
      <w:r w:rsidRPr="002B0178">
        <w:rPr>
          <w:rFonts w:ascii="Times New Roman" w:hAnsi="Times New Roman" w:cs="Times New Roman"/>
        </w:rPr>
        <w:t xml:space="preserve">Instituto de Estudios Constitucionales del Estado de Querétaro , Max Planck Institute for Comparative Public Law and International Law, 2017. </w:t>
      </w:r>
    </w:p>
    <w:p w14:paraId="17420F38" w14:textId="77777777" w:rsidR="00661078" w:rsidRPr="005503D6" w:rsidRDefault="00661078" w:rsidP="00420929">
      <w:pPr>
        <w:pStyle w:val="FootnoteText"/>
        <w:jc w:val="both"/>
        <w:rPr>
          <w:rFonts w:ascii="Times New Roman" w:hAnsi="Times New Roman" w:cs="Times New Roman"/>
        </w:rPr>
      </w:pPr>
    </w:p>
    <w:p w14:paraId="7736B4EA" w14:textId="77777777" w:rsidR="000F4898" w:rsidRPr="002B0178" w:rsidRDefault="000F4898" w:rsidP="00420929">
      <w:pPr>
        <w:pStyle w:val="FootnoteText"/>
        <w:jc w:val="both"/>
        <w:rPr>
          <w:rFonts w:ascii="Times New Roman" w:hAnsi="Times New Roman" w:cs="Times New Roman"/>
          <w:color w:val="000000"/>
        </w:rPr>
      </w:pPr>
      <w:r w:rsidRPr="002B0178">
        <w:rPr>
          <w:rFonts w:ascii="Times New Roman" w:hAnsi="Times New Roman" w:cs="Times New Roman"/>
          <w:color w:val="000000"/>
        </w:rPr>
        <w:t xml:space="preserve">GARCÍA ROCA, Javier; NOGUEIRA ALCALÁ, Humberto; BUSTOS GISBERT, Rafael. La comunicación entre ambos sistemas y las características del diálogo. In: GARCÍA ROCA, Javier; et. al. (ed.). </w:t>
      </w:r>
      <w:r w:rsidRPr="002B0178">
        <w:rPr>
          <w:rFonts w:ascii="Times New Roman" w:hAnsi="Times New Roman" w:cs="Times New Roman"/>
          <w:i/>
          <w:color w:val="000000"/>
        </w:rPr>
        <w:t>El Diálogo entre los Sistemas Europeo y Americano de Derechos Humanos</w:t>
      </w:r>
      <w:r w:rsidRPr="002B0178">
        <w:rPr>
          <w:rFonts w:ascii="Times New Roman" w:hAnsi="Times New Roman" w:cs="Times New Roman"/>
          <w:color w:val="000000"/>
        </w:rPr>
        <w:t>. Pamplona: Thomson Reuters, 2013. p. 65-107.</w:t>
      </w:r>
    </w:p>
    <w:p w14:paraId="08C7785C" w14:textId="77777777" w:rsidR="000F4898" w:rsidRPr="005503D6" w:rsidRDefault="000F4898" w:rsidP="00420929">
      <w:pPr>
        <w:pStyle w:val="FootnoteText"/>
        <w:jc w:val="both"/>
        <w:rPr>
          <w:rFonts w:ascii="Times New Roman" w:hAnsi="Times New Roman" w:cs="Times New Roman"/>
        </w:rPr>
      </w:pPr>
    </w:p>
    <w:p w14:paraId="676124EE" w14:textId="77777777" w:rsidR="000F4898" w:rsidRPr="005503D6" w:rsidRDefault="000F4898" w:rsidP="00420929">
      <w:pPr>
        <w:pStyle w:val="FootnoteText"/>
        <w:jc w:val="both"/>
        <w:rPr>
          <w:rFonts w:ascii="Times New Roman" w:hAnsi="Times New Roman" w:cs="Times New Roman"/>
        </w:rPr>
      </w:pPr>
      <w:r w:rsidRPr="005503D6">
        <w:rPr>
          <w:rFonts w:ascii="Times New Roman" w:hAnsi="Times New Roman" w:cs="Times New Roman"/>
        </w:rPr>
        <w:t xml:space="preserve">GARCÍA ROCA, Javier. </w:t>
      </w:r>
      <w:r w:rsidRPr="005503D6">
        <w:rPr>
          <w:rFonts w:ascii="Times New Roman" w:hAnsi="Times New Roman" w:cs="Times New Roman"/>
          <w:i/>
        </w:rPr>
        <w:t>El margen de apreciación nacional en la interpretación del Convenio Europeo de Derechos Humanos</w:t>
      </w:r>
      <w:r w:rsidRPr="005503D6">
        <w:rPr>
          <w:rFonts w:ascii="Times New Roman" w:hAnsi="Times New Roman" w:cs="Times New Roman"/>
        </w:rPr>
        <w:t xml:space="preserve">: Soberanía e integración. Cuadernos Civitas. Madrid: Thompson Reuters, 2010. </w:t>
      </w:r>
    </w:p>
    <w:p w14:paraId="14D2B18E" w14:textId="77777777" w:rsidR="000F4898" w:rsidRPr="005503D6" w:rsidRDefault="000F4898" w:rsidP="00420929">
      <w:pPr>
        <w:pStyle w:val="FootnoteText"/>
        <w:jc w:val="both"/>
        <w:rPr>
          <w:rFonts w:ascii="Times New Roman" w:hAnsi="Times New Roman" w:cs="Times New Roman"/>
        </w:rPr>
      </w:pPr>
    </w:p>
    <w:p w14:paraId="71F2480F" w14:textId="7DC791FB" w:rsidR="000F4898" w:rsidRPr="005503D6" w:rsidRDefault="000F4898" w:rsidP="00420929">
      <w:pPr>
        <w:pStyle w:val="FootnoteText"/>
        <w:jc w:val="both"/>
        <w:rPr>
          <w:rFonts w:ascii="Times New Roman" w:eastAsia="Times New Roman" w:hAnsi="Times New Roman" w:cs="Times New Roman"/>
          <w:bCs/>
          <w:color w:val="000000"/>
        </w:rPr>
      </w:pPr>
      <w:r w:rsidRPr="005503D6">
        <w:rPr>
          <w:rFonts w:ascii="Times New Roman" w:eastAsia="Times New Roman" w:hAnsi="Times New Roman" w:cs="Times New Roman"/>
          <w:bCs/>
          <w:color w:val="000000"/>
        </w:rPr>
        <w:t xml:space="preserve">GARCÍA ROCA, Javier. El diálogo entre el Tribunal Europeo de Derechos Humanos y los tribunales constitucionales en la construcción de un orden público europeo. </w:t>
      </w:r>
      <w:r w:rsidRPr="002B0178">
        <w:rPr>
          <w:rFonts w:ascii="Times New Roman" w:hAnsi="Times New Roman" w:cs="Times New Roman"/>
          <w:i/>
          <w:color w:val="1A1718"/>
        </w:rPr>
        <w:t>Teoría y Realidad Constitucional</w:t>
      </w:r>
      <w:r w:rsidRPr="002B0178">
        <w:rPr>
          <w:rFonts w:ascii="Times New Roman" w:hAnsi="Times New Roman" w:cs="Times New Roman"/>
          <w:color w:val="1A1718"/>
        </w:rPr>
        <w:t xml:space="preserve">: Revista Jurídica da UNED, Madrid, </w:t>
      </w:r>
      <w:r w:rsidRPr="005503D6">
        <w:rPr>
          <w:rFonts w:ascii="Times New Roman" w:eastAsia="Times New Roman" w:hAnsi="Times New Roman" w:cs="Times New Roman"/>
          <w:bCs/>
          <w:color w:val="000000"/>
        </w:rPr>
        <w:t xml:space="preserve">n. 30, </w:t>
      </w:r>
      <w:r w:rsidRPr="002B0178">
        <w:rPr>
          <w:rFonts w:ascii="Times New Roman" w:hAnsi="Times New Roman" w:cs="Times New Roman"/>
          <w:color w:val="000000"/>
        </w:rPr>
        <w:t>p. 1</w:t>
      </w:r>
      <w:r w:rsidRPr="00107231">
        <w:rPr>
          <w:rFonts w:ascii="Times New Roman" w:hAnsi="Times New Roman" w:cs="Times New Roman"/>
          <w:color w:val="000000"/>
        </w:rPr>
        <w:t>83-224, 2012.</w:t>
      </w:r>
      <w:r w:rsidRPr="00107231">
        <w:rPr>
          <w:rFonts w:ascii="Times New Roman" w:eastAsia="Times New Roman" w:hAnsi="Times New Roman" w:cs="Times New Roman"/>
          <w:bCs/>
          <w:color w:val="000000"/>
        </w:rPr>
        <w:t xml:space="preserve"> </w:t>
      </w:r>
      <w:r w:rsidRPr="00107231">
        <w:rPr>
          <w:rFonts w:ascii="Times New Roman" w:hAnsi="Times New Roman" w:cs="Times New Roman"/>
          <w:color w:val="000000"/>
          <w:lang w:val="en-US"/>
        </w:rPr>
        <w:t xml:space="preserve">Disponível em: </w:t>
      </w:r>
      <w:hyperlink r:id="rId13" w:history="1">
        <w:r w:rsidR="00107231" w:rsidRPr="00107231">
          <w:rPr>
            <w:rStyle w:val="Hyperlink"/>
            <w:rFonts w:ascii="Times New Roman" w:hAnsi="Times New Roman" w:cs="Times New Roman"/>
          </w:rPr>
          <w:t>http://revistas.uned.es/index.php/TRC/article/view/7005</w:t>
        </w:r>
      </w:hyperlink>
      <w:proofErr w:type="gramStart"/>
      <w:r w:rsidR="00107231" w:rsidRPr="00107231">
        <w:rPr>
          <w:rFonts w:ascii="Times New Roman" w:hAnsi="Times New Roman" w:cs="Times New Roman"/>
        </w:rPr>
        <w:t xml:space="preserve"> </w:t>
      </w:r>
      <w:r w:rsidRPr="005503D6">
        <w:rPr>
          <w:rFonts w:ascii="Times New Roman" w:eastAsia="Times New Roman" w:hAnsi="Times New Roman" w:cs="Times New Roman"/>
          <w:lang w:val="en-US"/>
        </w:rPr>
        <w:t>.</w:t>
      </w:r>
      <w:proofErr w:type="gramEnd"/>
      <w:r w:rsidRPr="005503D6">
        <w:rPr>
          <w:rFonts w:ascii="Times New Roman" w:eastAsia="Times New Roman" w:hAnsi="Times New Roman" w:cs="Times New Roman"/>
          <w:lang w:val="en-US"/>
        </w:rPr>
        <w:t xml:space="preserve"> Acesso em: 19 fev. 2019</w:t>
      </w:r>
      <w:r w:rsidRPr="005503D6">
        <w:rPr>
          <w:rFonts w:ascii="Times New Roman" w:eastAsia="Times New Roman" w:hAnsi="Times New Roman" w:cs="Times New Roman"/>
          <w:bCs/>
          <w:color w:val="000000"/>
        </w:rPr>
        <w:t>.</w:t>
      </w:r>
    </w:p>
    <w:p w14:paraId="371A57E4" w14:textId="77777777" w:rsidR="00705242" w:rsidRPr="005503D6" w:rsidRDefault="00705242" w:rsidP="00420929">
      <w:pPr>
        <w:pStyle w:val="FootnoteText"/>
        <w:jc w:val="both"/>
        <w:rPr>
          <w:rFonts w:ascii="Times New Roman" w:eastAsia="Times New Roman" w:hAnsi="Times New Roman" w:cs="Times New Roman"/>
          <w:bCs/>
          <w:color w:val="000000"/>
        </w:rPr>
      </w:pPr>
    </w:p>
    <w:p w14:paraId="10DF6149" w14:textId="77777777" w:rsidR="00705242" w:rsidRPr="002B0178" w:rsidRDefault="00705242" w:rsidP="00420929">
      <w:pPr>
        <w:pStyle w:val="FootnoteText"/>
        <w:jc w:val="both"/>
        <w:rPr>
          <w:rFonts w:ascii="Times New Roman" w:hAnsi="Times New Roman" w:cs="Times New Roman"/>
          <w:lang w:val="en-US"/>
        </w:rPr>
      </w:pPr>
      <w:proofErr w:type="gramStart"/>
      <w:r w:rsidRPr="005503D6">
        <w:rPr>
          <w:rFonts w:ascii="Times New Roman" w:hAnsi="Times New Roman" w:cs="Times New Roman"/>
          <w:lang w:val="en-US"/>
        </w:rPr>
        <w:t>GÓNGORA-MERA, Manuel Eduardo.</w:t>
      </w:r>
      <w:proofErr w:type="gramEnd"/>
      <w:r w:rsidRPr="005503D6">
        <w:rPr>
          <w:rFonts w:ascii="Times New Roman" w:hAnsi="Times New Roman" w:cs="Times New Roman"/>
          <w:lang w:val="en-US"/>
        </w:rPr>
        <w:t xml:space="preserve"> The Block of Constitutionality as the Doctrinal Pivot of a Ius Commune </w:t>
      </w:r>
      <w:r w:rsidRPr="002B0178">
        <w:rPr>
          <w:rFonts w:ascii="Times New Roman" w:hAnsi="Times New Roman" w:cs="Times New Roman"/>
          <w:lang w:val="en-US"/>
        </w:rPr>
        <w:t xml:space="preserve">In von BOGDANDY, Armin; </w:t>
      </w:r>
      <w:proofErr w:type="gramStart"/>
      <w:r w:rsidRPr="002B0178">
        <w:rPr>
          <w:rFonts w:ascii="Times New Roman" w:hAnsi="Times New Roman" w:cs="Times New Roman"/>
          <w:lang w:val="en-US"/>
        </w:rPr>
        <w:t>et</w:t>
      </w:r>
      <w:proofErr w:type="gramEnd"/>
      <w:r w:rsidRPr="002B0178">
        <w:rPr>
          <w:rFonts w:ascii="Times New Roman" w:hAnsi="Times New Roman" w:cs="Times New Roman"/>
          <w:lang w:val="en-US"/>
        </w:rPr>
        <w:t xml:space="preserve">. </w:t>
      </w:r>
      <w:proofErr w:type="gramStart"/>
      <w:r w:rsidRPr="002B0178">
        <w:rPr>
          <w:rFonts w:ascii="Times New Roman" w:hAnsi="Times New Roman" w:cs="Times New Roman"/>
          <w:lang w:val="en-US"/>
        </w:rPr>
        <w:t>al</w:t>
      </w:r>
      <w:proofErr w:type="gramEnd"/>
      <w:r w:rsidRPr="002B0178">
        <w:rPr>
          <w:rFonts w:ascii="Times New Roman" w:hAnsi="Times New Roman" w:cs="Times New Roman"/>
          <w:lang w:val="en-US"/>
        </w:rPr>
        <w:t xml:space="preserve">. (ed.) </w:t>
      </w:r>
      <w:r w:rsidRPr="002B0178">
        <w:rPr>
          <w:rFonts w:ascii="Times New Roman" w:hAnsi="Times New Roman" w:cs="Times New Roman"/>
          <w:i/>
          <w:lang w:val="en-US"/>
        </w:rPr>
        <w:t>Transformative Constitutionalism in Latin America</w:t>
      </w:r>
      <w:r w:rsidRPr="002B0178">
        <w:rPr>
          <w:rFonts w:ascii="Times New Roman" w:hAnsi="Times New Roman" w:cs="Times New Roman"/>
          <w:lang w:val="en-US"/>
        </w:rPr>
        <w:t>. Oxford: Oxford University Press, 2017. p. 233-253.</w:t>
      </w:r>
    </w:p>
    <w:p w14:paraId="64A3DEBF" w14:textId="77777777" w:rsidR="00705242" w:rsidRPr="002B0178" w:rsidRDefault="00705242" w:rsidP="00420929">
      <w:pPr>
        <w:pStyle w:val="FootnoteText"/>
        <w:jc w:val="both"/>
        <w:rPr>
          <w:rFonts w:ascii="Times New Roman" w:hAnsi="Times New Roman" w:cs="Times New Roman"/>
          <w:lang w:val="en-US"/>
        </w:rPr>
      </w:pPr>
    </w:p>
    <w:p w14:paraId="7DA52C2F" w14:textId="77777777" w:rsidR="00705242" w:rsidRPr="005503D6" w:rsidRDefault="00705242" w:rsidP="00420929">
      <w:pPr>
        <w:pStyle w:val="FootnoteText"/>
        <w:jc w:val="both"/>
        <w:rPr>
          <w:rFonts w:ascii="Times New Roman" w:hAnsi="Times New Roman" w:cs="Times New Roman"/>
        </w:rPr>
      </w:pPr>
      <w:r w:rsidRPr="005503D6">
        <w:rPr>
          <w:rFonts w:ascii="Times New Roman" w:hAnsi="Times New Roman" w:cs="Times New Roman"/>
        </w:rPr>
        <w:t xml:space="preserve">GÓNGORA-MÉRA, Manuel Eduardo. Interacciones y convergências entre la corte interamericana de derechos humanos y los tribunales constitucionales nacionales: un enfoque coevolutivo. </w:t>
      </w:r>
      <w:proofErr w:type="gramStart"/>
      <w:r w:rsidRPr="002B0178">
        <w:rPr>
          <w:rFonts w:ascii="Times New Roman" w:hAnsi="Times New Roman" w:cs="Times New Roman"/>
          <w:lang w:val="en-US"/>
        </w:rPr>
        <w:t>In VON BOGDANDY, Armin; PIOVESAN, Flávia; MORALES ANTONIAZZI, Mariela (coord.).</w:t>
      </w:r>
      <w:proofErr w:type="gramEnd"/>
      <w:r w:rsidRPr="002B0178">
        <w:rPr>
          <w:rFonts w:ascii="Times New Roman" w:hAnsi="Times New Roman" w:cs="Times New Roman"/>
          <w:lang w:val="en-US"/>
        </w:rPr>
        <w:t xml:space="preserve"> </w:t>
      </w:r>
      <w:r w:rsidRPr="005503D6">
        <w:rPr>
          <w:rFonts w:ascii="Times New Roman" w:hAnsi="Times New Roman" w:cs="Times New Roman"/>
          <w:i/>
        </w:rPr>
        <w:t>Estudos Avançados de Direitos Humanos</w:t>
      </w:r>
      <w:r w:rsidRPr="005503D6">
        <w:rPr>
          <w:rFonts w:ascii="Times New Roman" w:hAnsi="Times New Roman" w:cs="Times New Roman"/>
        </w:rPr>
        <w:t>. Democracia e Integração Jurídica: Emergência de um Novo Direito Público. Rio de Janeiro: Elsevier, 2013. p. 312-337.</w:t>
      </w:r>
    </w:p>
    <w:p w14:paraId="449D0F5E" w14:textId="77777777" w:rsidR="00705242" w:rsidRPr="005503D6" w:rsidRDefault="00705242" w:rsidP="00420929">
      <w:pPr>
        <w:pStyle w:val="FootnoteText"/>
        <w:jc w:val="both"/>
        <w:rPr>
          <w:rFonts w:ascii="Times New Roman" w:hAnsi="Times New Roman" w:cs="Times New Roman"/>
        </w:rPr>
      </w:pPr>
    </w:p>
    <w:p w14:paraId="08AA85E5" w14:textId="7A2F3AAE" w:rsidR="00705242" w:rsidRDefault="00705242" w:rsidP="00420929">
      <w:pPr>
        <w:jc w:val="both"/>
        <w:rPr>
          <w:rFonts w:ascii="Times New Roman" w:hAnsi="Times New Roman" w:cs="Times New Roman"/>
          <w:lang w:val="es-ES_tradnl"/>
        </w:rPr>
      </w:pPr>
      <w:r w:rsidRPr="005503D6">
        <w:rPr>
          <w:rFonts w:ascii="Times New Roman" w:hAnsi="Times New Roman" w:cs="Times New Roman"/>
          <w:lang w:val="es-ES_tradnl"/>
        </w:rPr>
        <w:t xml:space="preserve">GÓNGORA-MERA, Manuel Eduardo. Diálogo coevolutivo. In: FERRER MAC-GREGOR, Eduardo; MARTÍNEZ RAMÍREZ, Fabiola; FIGUEROA MEJÍA, Giovanni A (coord.) </w:t>
      </w:r>
      <w:r w:rsidRPr="005503D6">
        <w:rPr>
          <w:rFonts w:ascii="Times New Roman" w:hAnsi="Times New Roman" w:cs="Times New Roman"/>
          <w:i/>
          <w:lang w:val="es-ES_tradnl"/>
        </w:rPr>
        <w:t>Diccionario de derecho procesal, constitucional y convencional.</w:t>
      </w:r>
      <w:r w:rsidRPr="005503D6">
        <w:rPr>
          <w:rFonts w:ascii="Times New Roman" w:hAnsi="Times New Roman" w:cs="Times New Roman"/>
          <w:lang w:val="es-ES_tradnl"/>
        </w:rPr>
        <w:t xml:space="preserve"> 2 ed. México: Universidad Nacional Autónoma de México, 2014.</w:t>
      </w:r>
    </w:p>
    <w:p w14:paraId="2F7AA13F" w14:textId="77777777" w:rsidR="005D65B6" w:rsidRPr="005D65B6" w:rsidRDefault="005D65B6" w:rsidP="00420929">
      <w:pPr>
        <w:jc w:val="both"/>
        <w:rPr>
          <w:rFonts w:ascii="Times New Roman" w:hAnsi="Times New Roman" w:cs="Times New Roman"/>
          <w:lang w:val="es-ES_tradnl"/>
        </w:rPr>
      </w:pPr>
    </w:p>
    <w:p w14:paraId="0E88AD94" w14:textId="14DBC383" w:rsidR="005D65B6" w:rsidRPr="005D65B6" w:rsidRDefault="00CC136C" w:rsidP="00420929">
      <w:pPr>
        <w:jc w:val="both"/>
        <w:rPr>
          <w:rFonts w:ascii="Times New Roman" w:hAnsi="Times New Roman" w:cs="Times New Roman"/>
          <w:lang w:val="es-ES_tradnl"/>
        </w:rPr>
      </w:pPr>
      <w:r w:rsidRPr="002B0178">
        <w:rPr>
          <w:rFonts w:ascii="Times New Roman" w:hAnsi="Times New Roman" w:cs="Times New Roman"/>
          <w:lang w:val="en-US"/>
        </w:rPr>
        <w:lastRenderedPageBreak/>
        <w:t>HERRERA, Juan C.</w:t>
      </w:r>
      <w:r w:rsidR="005D65B6" w:rsidRPr="002B0178">
        <w:rPr>
          <w:rFonts w:ascii="Times New Roman" w:hAnsi="Times New Roman" w:cs="Times New Roman"/>
          <w:lang w:val="en-US"/>
        </w:rPr>
        <w:t xml:space="preserve"> </w:t>
      </w:r>
      <w:r w:rsidR="005D65B6" w:rsidRPr="005D65B6">
        <w:rPr>
          <w:rFonts w:ascii="Times New Roman" w:hAnsi="Times New Roman" w:cs="Times New Roman"/>
          <w:bCs/>
          <w:color w:val="000000"/>
          <w:lang w:val="en-US"/>
        </w:rPr>
        <w:t xml:space="preserve">Judicial Dialogue and Transformative Constitutionalism in Latin America: The Case of Indigenous Peoples and Afro-descendants. </w:t>
      </w:r>
      <w:r w:rsidR="005D65B6" w:rsidRPr="002B0178">
        <w:rPr>
          <w:rFonts w:ascii="Times New Roman" w:hAnsi="Times New Roman" w:cs="Times New Roman"/>
          <w:i/>
          <w:iCs/>
          <w:color w:val="000000"/>
        </w:rPr>
        <w:t xml:space="preserve">Revista Derecho del Estado, </w:t>
      </w:r>
      <w:r w:rsidR="005D65B6" w:rsidRPr="002B0178">
        <w:rPr>
          <w:rFonts w:ascii="Times New Roman" w:hAnsi="Times New Roman" w:cs="Times New Roman"/>
          <w:iCs/>
          <w:color w:val="000000"/>
        </w:rPr>
        <w:t>Bogota, n. 43, p. 191-233, mayo-agosto de 2019.</w:t>
      </w:r>
    </w:p>
    <w:p w14:paraId="2D310210" w14:textId="77777777" w:rsidR="00705242" w:rsidRPr="005503D6" w:rsidRDefault="00705242" w:rsidP="00420929">
      <w:pPr>
        <w:jc w:val="both"/>
        <w:rPr>
          <w:rFonts w:ascii="Times New Roman" w:hAnsi="Times New Roman" w:cs="Times New Roman"/>
          <w:lang w:val="es-ES_tradnl"/>
        </w:rPr>
      </w:pPr>
    </w:p>
    <w:p w14:paraId="4C28DA42" w14:textId="6BAA8BCE" w:rsidR="00705242" w:rsidRPr="005503D6" w:rsidRDefault="00705242" w:rsidP="00420929">
      <w:pPr>
        <w:pStyle w:val="FootnoteText"/>
        <w:rPr>
          <w:rFonts w:ascii="Times New Roman" w:hAnsi="Times New Roman" w:cs="Times New Roman"/>
        </w:rPr>
      </w:pPr>
      <w:r w:rsidRPr="002B0178">
        <w:rPr>
          <w:rFonts w:ascii="Times New Roman" w:hAnsi="Times New Roman" w:cs="Times New Roman"/>
          <w:lang w:val="en-US"/>
        </w:rPr>
        <w:t xml:space="preserve">KAUFMAN, Andrew L. Democracy and Distrust. By John Harg Ely. Hofstra Law Review, v. 9, issue 3, </w:t>
      </w:r>
      <w:proofErr w:type="gramStart"/>
      <w:r w:rsidRPr="002B0178">
        <w:rPr>
          <w:rFonts w:ascii="Times New Roman" w:hAnsi="Times New Roman" w:cs="Times New Roman"/>
          <w:lang w:val="en-US"/>
        </w:rPr>
        <w:t>article</w:t>
      </w:r>
      <w:proofErr w:type="gramEnd"/>
      <w:r w:rsidRPr="002B0178">
        <w:rPr>
          <w:rFonts w:ascii="Times New Roman" w:hAnsi="Times New Roman" w:cs="Times New Roman"/>
          <w:lang w:val="en-US"/>
        </w:rPr>
        <w:t xml:space="preserve"> 6, 1981. </w:t>
      </w:r>
      <w:r w:rsidRPr="005503D6">
        <w:rPr>
          <w:rFonts w:ascii="Times New Roman" w:hAnsi="Times New Roman" w:cs="Times New Roman"/>
        </w:rPr>
        <w:t xml:space="preserve">Disponível em: </w:t>
      </w:r>
      <w:hyperlink r:id="rId14" w:history="1">
        <w:r w:rsidRPr="005503D6">
          <w:rPr>
            <w:rStyle w:val="Hyperlink"/>
            <w:rFonts w:ascii="Times New Roman" w:hAnsi="Times New Roman" w:cs="Times New Roman"/>
          </w:rPr>
          <w:t>https://scholarlycommons.law.hofstra.edu/cgi/viewcontent.cgi?article=1399&amp;context=hlr</w:t>
        </w:r>
      </w:hyperlink>
      <w:r w:rsidRPr="005503D6">
        <w:rPr>
          <w:rFonts w:ascii="Times New Roman" w:hAnsi="Times New Roman" w:cs="Times New Roman"/>
        </w:rPr>
        <w:t>. Acesso em: 13 abr. 2019.</w:t>
      </w:r>
    </w:p>
    <w:p w14:paraId="0EA55FBA" w14:textId="77777777" w:rsidR="000F4898" w:rsidRPr="005503D6" w:rsidRDefault="000F4898" w:rsidP="00420929">
      <w:pPr>
        <w:pStyle w:val="FootnoteText"/>
        <w:jc w:val="both"/>
        <w:rPr>
          <w:rFonts w:ascii="Times New Roman" w:hAnsi="Times New Roman" w:cs="Times New Roman"/>
        </w:rPr>
      </w:pPr>
    </w:p>
    <w:p w14:paraId="0C98920E" w14:textId="77777777" w:rsidR="00DD6E30" w:rsidRDefault="00DD6E30" w:rsidP="00420929">
      <w:pPr>
        <w:pStyle w:val="FootnoteText"/>
        <w:jc w:val="both"/>
        <w:rPr>
          <w:rFonts w:ascii="Times New Roman" w:hAnsi="Times New Roman" w:cs="Times New Roman"/>
        </w:rPr>
      </w:pPr>
      <w:r w:rsidRPr="005503D6">
        <w:rPr>
          <w:rFonts w:ascii="Times New Roman" w:hAnsi="Times New Roman" w:cs="Times New Roman"/>
        </w:rPr>
        <w:t xml:space="preserve">KOZICKI, Katya; LORENZETTO, Bruno Menezes. Entre o passado e o futuro: a não acabada transição no Brasil. In: PIOVESAN, Flávia; SOARES, Inês Virgínia Prado (coord.). </w:t>
      </w:r>
      <w:r w:rsidRPr="005503D6">
        <w:rPr>
          <w:rFonts w:ascii="Times New Roman" w:hAnsi="Times New Roman" w:cs="Times New Roman"/>
          <w:i/>
        </w:rPr>
        <w:t>Direitos Humanos Atual</w:t>
      </w:r>
      <w:r w:rsidRPr="005503D6">
        <w:rPr>
          <w:rFonts w:ascii="Times New Roman" w:hAnsi="Times New Roman" w:cs="Times New Roman"/>
        </w:rPr>
        <w:t>. Rio de Janeiro: Elsevier, 2014. p. 128-143.</w:t>
      </w:r>
    </w:p>
    <w:p w14:paraId="369BFA32" w14:textId="77777777" w:rsidR="00D31ADB" w:rsidRPr="00E84577" w:rsidRDefault="00D31ADB" w:rsidP="00420929">
      <w:pPr>
        <w:pStyle w:val="FootnoteText"/>
        <w:jc w:val="both"/>
        <w:rPr>
          <w:rFonts w:ascii="Times New Roman" w:hAnsi="Times New Roman" w:cs="Times New Roman"/>
        </w:rPr>
      </w:pPr>
    </w:p>
    <w:p w14:paraId="681DDA24" w14:textId="7AE01291" w:rsidR="00E84577" w:rsidRPr="00E84577" w:rsidRDefault="00E84577" w:rsidP="00420929">
      <w:pPr>
        <w:pStyle w:val="FootnoteText"/>
        <w:jc w:val="both"/>
        <w:rPr>
          <w:rFonts w:ascii="Times New Roman" w:hAnsi="Times New Roman" w:cs="Times New Roman"/>
        </w:rPr>
      </w:pPr>
      <w:r w:rsidRPr="00E84577">
        <w:rPr>
          <w:rFonts w:ascii="Times New Roman" w:hAnsi="Times New Roman" w:cs="Times New Roman"/>
        </w:rPr>
        <w:t xml:space="preserve">MAZZUOLI, Valério de Oliveira. </w:t>
      </w:r>
      <w:r w:rsidRPr="00E84577">
        <w:rPr>
          <w:rFonts w:ascii="Times New Roman" w:hAnsi="Times New Roman" w:cs="Times New Roman"/>
          <w:i/>
        </w:rPr>
        <w:t>O Controle Jurisdicional de Convencionalidade das Leis</w:t>
      </w:r>
      <w:r w:rsidRPr="00E84577">
        <w:rPr>
          <w:rFonts w:ascii="Times New Roman" w:hAnsi="Times New Roman" w:cs="Times New Roman"/>
        </w:rPr>
        <w:t>. 4 ed. São Paulo: Revista dos Tribunais, 2016</w:t>
      </w:r>
      <w:r>
        <w:rPr>
          <w:rFonts w:ascii="Times New Roman" w:hAnsi="Times New Roman" w:cs="Times New Roman"/>
        </w:rPr>
        <w:t>.</w:t>
      </w:r>
    </w:p>
    <w:p w14:paraId="5C4686B8" w14:textId="77777777" w:rsidR="00E84577" w:rsidRPr="00D31ADB" w:rsidRDefault="00E84577" w:rsidP="00420929">
      <w:pPr>
        <w:pStyle w:val="FootnoteText"/>
        <w:jc w:val="both"/>
        <w:rPr>
          <w:rFonts w:ascii="Times New Roman" w:hAnsi="Times New Roman" w:cs="Times New Roman"/>
        </w:rPr>
      </w:pPr>
    </w:p>
    <w:p w14:paraId="18DA29A2" w14:textId="047BDAB0" w:rsidR="00D31ADB" w:rsidRPr="00D31ADB" w:rsidRDefault="00D31ADB" w:rsidP="00420929">
      <w:pPr>
        <w:pStyle w:val="FootnoteText"/>
        <w:jc w:val="both"/>
        <w:rPr>
          <w:rFonts w:ascii="Times New Roman" w:hAnsi="Times New Roman" w:cs="Times New Roman"/>
        </w:rPr>
      </w:pPr>
      <w:r w:rsidRPr="00D31ADB">
        <w:rPr>
          <w:rFonts w:ascii="Times New Roman" w:hAnsi="Times New Roman" w:cs="Times New Roman"/>
        </w:rPr>
        <w:t xml:space="preserve">MELLO, Patrícia Perrone Campos de. </w:t>
      </w:r>
      <w:r w:rsidRPr="002B0178">
        <w:rPr>
          <w:rFonts w:ascii="Times New Roman" w:hAnsi="Times New Roman" w:cs="Times New Roman"/>
          <w:color w:val="000000"/>
        </w:rPr>
        <w:t xml:space="preserve">“A vida como ela é”: comportamento estratégico nas cortes. </w:t>
      </w:r>
      <w:r w:rsidRPr="002B0178">
        <w:rPr>
          <w:rFonts w:ascii="Times New Roman" w:hAnsi="Times New Roman" w:cs="Times New Roman"/>
          <w:i/>
          <w:color w:val="000000"/>
        </w:rPr>
        <w:t>Revista Brasileira de Políticas Públicas</w:t>
      </w:r>
      <w:r w:rsidRPr="002B0178">
        <w:rPr>
          <w:rFonts w:ascii="Times New Roman" w:hAnsi="Times New Roman" w:cs="Times New Roman"/>
          <w:color w:val="000000"/>
        </w:rPr>
        <w:t>, Brasília, v. 8, no 2, p. 688-718, 2018.</w:t>
      </w:r>
    </w:p>
    <w:p w14:paraId="6E4FF5E0" w14:textId="77777777" w:rsidR="00DD6E30" w:rsidRPr="005503D6" w:rsidRDefault="00DD6E30" w:rsidP="00420929">
      <w:pPr>
        <w:pStyle w:val="FootnoteText"/>
        <w:jc w:val="both"/>
        <w:rPr>
          <w:rFonts w:ascii="Times New Roman" w:hAnsi="Times New Roman" w:cs="Times New Roman"/>
        </w:rPr>
      </w:pPr>
    </w:p>
    <w:p w14:paraId="233140FE" w14:textId="406A54E3" w:rsidR="000F4898" w:rsidRPr="005503D6" w:rsidRDefault="000F4898" w:rsidP="00420929">
      <w:pPr>
        <w:pStyle w:val="FootnoteText"/>
        <w:jc w:val="both"/>
        <w:rPr>
          <w:rFonts w:ascii="Times New Roman" w:hAnsi="Times New Roman" w:cs="Times New Roman"/>
        </w:rPr>
      </w:pPr>
      <w:r w:rsidRPr="005503D6">
        <w:rPr>
          <w:rFonts w:ascii="Times New Roman" w:hAnsi="Times New Roman" w:cs="Times New Roman"/>
        </w:rPr>
        <w:t xml:space="preserve">MOHALLEM, Michael Freitas. </w:t>
      </w:r>
      <w:r w:rsidRPr="002B0178">
        <w:rPr>
          <w:rFonts w:ascii="Times New Roman" w:hAnsi="Times New Roman" w:cs="Times New Roman"/>
          <w:lang w:val="en-US"/>
        </w:rPr>
        <w:t>Horizontal Judicial Dialogue on Human Rights: the Practice of Constitutional Courts in South America. In: MÜLLER, Amrei</w:t>
      </w:r>
      <w:proofErr w:type="gramStart"/>
      <w:r w:rsidRPr="002B0178">
        <w:rPr>
          <w:rFonts w:ascii="Times New Roman" w:hAnsi="Times New Roman" w:cs="Times New Roman"/>
          <w:lang w:val="en-US"/>
        </w:rPr>
        <w:t>;</w:t>
      </w:r>
      <w:proofErr w:type="gramEnd"/>
      <w:r w:rsidRPr="002B0178">
        <w:rPr>
          <w:rFonts w:ascii="Times New Roman" w:hAnsi="Times New Roman" w:cs="Times New Roman"/>
          <w:lang w:val="en-US"/>
        </w:rPr>
        <w:t xml:space="preserve"> KJOS, Hege Elisabeth (ed.). </w:t>
      </w:r>
      <w:r w:rsidRPr="002B0178">
        <w:rPr>
          <w:rFonts w:ascii="Times New Roman" w:hAnsi="Times New Roman" w:cs="Times New Roman"/>
          <w:i/>
          <w:lang w:val="en-US"/>
        </w:rPr>
        <w:t>Judicial Dialogue and Human Rights</w:t>
      </w:r>
      <w:r w:rsidRPr="002B0178">
        <w:rPr>
          <w:rFonts w:ascii="Times New Roman" w:hAnsi="Times New Roman" w:cs="Times New Roman"/>
          <w:lang w:val="en-US"/>
        </w:rPr>
        <w:t xml:space="preserve">: studies on International Courts and Tribunals. </w:t>
      </w:r>
      <w:r w:rsidRPr="005503D6">
        <w:rPr>
          <w:rFonts w:ascii="Times New Roman" w:hAnsi="Times New Roman" w:cs="Times New Roman"/>
        </w:rPr>
        <w:t>Cambridge: Cambridge University Press, 2017. p.</w:t>
      </w:r>
      <w:r w:rsidR="00E84577">
        <w:rPr>
          <w:rFonts w:ascii="Times New Roman" w:hAnsi="Times New Roman" w:cs="Times New Roman"/>
        </w:rPr>
        <w:t xml:space="preserve"> </w:t>
      </w:r>
      <w:r w:rsidRPr="005503D6">
        <w:rPr>
          <w:rFonts w:ascii="Times New Roman" w:hAnsi="Times New Roman" w:cs="Times New Roman"/>
        </w:rPr>
        <w:t>67-112.</w:t>
      </w:r>
    </w:p>
    <w:p w14:paraId="49F80E57" w14:textId="77777777" w:rsidR="00BD6DCD" w:rsidRPr="005503D6" w:rsidRDefault="00BD6DCD" w:rsidP="00420929">
      <w:pPr>
        <w:pStyle w:val="FootnoteText"/>
        <w:jc w:val="both"/>
        <w:rPr>
          <w:rFonts w:ascii="Times New Roman" w:hAnsi="Times New Roman" w:cs="Times New Roman"/>
        </w:rPr>
      </w:pPr>
      <w:r w:rsidRPr="005503D6">
        <w:rPr>
          <w:rFonts w:ascii="Times New Roman" w:hAnsi="Times New Roman" w:cs="Times New Roman"/>
        </w:rPr>
        <w:t xml:space="preserve">MORALES ANTONIAZZI, Mariela. O Estado Aberto: Objetivo do </w:t>
      </w:r>
      <w:r w:rsidRPr="005503D6">
        <w:rPr>
          <w:rFonts w:ascii="Times New Roman" w:hAnsi="Times New Roman" w:cs="Times New Roman"/>
          <w:i/>
        </w:rPr>
        <w:t>Ius Constitutionale Commune</w:t>
      </w:r>
      <w:r w:rsidRPr="005503D6">
        <w:rPr>
          <w:rFonts w:ascii="Times New Roman" w:hAnsi="Times New Roman" w:cs="Times New Roman"/>
        </w:rPr>
        <w:t xml:space="preserve"> em Direitos Humanos. </w:t>
      </w:r>
      <w:proofErr w:type="gramStart"/>
      <w:r w:rsidRPr="002B0178">
        <w:rPr>
          <w:rFonts w:ascii="Times New Roman" w:hAnsi="Times New Roman" w:cs="Times New Roman"/>
          <w:lang w:val="en-US"/>
        </w:rPr>
        <w:t>In von BOGDANDY, Armin; MORALES ANTONIAZZI, Mariela; PIOVESAN, Flávia (coord.).</w:t>
      </w:r>
      <w:proofErr w:type="gramEnd"/>
      <w:r w:rsidRPr="002B0178">
        <w:rPr>
          <w:rFonts w:ascii="Times New Roman" w:hAnsi="Times New Roman" w:cs="Times New Roman"/>
          <w:lang w:val="en-US"/>
        </w:rPr>
        <w:t xml:space="preserve"> </w:t>
      </w:r>
      <w:r w:rsidRPr="005503D6">
        <w:rPr>
          <w:rFonts w:ascii="Times New Roman" w:hAnsi="Times New Roman" w:cs="Times New Roman"/>
          <w:i/>
        </w:rPr>
        <w:t>Ius Constitutionale Commune na América Latina</w:t>
      </w:r>
      <w:r w:rsidRPr="005503D6">
        <w:rPr>
          <w:rFonts w:ascii="Times New Roman" w:hAnsi="Times New Roman" w:cs="Times New Roman"/>
        </w:rPr>
        <w:t>. Volume I: Marco Conceptual. Curitiba: Juruá, 2016. p. 53-74.</w:t>
      </w:r>
    </w:p>
    <w:p w14:paraId="4132FDA6" w14:textId="77777777" w:rsidR="005C098A" w:rsidRPr="005503D6" w:rsidRDefault="005C098A" w:rsidP="00420929">
      <w:pPr>
        <w:jc w:val="both"/>
        <w:rPr>
          <w:rFonts w:ascii="Times New Roman" w:hAnsi="Times New Roman" w:cs="Times New Roman"/>
        </w:rPr>
      </w:pPr>
    </w:p>
    <w:p w14:paraId="0F5C6937" w14:textId="253369B0" w:rsidR="00DD6E30" w:rsidRPr="005503D6" w:rsidRDefault="00DD6E30" w:rsidP="00420929">
      <w:pPr>
        <w:pStyle w:val="FootnoteText"/>
        <w:jc w:val="both"/>
        <w:rPr>
          <w:rFonts w:ascii="Times New Roman" w:hAnsi="Times New Roman" w:cs="Times New Roman"/>
        </w:rPr>
      </w:pPr>
      <w:r w:rsidRPr="005503D6">
        <w:rPr>
          <w:rFonts w:ascii="Times New Roman" w:hAnsi="Times New Roman" w:cs="Times New Roman"/>
        </w:rPr>
        <w:t xml:space="preserve">NEVES, Marcelo. </w:t>
      </w:r>
      <w:r w:rsidRPr="005503D6">
        <w:rPr>
          <w:rFonts w:ascii="Times New Roman" w:hAnsi="Times New Roman" w:cs="Times New Roman"/>
          <w:i/>
        </w:rPr>
        <w:t>Transconstitucionalismo</w:t>
      </w:r>
      <w:r w:rsidRPr="005503D6">
        <w:rPr>
          <w:rFonts w:ascii="Times New Roman" w:hAnsi="Times New Roman" w:cs="Times New Roman"/>
        </w:rPr>
        <w:t>. São Pau</w:t>
      </w:r>
      <w:r w:rsidR="00E84577">
        <w:rPr>
          <w:rFonts w:ascii="Times New Roman" w:hAnsi="Times New Roman" w:cs="Times New Roman"/>
        </w:rPr>
        <w:t>lo: Martins Fontes, 2009</w:t>
      </w:r>
      <w:r w:rsidRPr="005503D6">
        <w:rPr>
          <w:rFonts w:ascii="Times New Roman" w:hAnsi="Times New Roman" w:cs="Times New Roman"/>
        </w:rPr>
        <w:t>.</w:t>
      </w:r>
    </w:p>
    <w:p w14:paraId="1FFF2F9E" w14:textId="77777777" w:rsidR="00DD6E30" w:rsidRPr="005503D6" w:rsidRDefault="00DD6E30" w:rsidP="00420929">
      <w:pPr>
        <w:pStyle w:val="FootnoteText"/>
        <w:jc w:val="both"/>
        <w:rPr>
          <w:rFonts w:ascii="Times New Roman" w:hAnsi="Times New Roman" w:cs="Times New Roman"/>
        </w:rPr>
      </w:pPr>
    </w:p>
    <w:p w14:paraId="1BD27680" w14:textId="77777777" w:rsidR="00DD6E30" w:rsidRPr="005503D6" w:rsidRDefault="00DD6E30" w:rsidP="00E84577">
      <w:pPr>
        <w:pStyle w:val="FootnoteText"/>
        <w:rPr>
          <w:rFonts w:ascii="Times New Roman" w:hAnsi="Times New Roman" w:cs="Times New Roman"/>
        </w:rPr>
      </w:pPr>
      <w:r w:rsidRPr="002B0178">
        <w:rPr>
          <w:rFonts w:ascii="Times New Roman" w:hAnsi="Times New Roman" w:cs="Times New Roman"/>
        </w:rPr>
        <w:t xml:space="preserve">OLANO GARCÍA, Hernán Alejandro.  El bloque de constitucionalidad en Colombia Estudios Constitucionales. </w:t>
      </w:r>
      <w:r w:rsidRPr="002B0178">
        <w:rPr>
          <w:rFonts w:ascii="Times New Roman" w:hAnsi="Times New Roman" w:cs="Times New Roman"/>
          <w:i/>
        </w:rPr>
        <w:t>Estudios Constitucionales</w:t>
      </w:r>
      <w:r w:rsidRPr="002B0178">
        <w:rPr>
          <w:rFonts w:ascii="Times New Roman" w:hAnsi="Times New Roman" w:cs="Times New Roman"/>
        </w:rPr>
        <w:t xml:space="preserve"> – Revista do Centro de Estudios Constitucionales de Chile, Santiago, v. 3, n. 1, 2005, pp. 231-242, 2018. Disponível em:</w:t>
      </w:r>
      <w:r w:rsidRPr="002B0178">
        <w:rPr>
          <w:rFonts w:ascii="Times New Roman" w:hAnsi="Times New Roman" w:cs="Times New Roman"/>
          <w:color w:val="262626"/>
        </w:rPr>
        <w:t xml:space="preserve"> </w:t>
      </w:r>
      <w:hyperlink r:id="rId15" w:history="1">
        <w:r w:rsidRPr="002B0178">
          <w:rPr>
            <w:rStyle w:val="Hyperlink"/>
            <w:rFonts w:ascii="Times New Roman" w:hAnsi="Times New Roman" w:cs="Times New Roman"/>
          </w:rPr>
          <w:t>https://www.redalyc.org/articulo.oa?id=82003112</w:t>
        </w:r>
      </w:hyperlink>
      <w:r w:rsidRPr="002B0178">
        <w:rPr>
          <w:rFonts w:ascii="Times New Roman" w:hAnsi="Times New Roman" w:cs="Times New Roman"/>
          <w:color w:val="262626"/>
        </w:rPr>
        <w:t xml:space="preserve">. </w:t>
      </w:r>
      <w:r w:rsidRPr="002B0178">
        <w:rPr>
          <w:rFonts w:ascii="Times New Roman" w:hAnsi="Times New Roman" w:cs="Times New Roman"/>
        </w:rPr>
        <w:t>Acesso em: 05 abr. 2019.</w:t>
      </w:r>
    </w:p>
    <w:p w14:paraId="7418C585" w14:textId="77777777" w:rsidR="00DD6E30" w:rsidRPr="005503D6" w:rsidRDefault="00DD6E30" w:rsidP="00420929">
      <w:pPr>
        <w:pStyle w:val="FootnoteText"/>
        <w:jc w:val="both"/>
        <w:rPr>
          <w:rFonts w:ascii="Times New Roman" w:hAnsi="Times New Roman" w:cs="Times New Roman"/>
        </w:rPr>
      </w:pPr>
    </w:p>
    <w:p w14:paraId="084BECB1" w14:textId="77777777" w:rsidR="00705242" w:rsidRPr="002B0178" w:rsidRDefault="00705242" w:rsidP="00420929">
      <w:pPr>
        <w:pStyle w:val="FootnoteText"/>
        <w:jc w:val="both"/>
        <w:rPr>
          <w:rFonts w:ascii="Times New Roman" w:hAnsi="Times New Roman" w:cs="Times New Roman"/>
          <w:lang w:val="en-US"/>
        </w:rPr>
      </w:pPr>
      <w:r w:rsidRPr="002B0178">
        <w:rPr>
          <w:rFonts w:ascii="Times New Roman" w:hAnsi="Times New Roman" w:cs="Times New Roman"/>
          <w:lang w:val="en-US"/>
        </w:rPr>
        <w:t xml:space="preserve">PIOVESAN, Flávia. </w:t>
      </w:r>
      <w:r w:rsidRPr="002B0178">
        <w:rPr>
          <w:rFonts w:ascii="Times New Roman" w:hAnsi="Times New Roman" w:cs="Times New Roman"/>
          <w:i/>
          <w:lang w:val="en-US"/>
        </w:rPr>
        <w:t>Ius Constitutionales Commune</w:t>
      </w:r>
      <w:r w:rsidRPr="002B0178">
        <w:rPr>
          <w:rFonts w:ascii="Times New Roman" w:hAnsi="Times New Roman" w:cs="Times New Roman"/>
          <w:lang w:val="en-US"/>
        </w:rPr>
        <w:t xml:space="preserve"> en América Latina: Context, Challenges, and Perspectives. In von BOGDANDY, Armin; </w:t>
      </w:r>
      <w:proofErr w:type="gramStart"/>
      <w:r w:rsidRPr="002B0178">
        <w:rPr>
          <w:rFonts w:ascii="Times New Roman" w:hAnsi="Times New Roman" w:cs="Times New Roman"/>
          <w:lang w:val="en-US"/>
        </w:rPr>
        <w:t>et</w:t>
      </w:r>
      <w:proofErr w:type="gramEnd"/>
      <w:r w:rsidRPr="002B0178">
        <w:rPr>
          <w:rFonts w:ascii="Times New Roman" w:hAnsi="Times New Roman" w:cs="Times New Roman"/>
          <w:lang w:val="en-US"/>
        </w:rPr>
        <w:t xml:space="preserve">. </w:t>
      </w:r>
      <w:proofErr w:type="gramStart"/>
      <w:r w:rsidRPr="002B0178">
        <w:rPr>
          <w:rFonts w:ascii="Times New Roman" w:hAnsi="Times New Roman" w:cs="Times New Roman"/>
          <w:lang w:val="en-US"/>
        </w:rPr>
        <w:t>al</w:t>
      </w:r>
      <w:proofErr w:type="gramEnd"/>
      <w:r w:rsidRPr="002B0178">
        <w:rPr>
          <w:rFonts w:ascii="Times New Roman" w:hAnsi="Times New Roman" w:cs="Times New Roman"/>
          <w:lang w:val="en-US"/>
        </w:rPr>
        <w:t xml:space="preserve">. (ed.) </w:t>
      </w:r>
      <w:r w:rsidRPr="002B0178">
        <w:rPr>
          <w:rFonts w:ascii="Times New Roman" w:hAnsi="Times New Roman" w:cs="Times New Roman"/>
          <w:i/>
          <w:lang w:val="en-US"/>
        </w:rPr>
        <w:t>Transformative Constitutionalism in Latin America</w:t>
      </w:r>
      <w:r w:rsidRPr="002B0178">
        <w:rPr>
          <w:rFonts w:ascii="Times New Roman" w:hAnsi="Times New Roman" w:cs="Times New Roman"/>
          <w:lang w:val="en-US"/>
        </w:rPr>
        <w:t>. Oxford: Oxford University Press, 2017. p. 49-65.</w:t>
      </w:r>
    </w:p>
    <w:p w14:paraId="79FAFE1E" w14:textId="77777777" w:rsidR="005503D6" w:rsidRPr="002B0178" w:rsidRDefault="005503D6" w:rsidP="00420929">
      <w:pPr>
        <w:pStyle w:val="FootnoteText"/>
        <w:jc w:val="both"/>
        <w:rPr>
          <w:rFonts w:ascii="Times New Roman" w:hAnsi="Times New Roman" w:cs="Times New Roman"/>
          <w:lang w:val="en-US"/>
        </w:rPr>
      </w:pPr>
    </w:p>
    <w:p w14:paraId="2C1A090E" w14:textId="682AF0C5" w:rsidR="005503D6" w:rsidRPr="005503D6" w:rsidRDefault="005503D6" w:rsidP="00E84577">
      <w:pPr>
        <w:widowControl w:val="0"/>
        <w:autoSpaceDE w:val="0"/>
        <w:autoSpaceDN w:val="0"/>
        <w:adjustRightInd w:val="0"/>
        <w:rPr>
          <w:rFonts w:ascii="Times New Roman" w:hAnsi="Times New Roman" w:cs="Times New Roman"/>
        </w:rPr>
      </w:pPr>
      <w:r w:rsidRPr="005503D6">
        <w:rPr>
          <w:rFonts w:ascii="Times New Roman" w:hAnsi="Times New Roman" w:cs="Times New Roman"/>
        </w:rPr>
        <w:t xml:space="preserve">PIOVESAN, Flávia. Sistema Interamericano de Direitos Humanos: Impacto Transformador, Diálogos Jurisdicionais e os Desafios da Reforma. </w:t>
      </w:r>
      <w:r w:rsidRPr="005503D6">
        <w:rPr>
          <w:rFonts w:ascii="Times New Roman" w:hAnsi="Times New Roman" w:cs="Times New Roman"/>
          <w:i/>
        </w:rPr>
        <w:t>Revista Direitos Emergentes na Sociedade Global</w:t>
      </w:r>
      <w:r w:rsidRPr="005503D6">
        <w:rPr>
          <w:rFonts w:ascii="Times New Roman" w:hAnsi="Times New Roman" w:cs="Times New Roman"/>
        </w:rPr>
        <w:t>,</w:t>
      </w:r>
      <w:r w:rsidRPr="005503D6">
        <w:rPr>
          <w:rFonts w:ascii="Times New Roman" w:hAnsi="Times New Roman" w:cs="Times New Roman"/>
          <w:b/>
        </w:rPr>
        <w:t xml:space="preserve"> </w:t>
      </w:r>
      <w:r w:rsidRPr="005503D6">
        <w:rPr>
          <w:rFonts w:ascii="Times New Roman" w:hAnsi="Times New Roman" w:cs="Times New Roman"/>
        </w:rPr>
        <w:t xml:space="preserve">Santa Maria, v. 3, n. 1, p. 76-101 jan.jun/ 2014. Disponível em: </w:t>
      </w:r>
      <w:hyperlink r:id="rId16" w:anchor=".XE3erqfOrUo" w:history="1">
        <w:r w:rsidR="00E84577" w:rsidRPr="00256308">
          <w:rPr>
            <w:rStyle w:val="Hyperlink"/>
            <w:rFonts w:ascii="Times New Roman" w:hAnsi="Times New Roman" w:cs="Times New Roman"/>
          </w:rPr>
          <w:t>https://periodicos.ufsm.br/REDESG/article/view/16282#.XE3erqfOrUo</w:t>
        </w:r>
      </w:hyperlink>
      <w:r w:rsidR="00E84577">
        <w:rPr>
          <w:rFonts w:ascii="Times New Roman" w:hAnsi="Times New Roman" w:cs="Times New Roman"/>
        </w:rPr>
        <w:t xml:space="preserve"> </w:t>
      </w:r>
      <w:r w:rsidRPr="005503D6">
        <w:rPr>
          <w:rFonts w:ascii="Times New Roman" w:hAnsi="Times New Roman" w:cs="Times New Roman"/>
        </w:rPr>
        <w:t>. Acesso em: 10 dez. 2018.</w:t>
      </w:r>
    </w:p>
    <w:p w14:paraId="7DDA3A65" w14:textId="77777777" w:rsidR="005503D6" w:rsidRPr="005503D6" w:rsidRDefault="005503D6" w:rsidP="00420929">
      <w:pPr>
        <w:pStyle w:val="FootnoteText"/>
        <w:jc w:val="both"/>
        <w:rPr>
          <w:rFonts w:ascii="Times New Roman" w:hAnsi="Times New Roman" w:cs="Times New Roman"/>
        </w:rPr>
      </w:pPr>
    </w:p>
    <w:p w14:paraId="37FF2C81" w14:textId="3896BE39" w:rsidR="005503D6" w:rsidRPr="002B0178" w:rsidRDefault="005503D6" w:rsidP="00420929">
      <w:pPr>
        <w:pStyle w:val="twowords"/>
        <w:spacing w:before="0" w:beforeAutospacing="0" w:after="0" w:afterAutospacing="0"/>
        <w:jc w:val="both"/>
        <w:rPr>
          <w:caps/>
          <w:color w:val="719A6B"/>
          <w:sz w:val="24"/>
          <w:szCs w:val="24"/>
          <w:lang w:val="pt-BR"/>
        </w:rPr>
      </w:pPr>
      <w:r w:rsidRPr="002B0178">
        <w:rPr>
          <w:sz w:val="24"/>
          <w:szCs w:val="24"/>
          <w:lang w:val="pt-BR"/>
        </w:rPr>
        <w:t xml:space="preserve">PIOVESAN, Flávia. </w:t>
      </w:r>
      <w:r w:rsidRPr="002B0178">
        <w:rPr>
          <w:i/>
          <w:sz w:val="24"/>
          <w:szCs w:val="24"/>
          <w:lang w:val="pt-BR"/>
        </w:rPr>
        <w:t>Direitos Humanos e o Direito Constitucional Internacional.</w:t>
      </w:r>
      <w:r w:rsidR="00E84577">
        <w:rPr>
          <w:sz w:val="24"/>
          <w:szCs w:val="24"/>
          <w:lang w:val="pt-BR"/>
        </w:rPr>
        <w:t xml:space="preserve"> São Paulo: Saraiva, 2013.</w:t>
      </w:r>
    </w:p>
    <w:p w14:paraId="3C89AA02" w14:textId="77777777" w:rsidR="00705242" w:rsidRPr="005503D6" w:rsidRDefault="00705242" w:rsidP="00420929">
      <w:pPr>
        <w:jc w:val="both"/>
        <w:rPr>
          <w:rFonts w:ascii="Times New Roman" w:hAnsi="Times New Roman" w:cs="Times New Roman"/>
        </w:rPr>
      </w:pPr>
    </w:p>
    <w:p w14:paraId="2B1DD772" w14:textId="60F17C24" w:rsidR="00705242" w:rsidRPr="002B0178" w:rsidRDefault="00705242" w:rsidP="00420929">
      <w:pPr>
        <w:jc w:val="both"/>
        <w:rPr>
          <w:rFonts w:ascii="Times New Roman" w:eastAsia="Times New Roman" w:hAnsi="Times New Roman" w:cs="Times New Roman"/>
        </w:rPr>
      </w:pPr>
      <w:r w:rsidRPr="005503D6">
        <w:rPr>
          <w:rFonts w:ascii="Times New Roman" w:hAnsi="Times New Roman" w:cs="Times New Roman"/>
        </w:rPr>
        <w:lastRenderedPageBreak/>
        <w:t>RAMOS, André de Carvalho.</w:t>
      </w:r>
      <w:r w:rsidRPr="005503D6">
        <w:rPr>
          <w:rFonts w:ascii="Times New Roman" w:eastAsia="Times New Roman" w:hAnsi="Times New Roman" w:cs="Times New Roman"/>
          <w:shd w:val="clear" w:color="auto" w:fill="FFFFFF"/>
        </w:rPr>
        <w:t xml:space="preserve"> </w:t>
      </w:r>
      <w:r w:rsidRPr="002B0178">
        <w:rPr>
          <w:rFonts w:ascii="Times New Roman" w:eastAsia="Times New Roman" w:hAnsi="Times New Roman" w:cs="Times New Roman"/>
        </w:rPr>
        <w:t xml:space="preserve">Supremo Tribunal Federal Brasileiro e o Controle de Convencionalidade: Levando a sério os tratados de direitos humanos. </w:t>
      </w:r>
      <w:r w:rsidRPr="002B0178">
        <w:rPr>
          <w:rFonts w:ascii="Times New Roman" w:eastAsia="Times New Roman" w:hAnsi="Times New Roman" w:cs="Times New Roman"/>
          <w:i/>
          <w:shd w:val="clear" w:color="auto" w:fill="FFFFFF"/>
        </w:rPr>
        <w:t>Revista da Faculdade de Direito da Universidade de São Paulo</w:t>
      </w:r>
      <w:r w:rsidRPr="002B0178">
        <w:rPr>
          <w:rFonts w:ascii="Times New Roman" w:eastAsia="Times New Roman" w:hAnsi="Times New Roman" w:cs="Times New Roman"/>
          <w:shd w:val="clear" w:color="auto" w:fill="FFFFFF"/>
        </w:rPr>
        <w:t xml:space="preserve">, v. 104, p. 241-286,  jan/dez 2009. </w:t>
      </w:r>
    </w:p>
    <w:p w14:paraId="32DF0AC7" w14:textId="77777777" w:rsidR="00705242" w:rsidRPr="001F5AC8" w:rsidRDefault="00705242" w:rsidP="00420929">
      <w:pPr>
        <w:jc w:val="both"/>
        <w:rPr>
          <w:rFonts w:ascii="Times New Roman" w:hAnsi="Times New Roman" w:cs="Times New Roman"/>
        </w:rPr>
      </w:pPr>
    </w:p>
    <w:p w14:paraId="161054AF" w14:textId="0B8D8B0E" w:rsidR="001F5AC8" w:rsidRPr="001F5AC8" w:rsidRDefault="001F5AC8" w:rsidP="00420929">
      <w:pPr>
        <w:jc w:val="both"/>
        <w:rPr>
          <w:rFonts w:ascii="Times New Roman" w:hAnsi="Times New Roman" w:cs="Times New Roman"/>
        </w:rPr>
      </w:pPr>
      <w:r w:rsidRPr="001F5AC8">
        <w:rPr>
          <w:rFonts w:ascii="Times New Roman" w:hAnsi="Times New Roman" w:cs="Times New Roman"/>
        </w:rPr>
        <w:t xml:space="preserve">RAMOS, André de Carvalho. </w:t>
      </w:r>
      <w:r w:rsidRPr="001F5AC8">
        <w:rPr>
          <w:rFonts w:ascii="Times New Roman" w:hAnsi="Times New Roman" w:cs="Times New Roman"/>
          <w:i/>
        </w:rPr>
        <w:t>Teoria Geral dos Direitos Humanos na Ordem Internacional</w:t>
      </w:r>
      <w:r w:rsidRPr="001F5AC8">
        <w:rPr>
          <w:rFonts w:ascii="Times New Roman" w:hAnsi="Times New Roman" w:cs="Times New Roman"/>
        </w:rPr>
        <w:t>. 6 ed. São Paulo: Saraiva, 2016.</w:t>
      </w:r>
    </w:p>
    <w:p w14:paraId="0A0C5472" w14:textId="77777777" w:rsidR="001F5AC8" w:rsidRPr="005503D6" w:rsidRDefault="001F5AC8" w:rsidP="00420929">
      <w:pPr>
        <w:jc w:val="both"/>
        <w:rPr>
          <w:rFonts w:ascii="Times New Roman" w:hAnsi="Times New Roman" w:cs="Times New Roman"/>
        </w:rPr>
      </w:pPr>
    </w:p>
    <w:p w14:paraId="2BF8385D" w14:textId="77777777" w:rsidR="00BD6DCD" w:rsidRPr="002B0178" w:rsidRDefault="00BD6DCD" w:rsidP="00420929">
      <w:pPr>
        <w:jc w:val="both"/>
        <w:rPr>
          <w:rFonts w:ascii="Times New Roman" w:hAnsi="Times New Roman" w:cs="Times New Roman"/>
          <w:lang w:val="en-US"/>
        </w:rPr>
      </w:pPr>
      <w:r w:rsidRPr="002B0178">
        <w:rPr>
          <w:rFonts w:ascii="Times New Roman" w:hAnsi="Times New Roman" w:cs="Times New Roman"/>
          <w:lang w:val="en-US"/>
        </w:rPr>
        <w:t xml:space="preserve">RODILES, Alejandro. The Law and Politics of the Pro Persona Principle in Latin America. In von BOGDANDY, Armin; </w:t>
      </w:r>
      <w:proofErr w:type="gramStart"/>
      <w:r w:rsidRPr="002B0178">
        <w:rPr>
          <w:rFonts w:ascii="Times New Roman" w:hAnsi="Times New Roman" w:cs="Times New Roman"/>
          <w:lang w:val="en-US"/>
        </w:rPr>
        <w:t>et</w:t>
      </w:r>
      <w:proofErr w:type="gramEnd"/>
      <w:r w:rsidRPr="002B0178">
        <w:rPr>
          <w:rFonts w:ascii="Times New Roman" w:hAnsi="Times New Roman" w:cs="Times New Roman"/>
          <w:lang w:val="en-US"/>
        </w:rPr>
        <w:t xml:space="preserve">. </w:t>
      </w:r>
      <w:proofErr w:type="gramStart"/>
      <w:r w:rsidRPr="002B0178">
        <w:rPr>
          <w:rFonts w:ascii="Times New Roman" w:hAnsi="Times New Roman" w:cs="Times New Roman"/>
          <w:lang w:val="en-US"/>
        </w:rPr>
        <w:t>al</w:t>
      </w:r>
      <w:proofErr w:type="gramEnd"/>
      <w:r w:rsidRPr="002B0178">
        <w:rPr>
          <w:rFonts w:ascii="Times New Roman" w:hAnsi="Times New Roman" w:cs="Times New Roman"/>
          <w:lang w:val="en-US"/>
        </w:rPr>
        <w:t xml:space="preserve">. (ed.) </w:t>
      </w:r>
      <w:r w:rsidRPr="002B0178">
        <w:rPr>
          <w:rFonts w:ascii="Times New Roman" w:hAnsi="Times New Roman" w:cs="Times New Roman"/>
          <w:i/>
          <w:lang w:val="en-US"/>
        </w:rPr>
        <w:t>Transformative Constitutionalism in Latin America.</w:t>
      </w:r>
      <w:r w:rsidRPr="002B0178">
        <w:rPr>
          <w:rFonts w:ascii="Times New Roman" w:hAnsi="Times New Roman" w:cs="Times New Roman"/>
          <w:lang w:val="en-US"/>
        </w:rPr>
        <w:t xml:space="preserve"> Oxford: Oxford University Press, 2017. p. 153-174.</w:t>
      </w:r>
    </w:p>
    <w:p w14:paraId="6C9718DB" w14:textId="77777777" w:rsidR="00BD6DCD" w:rsidRPr="002B0178" w:rsidRDefault="00BD6DCD" w:rsidP="00420929">
      <w:pPr>
        <w:pStyle w:val="FootnoteText"/>
        <w:jc w:val="both"/>
        <w:rPr>
          <w:rFonts w:ascii="Times New Roman" w:hAnsi="Times New Roman" w:cs="Times New Roman"/>
          <w:lang w:val="en-US"/>
        </w:rPr>
      </w:pPr>
    </w:p>
    <w:p w14:paraId="3FCCF6CC" w14:textId="77777777" w:rsidR="005C098A" w:rsidRPr="002B0178" w:rsidRDefault="005C098A" w:rsidP="00420929">
      <w:pPr>
        <w:pStyle w:val="FootnoteText"/>
        <w:jc w:val="both"/>
        <w:rPr>
          <w:rFonts w:ascii="Times New Roman" w:hAnsi="Times New Roman" w:cs="Times New Roman"/>
          <w:lang w:val="en-US"/>
        </w:rPr>
      </w:pPr>
      <w:r w:rsidRPr="002B0178">
        <w:rPr>
          <w:rFonts w:ascii="Times New Roman" w:hAnsi="Times New Roman" w:cs="Times New Roman"/>
          <w:lang w:val="en-US"/>
        </w:rPr>
        <w:t xml:space="preserve">RODRÍGUEZ PINZÓN, Diego. The “victim” requirement, the fourth instance formula and the notion of “person” in the individual complaint procedure of the Inter-American Human Rights System. </w:t>
      </w:r>
      <w:r w:rsidRPr="002B0178">
        <w:rPr>
          <w:rFonts w:ascii="Times New Roman" w:hAnsi="Times New Roman" w:cs="Times New Roman"/>
          <w:i/>
          <w:lang w:val="en-US"/>
        </w:rPr>
        <w:t>ILSA Journal of International &amp; Comparative Law</w:t>
      </w:r>
      <w:r w:rsidRPr="002B0178">
        <w:rPr>
          <w:rFonts w:ascii="Times New Roman" w:hAnsi="Times New Roman" w:cs="Times New Roman"/>
          <w:lang w:val="en-US"/>
        </w:rPr>
        <w:t>, Chicago, v. 7, p. 369-383, mar. 2001.</w:t>
      </w:r>
    </w:p>
    <w:p w14:paraId="294AC328" w14:textId="77777777" w:rsidR="00705242" w:rsidRPr="002B0178" w:rsidRDefault="00705242" w:rsidP="00420929">
      <w:pPr>
        <w:pStyle w:val="FootnoteText"/>
        <w:jc w:val="both"/>
        <w:rPr>
          <w:rFonts w:ascii="Times New Roman" w:hAnsi="Times New Roman" w:cs="Times New Roman"/>
          <w:lang w:val="en-US"/>
        </w:rPr>
      </w:pPr>
    </w:p>
    <w:p w14:paraId="3524BA84" w14:textId="32841E14" w:rsidR="005C098A" w:rsidRDefault="00705242" w:rsidP="00420929">
      <w:pPr>
        <w:pStyle w:val="FootnoteText"/>
        <w:jc w:val="both"/>
        <w:rPr>
          <w:rFonts w:ascii="Times New Roman" w:hAnsi="Times New Roman" w:cs="Times New Roman"/>
        </w:rPr>
      </w:pPr>
      <w:r w:rsidRPr="005503D6">
        <w:rPr>
          <w:rFonts w:ascii="Times New Roman" w:hAnsi="Times New Roman" w:cs="Times New Roman"/>
        </w:rPr>
        <w:t xml:space="preserve">ROLLA, Giancarlo. Algunas consideraciones sobre la tutela de los derechos y libertades fundamentales ante las jurisdicciones supranacionales. In SAIZ ARNAIZ, Alejandro; SOLANES MULLOR, Joan; ROA ROA, Jorge Ernesto. </w:t>
      </w:r>
      <w:r w:rsidRPr="005503D6">
        <w:rPr>
          <w:rFonts w:ascii="Times New Roman" w:hAnsi="Times New Roman" w:cs="Times New Roman"/>
          <w:i/>
        </w:rPr>
        <w:t xml:space="preserve">Diálogos Judiciales en el Sistema Interamericano de Derechos Humanos. </w:t>
      </w:r>
      <w:r w:rsidRPr="005503D6">
        <w:rPr>
          <w:rFonts w:ascii="Times New Roman" w:hAnsi="Times New Roman" w:cs="Times New Roman"/>
        </w:rPr>
        <w:t>Valencia: Tirant lo Blanch, 2017. p. 71-88.</w:t>
      </w:r>
    </w:p>
    <w:p w14:paraId="5EC81F5A" w14:textId="77777777" w:rsidR="0071067C" w:rsidRDefault="0071067C" w:rsidP="00420929">
      <w:pPr>
        <w:pStyle w:val="FootnoteText"/>
        <w:jc w:val="both"/>
        <w:rPr>
          <w:rFonts w:ascii="Times New Roman" w:hAnsi="Times New Roman" w:cs="Times New Roman"/>
        </w:rPr>
      </w:pPr>
    </w:p>
    <w:p w14:paraId="3E67AF44" w14:textId="778132BB" w:rsidR="0071067C" w:rsidRPr="0071067C" w:rsidRDefault="0071067C" w:rsidP="00420929">
      <w:pPr>
        <w:pStyle w:val="FootnoteText"/>
        <w:jc w:val="both"/>
        <w:rPr>
          <w:rFonts w:ascii="Times New Roman" w:hAnsi="Times New Roman" w:cs="Times New Roman"/>
        </w:rPr>
      </w:pPr>
      <w:r w:rsidRPr="0071067C">
        <w:rPr>
          <w:rFonts w:ascii="Times New Roman" w:hAnsi="Times New Roman" w:cs="Times New Roman"/>
        </w:rPr>
        <w:t xml:space="preserve">SAAVEDRA ALESSANDRI, Pablo. Algunas reflexiones en cuanto al impacto estructural de las decisiones de la Corte Interamericana de Derechos Humanos. </w:t>
      </w:r>
      <w:r w:rsidRPr="002B0178">
        <w:rPr>
          <w:rFonts w:ascii="Times New Roman" w:hAnsi="Times New Roman" w:cs="Times New Roman"/>
        </w:rPr>
        <w:t xml:space="preserve">In: von BOGDANDY, Armin; MORALES ANTONIAZZI, Mariela; FERRER MAC-GREGOR, Eduardo. </w:t>
      </w:r>
      <w:r w:rsidRPr="002B0178">
        <w:rPr>
          <w:rFonts w:ascii="Times New Roman" w:hAnsi="Times New Roman" w:cs="Times New Roman"/>
          <w:i/>
        </w:rPr>
        <w:t>Ius Constitutionale Commune en América Latina</w:t>
      </w:r>
      <w:r w:rsidRPr="002B0178">
        <w:rPr>
          <w:rFonts w:ascii="Times New Roman" w:hAnsi="Times New Roman" w:cs="Times New Roman"/>
        </w:rPr>
        <w:t xml:space="preserve">: textos básicos para su compreensión. México: Instituto de Estudios Constitucionales  del Estado de Querétaro, Max Planck Institute for Comparative Public Law and International Law,  2017. p. </w:t>
      </w:r>
      <w:r w:rsidRPr="0071067C">
        <w:rPr>
          <w:rFonts w:ascii="Times New Roman" w:hAnsi="Times New Roman" w:cs="Times New Roman"/>
        </w:rPr>
        <w:t>457-502</w:t>
      </w:r>
      <w:r>
        <w:rPr>
          <w:rFonts w:ascii="Times New Roman" w:hAnsi="Times New Roman" w:cs="Times New Roman"/>
        </w:rPr>
        <w:t>.</w:t>
      </w:r>
    </w:p>
    <w:p w14:paraId="331BCEC0" w14:textId="77777777" w:rsidR="00A343D1" w:rsidRPr="005503D6" w:rsidRDefault="00A343D1" w:rsidP="00420929">
      <w:pPr>
        <w:pStyle w:val="FootnoteText"/>
        <w:jc w:val="both"/>
        <w:rPr>
          <w:rFonts w:ascii="Times New Roman" w:hAnsi="Times New Roman" w:cs="Times New Roman"/>
        </w:rPr>
      </w:pPr>
    </w:p>
    <w:p w14:paraId="5D141B97" w14:textId="4F3A8596" w:rsidR="005C098A" w:rsidRPr="005503D6" w:rsidRDefault="005C098A" w:rsidP="00420929">
      <w:pPr>
        <w:pStyle w:val="FootnoteText"/>
        <w:jc w:val="both"/>
        <w:rPr>
          <w:rFonts w:ascii="Times New Roman" w:hAnsi="Times New Roman" w:cs="Times New Roman"/>
        </w:rPr>
      </w:pPr>
      <w:r w:rsidRPr="005503D6">
        <w:rPr>
          <w:rFonts w:ascii="Times New Roman" w:hAnsi="Times New Roman" w:cs="Times New Roman"/>
        </w:rPr>
        <w:t xml:space="preserve">SAIZ ARNAIZ, Alejandro. </w:t>
      </w:r>
      <w:r w:rsidRPr="005503D6">
        <w:rPr>
          <w:rFonts w:ascii="Times New Roman" w:hAnsi="Times New Roman" w:cs="Times New Roman"/>
          <w:i/>
        </w:rPr>
        <w:t>Tribunal Constitucional y Tribunal Europeo de Derechos Humanos: las razones para el diálogo</w:t>
      </w:r>
      <w:r w:rsidRPr="005503D6">
        <w:rPr>
          <w:rFonts w:ascii="Times New Roman" w:hAnsi="Times New Roman" w:cs="Times New Roman"/>
        </w:rPr>
        <w:t xml:space="preserve">. </w:t>
      </w:r>
      <w:r w:rsidRPr="005503D6">
        <w:rPr>
          <w:rStyle w:val="Strong"/>
          <w:rFonts w:ascii="Times New Roman" w:eastAsia="Times New Roman" w:hAnsi="Times New Roman" w:cs="Times New Roman"/>
          <w:b w:val="0"/>
          <w:bdr w:val="none" w:sz="0" w:space="0" w:color="auto" w:frame="1"/>
        </w:rPr>
        <w:t>In:</w:t>
      </w:r>
      <w:r w:rsidRPr="005503D6">
        <w:rPr>
          <w:rStyle w:val="titulo"/>
          <w:rFonts w:ascii="Times New Roman" w:eastAsia="Times New Roman" w:hAnsi="Times New Roman" w:cs="Times New Roman"/>
          <w:bdr w:val="none" w:sz="0" w:space="0" w:color="auto" w:frame="1"/>
        </w:rPr>
        <w:t xml:space="preserve"> CENTRO DE ESTUDIOS POLÍTICOS Y CONSTITUCIONALES (ed.). </w:t>
      </w:r>
      <w:hyperlink r:id="rId17" w:history="1">
        <w:r w:rsidRPr="005503D6">
          <w:rPr>
            <w:rStyle w:val="Hyperlink"/>
            <w:rFonts w:ascii="Times New Roman" w:eastAsia="Times New Roman" w:hAnsi="Times New Roman" w:cs="Times New Roman"/>
            <w:color w:val="auto"/>
            <w:u w:val="none"/>
            <w:bdr w:val="none" w:sz="0" w:space="0" w:color="auto" w:frame="1"/>
          </w:rPr>
          <w:t>Tribunal Constitucional y diálogo entre tribunales : XVIII Jornadas de la Asociación de Letrados del Tribunal Constitucional</w:t>
        </w:r>
      </w:hyperlink>
      <w:r w:rsidRPr="005503D6">
        <w:rPr>
          <w:rFonts w:ascii="Times New Roman" w:eastAsia="Times New Roman" w:hAnsi="Times New Roman" w:cs="Times New Roman"/>
          <w:bdr w:val="none" w:sz="0" w:space="0" w:color="auto" w:frame="1"/>
        </w:rPr>
        <w:t>, 2013</w:t>
      </w:r>
      <w:r w:rsidRPr="005503D6">
        <w:rPr>
          <w:rFonts w:ascii="Times New Roman" w:eastAsia="Times New Roman" w:hAnsi="Times New Roman" w:cs="Times New Roman"/>
          <w:bCs/>
          <w:color w:val="000000"/>
        </w:rPr>
        <w:t>.</w:t>
      </w:r>
      <w:r w:rsidR="00C5255E">
        <w:rPr>
          <w:rFonts w:ascii="Times New Roman" w:eastAsia="Times New Roman" w:hAnsi="Times New Roman" w:cs="Times New Roman"/>
          <w:bCs/>
          <w:color w:val="000000"/>
        </w:rPr>
        <w:t xml:space="preserve"> </w:t>
      </w:r>
      <w:r w:rsidR="00C5255E" w:rsidRPr="005503D6">
        <w:rPr>
          <w:rStyle w:val="HTMLAcronym"/>
          <w:rFonts w:ascii="Times New Roman" w:eastAsia="Times New Roman" w:hAnsi="Times New Roman" w:cs="Times New Roman"/>
          <w:bdr w:val="none" w:sz="0" w:space="0" w:color="auto" w:frame="1"/>
        </w:rPr>
        <w:t>p</w:t>
      </w:r>
      <w:r w:rsidR="00C5255E" w:rsidRPr="005503D6">
        <w:rPr>
          <w:rFonts w:ascii="Times New Roman" w:eastAsia="Times New Roman" w:hAnsi="Times New Roman" w:cs="Times New Roman"/>
          <w:bdr w:val="none" w:sz="0" w:space="0" w:color="auto" w:frame="1"/>
        </w:rPr>
        <w:t>.</w:t>
      </w:r>
      <w:r w:rsidR="00C5255E" w:rsidRPr="005503D6">
        <w:rPr>
          <w:rStyle w:val="apple-converted-space"/>
          <w:rFonts w:ascii="Times New Roman" w:eastAsia="Times New Roman" w:hAnsi="Times New Roman" w:cs="Times New Roman"/>
          <w:bdr w:val="none" w:sz="0" w:space="0" w:color="auto" w:frame="1"/>
        </w:rPr>
        <w:t> </w:t>
      </w:r>
      <w:r w:rsidR="00C5255E" w:rsidRPr="005503D6">
        <w:rPr>
          <w:rFonts w:ascii="Times New Roman" w:eastAsia="Times New Roman" w:hAnsi="Times New Roman" w:cs="Times New Roman"/>
          <w:bdr w:val="none" w:sz="0" w:space="0" w:color="auto" w:frame="1"/>
        </w:rPr>
        <w:t>131-160</w:t>
      </w:r>
      <w:r w:rsidR="00C5255E">
        <w:rPr>
          <w:rFonts w:ascii="Times New Roman" w:eastAsia="Times New Roman" w:hAnsi="Times New Roman" w:cs="Times New Roman"/>
          <w:bdr w:val="none" w:sz="0" w:space="0" w:color="auto" w:frame="1"/>
        </w:rPr>
        <w:t>.</w:t>
      </w:r>
    </w:p>
    <w:p w14:paraId="085FE12B" w14:textId="77777777" w:rsidR="00705242" w:rsidRPr="002B0178" w:rsidRDefault="00705242" w:rsidP="003972F3">
      <w:pPr>
        <w:pStyle w:val="FootnoteText"/>
        <w:rPr>
          <w:rFonts w:ascii="Times New Roman" w:hAnsi="Times New Roman" w:cs="Times New Roman"/>
        </w:rPr>
      </w:pPr>
    </w:p>
    <w:p w14:paraId="6DC12346" w14:textId="77777777" w:rsidR="00BD6DCD" w:rsidRPr="005503D6" w:rsidRDefault="00BD6DCD" w:rsidP="003972F3">
      <w:pPr>
        <w:pStyle w:val="FootnoteText"/>
        <w:rPr>
          <w:rFonts w:ascii="Times New Roman" w:hAnsi="Times New Roman" w:cs="Times New Roman"/>
        </w:rPr>
      </w:pPr>
      <w:r w:rsidRPr="005503D6">
        <w:rPr>
          <w:rFonts w:ascii="Times New Roman" w:hAnsi="Times New Roman" w:cs="Times New Roman"/>
        </w:rPr>
        <w:t xml:space="preserve">SAÍZ ARNAÍZ, Alejandro. La interacción entre los tribunales que garantizan derechos humanos: razones para el diálogo. In ARNAIZ, Alejandro Saiz (Director); SOLANES MULLOR, Joan; ROA ROA, Jorge Ernesto. </w:t>
      </w:r>
      <w:r w:rsidRPr="005503D6">
        <w:rPr>
          <w:rFonts w:ascii="Times New Roman" w:hAnsi="Times New Roman" w:cs="Times New Roman"/>
          <w:i/>
        </w:rPr>
        <w:t>Diálogos Judiciales en el Sistema Interamericano de Derechos Humanos</w:t>
      </w:r>
      <w:r w:rsidRPr="005503D6">
        <w:rPr>
          <w:rFonts w:ascii="Times New Roman" w:hAnsi="Times New Roman" w:cs="Times New Roman"/>
        </w:rPr>
        <w:t>. Valência: Tirant lo Blanch, 2017. p. 29-43.</w:t>
      </w:r>
    </w:p>
    <w:p w14:paraId="68B7C9AF" w14:textId="77777777" w:rsidR="00BD6DCD" w:rsidRPr="002B0178" w:rsidRDefault="00BD6DCD" w:rsidP="003972F3">
      <w:pPr>
        <w:pStyle w:val="FootnoteText"/>
        <w:rPr>
          <w:rFonts w:ascii="Times New Roman" w:hAnsi="Times New Roman" w:cs="Times New Roman"/>
        </w:rPr>
      </w:pPr>
    </w:p>
    <w:p w14:paraId="614DE611" w14:textId="77777777" w:rsidR="00705242" w:rsidRPr="002B0178" w:rsidRDefault="00705242" w:rsidP="003972F3">
      <w:pPr>
        <w:pStyle w:val="FootnoteText"/>
        <w:rPr>
          <w:rFonts w:ascii="Times New Roman" w:hAnsi="Times New Roman" w:cs="Times New Roman"/>
          <w:lang w:val="en-US"/>
        </w:rPr>
      </w:pPr>
      <w:proofErr w:type="gramStart"/>
      <w:r w:rsidRPr="002B0178">
        <w:rPr>
          <w:rFonts w:ascii="Times New Roman" w:hAnsi="Times New Roman" w:cs="Times New Roman"/>
          <w:lang w:val="en-US"/>
        </w:rPr>
        <w:t>SALAZAR UGARTE, Pedro.</w:t>
      </w:r>
      <w:proofErr w:type="gramEnd"/>
      <w:r w:rsidRPr="002B0178">
        <w:rPr>
          <w:rFonts w:ascii="Times New Roman" w:hAnsi="Times New Roman" w:cs="Times New Roman"/>
          <w:lang w:val="en-US"/>
        </w:rPr>
        <w:t xml:space="preserve"> </w:t>
      </w:r>
      <w:proofErr w:type="gramStart"/>
      <w:r w:rsidRPr="002B0178">
        <w:rPr>
          <w:rFonts w:ascii="Times New Roman" w:hAnsi="Times New Roman" w:cs="Times New Roman"/>
          <w:lang w:val="en-US"/>
        </w:rPr>
        <w:t>The Struggle for Rights.</w:t>
      </w:r>
      <w:proofErr w:type="gramEnd"/>
      <w:r w:rsidRPr="002B0178">
        <w:rPr>
          <w:rFonts w:ascii="Times New Roman" w:hAnsi="Times New Roman" w:cs="Times New Roman"/>
          <w:lang w:val="en-US"/>
        </w:rPr>
        <w:t xml:space="preserve"> In: von BOGDANDY, Armin; </w:t>
      </w:r>
      <w:proofErr w:type="gramStart"/>
      <w:r w:rsidRPr="002B0178">
        <w:rPr>
          <w:rFonts w:ascii="Times New Roman" w:hAnsi="Times New Roman" w:cs="Times New Roman"/>
          <w:lang w:val="en-US"/>
        </w:rPr>
        <w:t>et</w:t>
      </w:r>
      <w:proofErr w:type="gramEnd"/>
      <w:r w:rsidRPr="002B0178">
        <w:rPr>
          <w:rFonts w:ascii="Times New Roman" w:hAnsi="Times New Roman" w:cs="Times New Roman"/>
          <w:lang w:val="en-US"/>
        </w:rPr>
        <w:t xml:space="preserve">. </w:t>
      </w:r>
      <w:proofErr w:type="gramStart"/>
      <w:r w:rsidRPr="002B0178">
        <w:rPr>
          <w:rFonts w:ascii="Times New Roman" w:hAnsi="Times New Roman" w:cs="Times New Roman"/>
          <w:lang w:val="en-US"/>
        </w:rPr>
        <w:t>al</w:t>
      </w:r>
      <w:proofErr w:type="gramEnd"/>
      <w:r w:rsidRPr="002B0178">
        <w:rPr>
          <w:rFonts w:ascii="Times New Roman" w:hAnsi="Times New Roman" w:cs="Times New Roman"/>
          <w:lang w:val="en-US"/>
        </w:rPr>
        <w:t xml:space="preserve">. (ed.) </w:t>
      </w:r>
      <w:r w:rsidRPr="002B0178">
        <w:rPr>
          <w:rFonts w:ascii="Times New Roman" w:hAnsi="Times New Roman" w:cs="Times New Roman"/>
          <w:i/>
          <w:lang w:val="en-US"/>
        </w:rPr>
        <w:t>Transformative Constitutionalism in Latin America</w:t>
      </w:r>
      <w:r w:rsidRPr="002B0178">
        <w:rPr>
          <w:rFonts w:ascii="Times New Roman" w:hAnsi="Times New Roman" w:cs="Times New Roman"/>
          <w:lang w:val="en-US"/>
        </w:rPr>
        <w:t>. Oxford: Oxford University Press, 2017. p. 67-82.</w:t>
      </w:r>
    </w:p>
    <w:p w14:paraId="674620A9" w14:textId="77777777" w:rsidR="00705242" w:rsidRPr="002B0178" w:rsidRDefault="00705242" w:rsidP="003972F3">
      <w:pPr>
        <w:rPr>
          <w:rFonts w:ascii="Times New Roman" w:hAnsi="Times New Roman" w:cs="Times New Roman"/>
          <w:lang w:val="en-US"/>
        </w:rPr>
      </w:pPr>
    </w:p>
    <w:p w14:paraId="5316968F" w14:textId="4B9FD2F1" w:rsidR="00BD6DCD" w:rsidRPr="005503D6" w:rsidRDefault="00BD6DCD" w:rsidP="003972F3">
      <w:pPr>
        <w:pStyle w:val="FootnoteText"/>
        <w:rPr>
          <w:rFonts w:ascii="Times New Roman" w:hAnsi="Times New Roman" w:cs="Times New Roman"/>
        </w:rPr>
      </w:pPr>
      <w:r w:rsidRPr="005503D6">
        <w:rPr>
          <w:rFonts w:ascii="Times New Roman" w:hAnsi="Times New Roman" w:cs="Times New Roman"/>
        </w:rPr>
        <w:t xml:space="preserve">SANTOLAYA, Pablo. La apertura de las constituciones a su interpretación conforme a los tratados internacionales. In FERRER MAC-GREGOR, Eduardo; HERRERA GARCÍA, Alfonso (coord.) </w:t>
      </w:r>
      <w:r w:rsidRPr="005503D6">
        <w:rPr>
          <w:rFonts w:ascii="Times New Roman" w:hAnsi="Times New Roman" w:cs="Times New Roman"/>
          <w:i/>
        </w:rPr>
        <w:t>Diálogos Jurisprudenciales en Derechos Humanos</w:t>
      </w:r>
      <w:r w:rsidRPr="005503D6">
        <w:rPr>
          <w:rFonts w:ascii="Times New Roman" w:hAnsi="Times New Roman" w:cs="Times New Roman"/>
        </w:rPr>
        <w:t>: entre Tribunales Constitucionales y Cortes Internacionales. Valencia: Tirant lo Blanch, 2013. p. 447-456.</w:t>
      </w:r>
    </w:p>
    <w:p w14:paraId="249ADC58" w14:textId="77777777" w:rsidR="00BD6DCD" w:rsidRPr="006618E8" w:rsidRDefault="00BD6DCD" w:rsidP="003972F3">
      <w:pPr>
        <w:rPr>
          <w:rFonts w:ascii="Times New Roman" w:hAnsi="Times New Roman" w:cs="Times New Roman"/>
        </w:rPr>
      </w:pPr>
    </w:p>
    <w:p w14:paraId="15DD941C" w14:textId="6384B168" w:rsidR="006618E8" w:rsidRPr="006618E8" w:rsidRDefault="006618E8" w:rsidP="003972F3">
      <w:pPr>
        <w:rPr>
          <w:rFonts w:ascii="Times New Roman" w:hAnsi="Times New Roman" w:cs="Times New Roman"/>
        </w:rPr>
      </w:pPr>
      <w:r w:rsidRPr="006618E8">
        <w:rPr>
          <w:rFonts w:ascii="Times New Roman" w:hAnsi="Times New Roman" w:cs="Times New Roman"/>
        </w:rPr>
        <w:t xml:space="preserve">SARLET, Ingo Wolfgang. Integração dos tratados de Direitos Humanos no ordenamento jurídico. </w:t>
      </w:r>
      <w:r w:rsidRPr="006618E8">
        <w:rPr>
          <w:rFonts w:ascii="Times New Roman" w:hAnsi="Times New Roman" w:cs="Times New Roman"/>
          <w:i/>
        </w:rPr>
        <w:t>CONJUR</w:t>
      </w:r>
      <w:r w:rsidRPr="006618E8">
        <w:rPr>
          <w:rFonts w:ascii="Times New Roman" w:hAnsi="Times New Roman" w:cs="Times New Roman"/>
        </w:rPr>
        <w:t>, 27 mar. 2015</w:t>
      </w:r>
      <w:r>
        <w:rPr>
          <w:rFonts w:ascii="Times New Roman" w:hAnsi="Times New Roman" w:cs="Times New Roman"/>
        </w:rPr>
        <w:t>.</w:t>
      </w:r>
      <w:r w:rsidR="003972F3">
        <w:rPr>
          <w:rFonts w:ascii="Times New Roman" w:hAnsi="Times New Roman" w:cs="Times New Roman"/>
        </w:rPr>
        <w:t xml:space="preserve"> Disponível em: </w:t>
      </w:r>
      <w:hyperlink r:id="rId18" w:history="1">
        <w:r w:rsidR="003972F3" w:rsidRPr="00256308">
          <w:rPr>
            <w:rStyle w:val="Hyperlink"/>
            <w:rFonts w:ascii="Times New Roman" w:hAnsi="Times New Roman" w:cs="Times New Roman"/>
          </w:rPr>
          <w:t>https://www.conjur.com.br/2015-mar-</w:t>
        </w:r>
        <w:r w:rsidR="003972F3" w:rsidRPr="00256308">
          <w:rPr>
            <w:rStyle w:val="Hyperlink"/>
            <w:rFonts w:ascii="Times New Roman" w:hAnsi="Times New Roman" w:cs="Times New Roman"/>
          </w:rPr>
          <w:lastRenderedPageBreak/>
          <w:t>27/direitos-fundamentais-integracao-tratados-direitos-humanos-ordenamento-juridico</w:t>
        </w:r>
      </w:hyperlink>
      <w:r w:rsidR="003972F3">
        <w:rPr>
          <w:rFonts w:ascii="Times New Roman" w:hAnsi="Times New Roman" w:cs="Times New Roman"/>
        </w:rPr>
        <w:t xml:space="preserve"> . Acesso em: 12 abr. 2019.</w:t>
      </w:r>
    </w:p>
    <w:p w14:paraId="7087BD0D" w14:textId="77777777" w:rsidR="006618E8" w:rsidRPr="005503D6" w:rsidRDefault="006618E8" w:rsidP="003972F3">
      <w:pPr>
        <w:rPr>
          <w:rFonts w:ascii="Times New Roman" w:hAnsi="Times New Roman" w:cs="Times New Roman"/>
        </w:rPr>
      </w:pPr>
    </w:p>
    <w:p w14:paraId="1D467F7F" w14:textId="77777777" w:rsidR="00705242" w:rsidRPr="005503D6" w:rsidRDefault="00705242" w:rsidP="008C7E5E">
      <w:pPr>
        <w:pStyle w:val="FootnoteText"/>
        <w:rPr>
          <w:rFonts w:ascii="Times New Roman" w:hAnsi="Times New Roman" w:cs="Times New Roman"/>
        </w:rPr>
      </w:pPr>
      <w:r w:rsidRPr="002B0178">
        <w:rPr>
          <w:rFonts w:ascii="Times New Roman" w:hAnsi="Times New Roman" w:cs="Times New Roman"/>
          <w:lang w:val="en-US"/>
        </w:rPr>
        <w:t xml:space="preserve">SLAUGTHER, Anne-Marie. </w:t>
      </w:r>
      <w:proofErr w:type="gramStart"/>
      <w:r w:rsidRPr="002B0178">
        <w:rPr>
          <w:rFonts w:ascii="Times New Roman" w:hAnsi="Times New Roman" w:cs="Times New Roman"/>
          <w:lang w:val="en-US"/>
        </w:rPr>
        <w:t>A Tipology of Transjudicial Communication.</w:t>
      </w:r>
      <w:proofErr w:type="gramEnd"/>
      <w:r w:rsidRPr="002B0178">
        <w:rPr>
          <w:rFonts w:ascii="Times New Roman" w:hAnsi="Times New Roman" w:cs="Times New Roman"/>
          <w:lang w:val="en-US"/>
        </w:rPr>
        <w:t xml:space="preserve"> </w:t>
      </w:r>
      <w:proofErr w:type="gramStart"/>
      <w:r w:rsidRPr="005503D6">
        <w:rPr>
          <w:rFonts w:ascii="Times New Roman" w:hAnsi="Times New Roman" w:cs="Times New Roman"/>
          <w:i/>
          <w:iCs/>
          <w:lang w:val="en-US"/>
        </w:rPr>
        <w:t>University of Richmond Law Review</w:t>
      </w:r>
      <w:r w:rsidRPr="005503D6">
        <w:rPr>
          <w:rFonts w:ascii="Times New Roman" w:hAnsi="Times New Roman" w:cs="Times New Roman"/>
          <w:lang w:val="en-US"/>
        </w:rPr>
        <w:t>, Richmond, n. 29, p. 99-137, 1994.</w:t>
      </w:r>
      <w:proofErr w:type="gramEnd"/>
      <w:r w:rsidRPr="005503D6">
        <w:rPr>
          <w:rFonts w:ascii="Times New Roman" w:hAnsi="Times New Roman" w:cs="Times New Roman"/>
          <w:lang w:val="en-US"/>
        </w:rPr>
        <w:t xml:space="preserve"> Disponível em: </w:t>
      </w:r>
      <w:hyperlink r:id="rId19" w:history="1">
        <w:r w:rsidRPr="005503D6">
          <w:rPr>
            <w:rStyle w:val="Hyperlink"/>
            <w:rFonts w:ascii="Times New Roman" w:hAnsi="Times New Roman" w:cs="Times New Roman"/>
            <w:lang w:val="en-US"/>
          </w:rPr>
          <w:t>http://scholarship.richmond.edu/lawreview/vol29/iss1/6</w:t>
        </w:r>
      </w:hyperlink>
      <w:proofErr w:type="gramStart"/>
      <w:r w:rsidRPr="005503D6">
        <w:rPr>
          <w:rFonts w:ascii="Times New Roman" w:hAnsi="Times New Roman" w:cs="Times New Roman"/>
          <w:lang w:val="en-US"/>
        </w:rPr>
        <w:t xml:space="preserve"> .</w:t>
      </w:r>
      <w:proofErr w:type="gramEnd"/>
      <w:r w:rsidRPr="005503D6">
        <w:rPr>
          <w:rFonts w:ascii="Times New Roman" w:hAnsi="Times New Roman" w:cs="Times New Roman"/>
          <w:lang w:val="en-US"/>
        </w:rPr>
        <w:t xml:space="preserve"> Acesso em: 11 fev. 2019</w:t>
      </w:r>
      <w:r w:rsidRPr="005503D6">
        <w:rPr>
          <w:rFonts w:ascii="Times New Roman" w:hAnsi="Times New Roman" w:cs="Times New Roman"/>
        </w:rPr>
        <w:t>.</w:t>
      </w:r>
      <w:r w:rsidRPr="005503D6">
        <w:rPr>
          <w:rFonts w:ascii="Times New Roman" w:hAnsi="Times New Roman" w:cs="Times New Roman"/>
          <w:lang w:val="en-US"/>
        </w:rPr>
        <w:t xml:space="preserve"> </w:t>
      </w:r>
    </w:p>
    <w:p w14:paraId="3495FFE2" w14:textId="77777777" w:rsidR="00705242" w:rsidRPr="005503D6" w:rsidRDefault="00705242" w:rsidP="00420929">
      <w:pPr>
        <w:pStyle w:val="FootnoteText"/>
        <w:jc w:val="both"/>
        <w:rPr>
          <w:rFonts w:ascii="Times New Roman" w:hAnsi="Times New Roman" w:cs="Times New Roman"/>
        </w:rPr>
      </w:pPr>
    </w:p>
    <w:p w14:paraId="79864548" w14:textId="77777777" w:rsidR="00705242" w:rsidRPr="002B0178" w:rsidRDefault="00705242" w:rsidP="008C7E5E">
      <w:pPr>
        <w:pStyle w:val="FootnoteText"/>
        <w:rPr>
          <w:rFonts w:ascii="Times New Roman" w:hAnsi="Times New Roman" w:cs="Times New Roman"/>
          <w:lang w:val="en-US"/>
        </w:rPr>
      </w:pPr>
      <w:proofErr w:type="gramStart"/>
      <w:r w:rsidRPr="002B0178">
        <w:rPr>
          <w:rFonts w:ascii="Times New Roman" w:hAnsi="Times New Roman" w:cs="Times New Roman"/>
          <w:lang w:val="en-US"/>
        </w:rPr>
        <w:t>SLAUGHTER, Anne-Marie.</w:t>
      </w:r>
      <w:proofErr w:type="gramEnd"/>
      <w:r w:rsidRPr="005503D6">
        <w:rPr>
          <w:rFonts w:ascii="Times New Roman" w:hAnsi="Times New Roman" w:cs="Times New Roman"/>
          <w:color w:val="000000"/>
          <w:lang w:val="en-US"/>
        </w:rPr>
        <w:t xml:space="preserve"> </w:t>
      </w:r>
      <w:proofErr w:type="gramStart"/>
      <w:r w:rsidRPr="005503D6">
        <w:rPr>
          <w:rFonts w:ascii="Times New Roman" w:hAnsi="Times New Roman" w:cs="Times New Roman"/>
          <w:color w:val="000000"/>
          <w:lang w:val="en-US"/>
        </w:rPr>
        <w:t>Global Community of Courts.</w:t>
      </w:r>
      <w:proofErr w:type="gramEnd"/>
      <w:r w:rsidRPr="002B0178">
        <w:rPr>
          <w:rFonts w:ascii="Times New Roman" w:hAnsi="Times New Roman" w:cs="Times New Roman"/>
          <w:lang w:val="en-US"/>
        </w:rPr>
        <w:t xml:space="preserve"> </w:t>
      </w:r>
      <w:r w:rsidRPr="002B0178">
        <w:rPr>
          <w:rFonts w:ascii="Times New Roman" w:hAnsi="Times New Roman" w:cs="Times New Roman"/>
          <w:i/>
          <w:lang w:val="en-US"/>
        </w:rPr>
        <w:t>Harvard International Law Review</w:t>
      </w:r>
      <w:r w:rsidRPr="002B0178">
        <w:rPr>
          <w:rFonts w:ascii="Times New Roman" w:hAnsi="Times New Roman" w:cs="Times New Roman"/>
          <w:lang w:val="en-US"/>
        </w:rPr>
        <w:t>, Cambridge, v. 44, n. 1, p. 191-219, 2003</w:t>
      </w:r>
      <w:r w:rsidRPr="005503D6">
        <w:rPr>
          <w:rFonts w:ascii="Times New Roman" w:hAnsi="Times New Roman" w:cs="Times New Roman"/>
          <w:color w:val="000000"/>
          <w:lang w:val="en-US"/>
        </w:rPr>
        <w:t>.</w:t>
      </w:r>
    </w:p>
    <w:p w14:paraId="7463371E" w14:textId="77777777" w:rsidR="00705242" w:rsidRPr="002B0178" w:rsidRDefault="00705242" w:rsidP="00420929">
      <w:pPr>
        <w:jc w:val="both"/>
        <w:rPr>
          <w:rFonts w:ascii="Times New Roman" w:hAnsi="Times New Roman" w:cs="Times New Roman"/>
          <w:lang w:val="en-US"/>
        </w:rPr>
      </w:pPr>
    </w:p>
    <w:p w14:paraId="7C643A7E" w14:textId="20ADAFC6" w:rsidR="00EC7ABA" w:rsidRPr="00EC7ABA" w:rsidRDefault="00EC7ABA" w:rsidP="008C7E5E">
      <w:pPr>
        <w:rPr>
          <w:rFonts w:ascii="Times New Roman" w:hAnsi="Times New Roman" w:cs="Times New Roman"/>
        </w:rPr>
      </w:pPr>
      <w:proofErr w:type="gramStart"/>
      <w:r w:rsidRPr="002B0178">
        <w:rPr>
          <w:rFonts w:ascii="Times New Roman" w:hAnsi="Times New Roman" w:cs="Times New Roman"/>
          <w:lang w:val="en-US"/>
        </w:rPr>
        <w:t>SOLEY, Ximena.</w:t>
      </w:r>
      <w:proofErr w:type="gramEnd"/>
      <w:r w:rsidRPr="002B0178">
        <w:rPr>
          <w:rFonts w:ascii="Times New Roman" w:hAnsi="Times New Roman" w:cs="Times New Roman"/>
          <w:lang w:val="en-US"/>
        </w:rPr>
        <w:t xml:space="preserve"> </w:t>
      </w:r>
      <w:proofErr w:type="gramStart"/>
      <w:r w:rsidRPr="002B0178">
        <w:rPr>
          <w:rFonts w:ascii="Times New Roman" w:hAnsi="Times New Roman" w:cs="Times New Roman"/>
          <w:lang w:val="en-US"/>
        </w:rPr>
        <w:t>The transformative dimension of the Inter-American jurisprudence.</w:t>
      </w:r>
      <w:proofErr w:type="gramEnd"/>
      <w:r w:rsidRPr="002B0178">
        <w:rPr>
          <w:rFonts w:ascii="Times New Roman" w:hAnsi="Times New Roman" w:cs="Times New Roman"/>
          <w:lang w:val="en-US"/>
        </w:rPr>
        <w:t xml:space="preserve"> In: von BOGDANDY, Armin; </w:t>
      </w:r>
      <w:proofErr w:type="gramStart"/>
      <w:r w:rsidRPr="002B0178">
        <w:rPr>
          <w:rFonts w:ascii="Times New Roman" w:hAnsi="Times New Roman" w:cs="Times New Roman"/>
          <w:lang w:val="en-US"/>
        </w:rPr>
        <w:t>et</w:t>
      </w:r>
      <w:proofErr w:type="gramEnd"/>
      <w:r w:rsidRPr="002B0178">
        <w:rPr>
          <w:rFonts w:ascii="Times New Roman" w:hAnsi="Times New Roman" w:cs="Times New Roman"/>
          <w:lang w:val="en-US"/>
        </w:rPr>
        <w:t xml:space="preserve">. </w:t>
      </w:r>
      <w:proofErr w:type="gramStart"/>
      <w:r w:rsidRPr="002B0178">
        <w:rPr>
          <w:rFonts w:ascii="Times New Roman" w:hAnsi="Times New Roman" w:cs="Times New Roman"/>
          <w:lang w:val="en-US"/>
        </w:rPr>
        <w:t>al</w:t>
      </w:r>
      <w:proofErr w:type="gramEnd"/>
      <w:r w:rsidRPr="002B0178">
        <w:rPr>
          <w:rFonts w:ascii="Times New Roman" w:hAnsi="Times New Roman" w:cs="Times New Roman"/>
          <w:lang w:val="en-US"/>
        </w:rPr>
        <w:t xml:space="preserve">. (ed.). </w:t>
      </w:r>
      <w:proofErr w:type="gramStart"/>
      <w:r w:rsidRPr="002B0178">
        <w:rPr>
          <w:rFonts w:ascii="Times New Roman" w:hAnsi="Times New Roman" w:cs="Times New Roman"/>
          <w:i/>
          <w:lang w:val="en-US"/>
        </w:rPr>
        <w:t>Transformative Constitutionalism in Latin America</w:t>
      </w:r>
      <w:r w:rsidRPr="002B0178">
        <w:rPr>
          <w:rFonts w:ascii="Times New Roman" w:hAnsi="Times New Roman" w:cs="Times New Roman"/>
          <w:lang w:val="en-US"/>
        </w:rPr>
        <w:t>.</w:t>
      </w:r>
      <w:proofErr w:type="gramEnd"/>
      <w:r w:rsidRPr="002B0178">
        <w:rPr>
          <w:rFonts w:ascii="Times New Roman" w:hAnsi="Times New Roman" w:cs="Times New Roman"/>
          <w:lang w:val="en-US"/>
        </w:rPr>
        <w:t xml:space="preserve"> </w:t>
      </w:r>
      <w:r w:rsidRPr="00EC7ABA">
        <w:rPr>
          <w:rFonts w:ascii="Times New Roman" w:hAnsi="Times New Roman" w:cs="Times New Roman"/>
        </w:rPr>
        <w:t>Oxford: Oxford University Press, 2017. p. 337-356.</w:t>
      </w:r>
    </w:p>
    <w:p w14:paraId="2C24F3E7" w14:textId="77777777" w:rsidR="00EC7ABA" w:rsidRPr="005503D6" w:rsidRDefault="00EC7ABA" w:rsidP="00420929">
      <w:pPr>
        <w:jc w:val="both"/>
        <w:rPr>
          <w:rFonts w:ascii="Times New Roman" w:hAnsi="Times New Roman" w:cs="Times New Roman"/>
        </w:rPr>
      </w:pPr>
    </w:p>
    <w:p w14:paraId="1A00C327" w14:textId="1BB4E32E" w:rsidR="00705242" w:rsidRPr="005503D6" w:rsidRDefault="00705242" w:rsidP="008C7E5E">
      <w:pPr>
        <w:widowControl w:val="0"/>
        <w:autoSpaceDE w:val="0"/>
        <w:autoSpaceDN w:val="0"/>
        <w:adjustRightInd w:val="0"/>
        <w:rPr>
          <w:rFonts w:ascii="Times New Roman" w:hAnsi="Times New Roman" w:cs="Times New Roman"/>
          <w:lang w:val="en-US"/>
        </w:rPr>
      </w:pPr>
      <w:r w:rsidRPr="002B0178">
        <w:rPr>
          <w:rFonts w:ascii="Times New Roman" w:hAnsi="Times New Roman" w:cs="Times New Roman"/>
          <w:lang w:val="en-US"/>
        </w:rPr>
        <w:t xml:space="preserve">SOLEY, Ximena; STEININGER, Silvia. Parting ways or lashing back? </w:t>
      </w:r>
      <w:proofErr w:type="gramStart"/>
      <w:r w:rsidRPr="002B0178">
        <w:rPr>
          <w:rFonts w:ascii="Times New Roman" w:hAnsi="Times New Roman" w:cs="Times New Roman"/>
          <w:lang w:val="en-US"/>
        </w:rPr>
        <w:t>Withdrawals, backlash and the Inter-American Court of Human Rights</w:t>
      </w:r>
      <w:r w:rsidRPr="002B0178">
        <w:rPr>
          <w:rFonts w:ascii="Times New Roman" w:hAnsi="Times New Roman" w:cs="Times New Roman"/>
          <w:i/>
          <w:lang w:val="en-US"/>
        </w:rPr>
        <w:t>.</w:t>
      </w:r>
      <w:proofErr w:type="gramEnd"/>
      <w:r w:rsidRPr="002B0178">
        <w:rPr>
          <w:rFonts w:ascii="Times New Roman" w:hAnsi="Times New Roman" w:cs="Times New Roman"/>
          <w:lang w:val="en-US"/>
        </w:rPr>
        <w:t xml:space="preserve"> </w:t>
      </w:r>
      <w:r w:rsidRPr="002B0178">
        <w:rPr>
          <w:rFonts w:ascii="Times New Roman" w:hAnsi="Times New Roman" w:cs="Times New Roman"/>
          <w:i/>
        </w:rPr>
        <w:t>MPIL Research Paper Series</w:t>
      </w:r>
      <w:r w:rsidRPr="002B0178">
        <w:rPr>
          <w:rFonts w:ascii="Times New Roman" w:hAnsi="Times New Roman" w:cs="Times New Roman"/>
        </w:rPr>
        <w:t xml:space="preserve"> No. 2018-01. Disponível em: </w:t>
      </w:r>
      <w:hyperlink r:id="rId20" w:history="1">
        <w:r w:rsidR="008C7E5E" w:rsidRPr="00256308">
          <w:rPr>
            <w:rStyle w:val="Hyperlink"/>
            <w:rFonts w:ascii="Times New Roman" w:hAnsi="Times New Roman" w:cs="Times New Roman"/>
          </w:rPr>
          <w:t>https://ssrn.com/abstract=3103666</w:t>
        </w:r>
      </w:hyperlink>
      <w:r w:rsidR="008C7E5E">
        <w:rPr>
          <w:rFonts w:ascii="Times New Roman" w:hAnsi="Times New Roman" w:cs="Times New Roman"/>
        </w:rPr>
        <w:t xml:space="preserve"> </w:t>
      </w:r>
      <w:r w:rsidRPr="002B0178">
        <w:rPr>
          <w:rFonts w:ascii="Times New Roman" w:hAnsi="Times New Roman" w:cs="Times New Roman"/>
        </w:rPr>
        <w:t xml:space="preserve">. </w:t>
      </w:r>
      <w:r w:rsidRPr="005503D6">
        <w:rPr>
          <w:rFonts w:ascii="Times New Roman" w:hAnsi="Times New Roman" w:cs="Times New Roman"/>
          <w:lang w:val="en-US"/>
        </w:rPr>
        <w:t>Acesso em: 10 dez. 2018.</w:t>
      </w:r>
    </w:p>
    <w:p w14:paraId="54C48B8C" w14:textId="77777777" w:rsidR="00DD6B12" w:rsidRPr="005503D6" w:rsidRDefault="00DD6B12" w:rsidP="00420929">
      <w:pPr>
        <w:pStyle w:val="FootnoteText"/>
        <w:jc w:val="both"/>
        <w:rPr>
          <w:rFonts w:ascii="Times New Roman" w:hAnsi="Times New Roman" w:cs="Times New Roman"/>
          <w:b/>
        </w:rPr>
      </w:pPr>
    </w:p>
    <w:p w14:paraId="132A4B3C" w14:textId="77777777" w:rsidR="00DD6B12" w:rsidRPr="002B0178" w:rsidRDefault="00DD6B12" w:rsidP="00420929">
      <w:pPr>
        <w:pStyle w:val="FootnoteText"/>
        <w:jc w:val="both"/>
        <w:rPr>
          <w:rFonts w:ascii="Times New Roman" w:hAnsi="Times New Roman" w:cs="Times New Roman"/>
          <w:lang w:val="en-US"/>
        </w:rPr>
      </w:pPr>
      <w:r w:rsidRPr="002B0178">
        <w:rPr>
          <w:rFonts w:ascii="Times New Roman" w:hAnsi="Times New Roman" w:cs="Times New Roman"/>
          <w:lang w:val="en-US"/>
        </w:rPr>
        <w:t>TEUBNER, Gunther.</w:t>
      </w:r>
      <w:r w:rsidRPr="005503D6">
        <w:rPr>
          <w:rFonts w:ascii="Times New Roman" w:hAnsi="Times New Roman" w:cs="Times New Roman"/>
          <w:color w:val="000000"/>
          <w:lang w:val="en-US"/>
        </w:rPr>
        <w:t xml:space="preserve"> Global Bukowina</w:t>
      </w:r>
      <w:proofErr w:type="gramStart"/>
      <w:r w:rsidRPr="005503D6">
        <w:rPr>
          <w:rFonts w:ascii="Times New Roman" w:hAnsi="Times New Roman" w:cs="Times New Roman"/>
          <w:color w:val="000000"/>
          <w:lang w:val="en-US"/>
        </w:rPr>
        <w:t>: </w:t>
      </w:r>
      <w:proofErr w:type="gramEnd"/>
      <w:r w:rsidRPr="005503D6">
        <w:rPr>
          <w:rFonts w:ascii="Times New Roman" w:hAnsi="Times New Roman" w:cs="Times New Roman"/>
          <w:color w:val="000000"/>
          <w:lang w:val="en-US"/>
        </w:rPr>
        <w:t xml:space="preserve">Legal Pluralism in the World Society. In: TEUBNER, Gunther (ed.). </w:t>
      </w:r>
      <w:proofErr w:type="gramStart"/>
      <w:r w:rsidRPr="005503D6">
        <w:rPr>
          <w:rFonts w:ascii="Times New Roman" w:hAnsi="Times New Roman" w:cs="Times New Roman"/>
          <w:i/>
          <w:color w:val="000000"/>
          <w:lang w:val="en-US"/>
        </w:rPr>
        <w:t>Global Law Without a State.</w:t>
      </w:r>
      <w:proofErr w:type="gramEnd"/>
      <w:r w:rsidRPr="005503D6">
        <w:rPr>
          <w:rFonts w:ascii="Times New Roman" w:hAnsi="Times New Roman" w:cs="Times New Roman"/>
          <w:color w:val="000000"/>
          <w:lang w:val="en-US"/>
        </w:rPr>
        <w:t xml:space="preserve"> Brookfield: Dartmouth 1997. p. 3-28.</w:t>
      </w:r>
    </w:p>
    <w:p w14:paraId="500324B2" w14:textId="77777777" w:rsidR="00DD6B12" w:rsidRPr="002B0178" w:rsidRDefault="00DD6B12" w:rsidP="00420929">
      <w:pPr>
        <w:jc w:val="both"/>
        <w:rPr>
          <w:rFonts w:ascii="Times New Roman" w:hAnsi="Times New Roman" w:cs="Times New Roman"/>
          <w:lang w:val="en-US"/>
        </w:rPr>
      </w:pPr>
    </w:p>
    <w:p w14:paraId="3B001D6E" w14:textId="60365BD4" w:rsidR="00705242" w:rsidRPr="005503D6" w:rsidRDefault="00705242" w:rsidP="00420929">
      <w:pPr>
        <w:pStyle w:val="FootnoteText"/>
        <w:jc w:val="both"/>
        <w:rPr>
          <w:rFonts w:ascii="Times New Roman" w:hAnsi="Times New Roman" w:cs="Times New Roman"/>
        </w:rPr>
      </w:pPr>
      <w:r w:rsidRPr="002B0178">
        <w:rPr>
          <w:rFonts w:ascii="Times New Roman" w:hAnsi="Times New Roman" w:cs="Times New Roman"/>
          <w:lang w:val="en-US"/>
        </w:rPr>
        <w:t xml:space="preserve">TZANAKOPOULOS, Antonios. </w:t>
      </w:r>
      <w:proofErr w:type="gramStart"/>
      <w:r w:rsidRPr="002B0178">
        <w:rPr>
          <w:rFonts w:ascii="Times New Roman" w:hAnsi="Times New Roman" w:cs="Times New Roman"/>
          <w:lang w:val="en-US"/>
        </w:rPr>
        <w:t>Judicial Dialogue as a Means of Interpretation.</w:t>
      </w:r>
      <w:proofErr w:type="gramEnd"/>
      <w:r w:rsidRPr="002B0178">
        <w:rPr>
          <w:rFonts w:ascii="Times New Roman" w:hAnsi="Times New Roman" w:cs="Times New Roman"/>
          <w:lang w:val="en-US"/>
        </w:rPr>
        <w:t xml:space="preserve"> In: AUST, Helmut Phillip</w:t>
      </w:r>
      <w:proofErr w:type="gramStart"/>
      <w:r w:rsidRPr="002B0178">
        <w:rPr>
          <w:rFonts w:ascii="Times New Roman" w:hAnsi="Times New Roman" w:cs="Times New Roman"/>
          <w:lang w:val="en-US"/>
        </w:rPr>
        <w:t>;</w:t>
      </w:r>
      <w:proofErr w:type="gramEnd"/>
      <w:r w:rsidRPr="002B0178">
        <w:rPr>
          <w:rFonts w:ascii="Times New Roman" w:hAnsi="Times New Roman" w:cs="Times New Roman"/>
          <w:lang w:val="en-US"/>
        </w:rPr>
        <w:t xml:space="preserve"> NOLTE, Georg (ed.). </w:t>
      </w:r>
      <w:r w:rsidRPr="002B0178">
        <w:rPr>
          <w:rFonts w:ascii="Times New Roman" w:hAnsi="Times New Roman" w:cs="Times New Roman"/>
          <w:i/>
          <w:lang w:val="en-US"/>
        </w:rPr>
        <w:t>The Interpretation of International Law by Domestic Courts</w:t>
      </w:r>
      <w:r w:rsidRPr="002B0178">
        <w:rPr>
          <w:rFonts w:ascii="Times New Roman" w:hAnsi="Times New Roman" w:cs="Times New Roman"/>
          <w:lang w:val="en-US"/>
        </w:rPr>
        <w:t xml:space="preserve">: Uniformity, Diversity, </w:t>
      </w:r>
      <w:proofErr w:type="gramStart"/>
      <w:r w:rsidRPr="002B0178">
        <w:rPr>
          <w:rFonts w:ascii="Times New Roman" w:hAnsi="Times New Roman" w:cs="Times New Roman"/>
          <w:lang w:val="en-US"/>
        </w:rPr>
        <w:t>Convergence</w:t>
      </w:r>
      <w:proofErr w:type="gramEnd"/>
      <w:r w:rsidRPr="002B0178">
        <w:rPr>
          <w:rFonts w:ascii="Times New Roman" w:hAnsi="Times New Roman" w:cs="Times New Roman"/>
          <w:lang w:val="en-US"/>
        </w:rPr>
        <w:t xml:space="preserve">. </w:t>
      </w:r>
      <w:r w:rsidRPr="005503D6">
        <w:rPr>
          <w:rFonts w:ascii="Times New Roman" w:hAnsi="Times New Roman" w:cs="Times New Roman"/>
        </w:rPr>
        <w:t>Oxford: Oxford University Press, 2016. p.72-95.</w:t>
      </w:r>
    </w:p>
    <w:p w14:paraId="75DB1D40" w14:textId="77777777" w:rsidR="00BD6DCD" w:rsidRPr="005503D6" w:rsidRDefault="00BD6DCD" w:rsidP="00420929">
      <w:pPr>
        <w:pStyle w:val="FootnoteText"/>
        <w:jc w:val="both"/>
        <w:rPr>
          <w:rFonts w:ascii="Times New Roman" w:hAnsi="Times New Roman" w:cs="Times New Roman"/>
        </w:rPr>
      </w:pPr>
    </w:p>
    <w:p w14:paraId="526B34F3" w14:textId="77777777" w:rsidR="00BD6DCD" w:rsidRPr="005503D6" w:rsidRDefault="00BD6DCD" w:rsidP="00420929">
      <w:pPr>
        <w:pStyle w:val="FootnoteText"/>
        <w:jc w:val="both"/>
        <w:rPr>
          <w:rFonts w:ascii="Times New Roman" w:hAnsi="Times New Roman" w:cs="Times New Roman"/>
        </w:rPr>
      </w:pPr>
      <w:r w:rsidRPr="005503D6">
        <w:rPr>
          <w:rFonts w:ascii="Times New Roman" w:hAnsi="Times New Roman" w:cs="Times New Roman"/>
        </w:rPr>
        <w:t>VÁZQUEZ ESQUIVEL, Efrén; CIENFUEGOS SORDO, Jaime Fernando</w:t>
      </w:r>
      <w:r w:rsidRPr="002B0178">
        <w:rPr>
          <w:rFonts w:ascii="Times New Roman" w:hAnsi="Times New Roman" w:cs="Times New Roman"/>
          <w:iCs/>
        </w:rPr>
        <w:t>.</w:t>
      </w:r>
      <w:r w:rsidRPr="002B0178">
        <w:rPr>
          <w:rFonts w:ascii="Times New Roman" w:hAnsi="Times New Roman" w:cs="Times New Roman"/>
          <w:b/>
          <w:bCs/>
        </w:rPr>
        <w:t xml:space="preserve"> </w:t>
      </w:r>
      <w:r w:rsidRPr="002B0178">
        <w:rPr>
          <w:rFonts w:ascii="Times New Roman" w:hAnsi="Times New Roman" w:cs="Times New Roman"/>
          <w:bCs/>
        </w:rPr>
        <w:t xml:space="preserve">El diálogo judicial como diálogo hermenêutico: perspectivas de los derechos humanos en el diálogo de las Altas Cortes y la Jurisdicción Interna. </w:t>
      </w:r>
      <w:r w:rsidRPr="002B0178">
        <w:rPr>
          <w:rFonts w:ascii="Times New Roman" w:hAnsi="Times New Roman" w:cs="Times New Roman"/>
          <w:i/>
        </w:rPr>
        <w:t>Revista da Faculdade de Direito</w:t>
      </w:r>
      <w:r w:rsidRPr="002B0178">
        <w:rPr>
          <w:rFonts w:ascii="Times New Roman" w:hAnsi="Times New Roman" w:cs="Times New Roman"/>
        </w:rPr>
        <w:t>: Universidade Federal do Paraná, Curitiba, v. 61, n. 1, p. 9–41, jan./abr. 2016.</w:t>
      </w:r>
    </w:p>
    <w:p w14:paraId="0E75DA02" w14:textId="77777777" w:rsidR="00705242" w:rsidRPr="005503D6" w:rsidRDefault="00705242" w:rsidP="00420929">
      <w:pPr>
        <w:jc w:val="both"/>
        <w:rPr>
          <w:rFonts w:ascii="Times New Roman" w:hAnsi="Times New Roman" w:cs="Times New Roman"/>
        </w:rPr>
      </w:pPr>
    </w:p>
    <w:p w14:paraId="333E4F2F" w14:textId="06A6D05A" w:rsidR="00DD6B12" w:rsidRPr="002B0178" w:rsidRDefault="00DD6B12" w:rsidP="008C7E5E">
      <w:pPr>
        <w:pStyle w:val="FootnoteText"/>
        <w:rPr>
          <w:rFonts w:ascii="Times New Roman" w:hAnsi="Times New Roman" w:cs="Times New Roman"/>
          <w:lang w:val="en-US"/>
        </w:rPr>
      </w:pPr>
      <w:proofErr w:type="gramStart"/>
      <w:r w:rsidRPr="002B0178">
        <w:rPr>
          <w:rFonts w:ascii="Times New Roman" w:hAnsi="Times New Roman" w:cs="Times New Roman"/>
          <w:lang w:val="en-US"/>
        </w:rPr>
        <w:t>VOINA-MOTOC, Iulia.</w:t>
      </w:r>
      <w:proofErr w:type="gramEnd"/>
      <w:r w:rsidRPr="002B0178">
        <w:rPr>
          <w:rFonts w:ascii="Times New Roman" w:hAnsi="Times New Roman" w:cs="Times New Roman"/>
          <w:lang w:val="en-US"/>
        </w:rPr>
        <w:t xml:space="preserve"> </w:t>
      </w:r>
      <w:proofErr w:type="gramStart"/>
      <w:r w:rsidRPr="002B0178">
        <w:rPr>
          <w:rFonts w:ascii="Times New Roman" w:hAnsi="Times New Roman" w:cs="Times New Roman"/>
          <w:lang w:val="en-US"/>
        </w:rPr>
        <w:t>Conceptions of Pluralism and International Law.</w:t>
      </w:r>
      <w:proofErr w:type="gramEnd"/>
      <w:r w:rsidRPr="002B0178">
        <w:rPr>
          <w:rFonts w:ascii="Times New Roman" w:hAnsi="Times New Roman" w:cs="Times New Roman"/>
          <w:lang w:val="en-US"/>
        </w:rPr>
        <w:t xml:space="preserve"> In FABRI, Hélène Ruiz; JOUANNET, Emmanuelle; TOMKIEWICZ, Vincent. </w:t>
      </w:r>
      <w:r w:rsidRPr="005503D6">
        <w:rPr>
          <w:rFonts w:ascii="Times New Roman" w:hAnsi="Times New Roman" w:cs="Times New Roman"/>
          <w:i/>
          <w:lang w:val="en-US"/>
        </w:rPr>
        <w:t>Select Proceedings of the European Society of Internacional Law.</w:t>
      </w:r>
      <w:r w:rsidRPr="005503D6">
        <w:rPr>
          <w:rFonts w:ascii="Times New Roman" w:hAnsi="Times New Roman" w:cs="Times New Roman"/>
          <w:lang w:val="en-US"/>
        </w:rPr>
        <w:t xml:space="preserve"> V. 1, 2006. Oxford and Portland: Hart Publishing,</w:t>
      </w:r>
      <w:r w:rsidR="008C7E5E">
        <w:rPr>
          <w:rFonts w:ascii="Times New Roman" w:hAnsi="Times New Roman" w:cs="Times New Roman"/>
          <w:lang w:val="en-US"/>
        </w:rPr>
        <w:t xml:space="preserve"> 2008. p</w:t>
      </w:r>
      <w:r w:rsidRPr="002B0178">
        <w:rPr>
          <w:rFonts w:ascii="Times New Roman" w:hAnsi="Times New Roman" w:cs="Times New Roman"/>
          <w:lang w:val="en-US"/>
        </w:rPr>
        <w:t>. 401-430.</w:t>
      </w:r>
    </w:p>
    <w:p w14:paraId="78709823" w14:textId="77777777" w:rsidR="00DD6B12" w:rsidRPr="002B0178" w:rsidRDefault="00DD6B12" w:rsidP="00420929">
      <w:pPr>
        <w:pStyle w:val="FootnoteText"/>
        <w:jc w:val="both"/>
        <w:rPr>
          <w:rFonts w:ascii="Times New Roman" w:hAnsi="Times New Roman" w:cs="Times New Roman"/>
          <w:lang w:val="en-US"/>
        </w:rPr>
      </w:pPr>
    </w:p>
    <w:p w14:paraId="4543BD39" w14:textId="651282BE" w:rsidR="000F4898" w:rsidRPr="005503D6" w:rsidRDefault="008C7E5E" w:rsidP="008C7E5E">
      <w:pPr>
        <w:pStyle w:val="FootnoteText"/>
        <w:rPr>
          <w:rFonts w:ascii="Times New Roman" w:hAnsi="Times New Roman" w:cs="Times New Roman"/>
          <w:lang w:val="en-US"/>
        </w:rPr>
      </w:pPr>
      <w:proofErr w:type="gramStart"/>
      <w:r>
        <w:rPr>
          <w:rFonts w:ascii="Times New Roman" w:hAnsi="Times New Roman" w:cs="Times New Roman"/>
          <w:lang w:val="en-US"/>
        </w:rPr>
        <w:t>v</w:t>
      </w:r>
      <w:r w:rsidR="000F4898" w:rsidRPr="002B0178">
        <w:rPr>
          <w:rFonts w:ascii="Times New Roman" w:hAnsi="Times New Roman" w:cs="Times New Roman"/>
          <w:lang w:val="en-US"/>
        </w:rPr>
        <w:t>on</w:t>
      </w:r>
      <w:proofErr w:type="gramEnd"/>
      <w:r w:rsidR="000F4898" w:rsidRPr="002B0178">
        <w:rPr>
          <w:rFonts w:ascii="Times New Roman" w:hAnsi="Times New Roman" w:cs="Times New Roman"/>
          <w:lang w:val="en-US"/>
        </w:rPr>
        <w:t xml:space="preserve"> BOGDANDY, Armin. </w:t>
      </w:r>
      <w:r w:rsidR="000F4898" w:rsidRPr="002B0178">
        <w:rPr>
          <w:rFonts w:ascii="Times New Roman" w:hAnsi="Times New Roman" w:cs="Times New Roman"/>
          <w:i/>
          <w:lang w:val="en-US"/>
        </w:rPr>
        <w:t>Ius Constitutionale Commune</w:t>
      </w:r>
      <w:r w:rsidR="000F4898" w:rsidRPr="002B0178">
        <w:rPr>
          <w:rFonts w:ascii="Times New Roman" w:hAnsi="Times New Roman" w:cs="Times New Roman"/>
          <w:lang w:val="en-US"/>
        </w:rPr>
        <w:t xml:space="preserve"> en América Latina: observations on Transformative Constitutionalism. In von BOGDANDY, Armin; </w:t>
      </w:r>
      <w:proofErr w:type="gramStart"/>
      <w:r w:rsidR="000F4898" w:rsidRPr="002B0178">
        <w:rPr>
          <w:rFonts w:ascii="Times New Roman" w:hAnsi="Times New Roman" w:cs="Times New Roman"/>
          <w:lang w:val="en-US"/>
        </w:rPr>
        <w:t>et</w:t>
      </w:r>
      <w:proofErr w:type="gramEnd"/>
      <w:r w:rsidR="000F4898" w:rsidRPr="002B0178">
        <w:rPr>
          <w:rFonts w:ascii="Times New Roman" w:hAnsi="Times New Roman" w:cs="Times New Roman"/>
          <w:lang w:val="en-US"/>
        </w:rPr>
        <w:t xml:space="preserve">. </w:t>
      </w:r>
      <w:proofErr w:type="gramStart"/>
      <w:r w:rsidR="000F4898" w:rsidRPr="002B0178">
        <w:rPr>
          <w:rFonts w:ascii="Times New Roman" w:hAnsi="Times New Roman" w:cs="Times New Roman"/>
          <w:lang w:val="en-US"/>
        </w:rPr>
        <w:t>al</w:t>
      </w:r>
      <w:proofErr w:type="gramEnd"/>
      <w:r w:rsidR="000F4898" w:rsidRPr="002B0178">
        <w:rPr>
          <w:rFonts w:ascii="Times New Roman" w:hAnsi="Times New Roman" w:cs="Times New Roman"/>
          <w:lang w:val="en-US"/>
        </w:rPr>
        <w:t xml:space="preserve">. (ed.) </w:t>
      </w:r>
      <w:r w:rsidR="000F4898" w:rsidRPr="002B0178">
        <w:rPr>
          <w:rFonts w:ascii="Times New Roman" w:hAnsi="Times New Roman" w:cs="Times New Roman"/>
          <w:i/>
          <w:lang w:val="en-US"/>
        </w:rPr>
        <w:t>Transformative Constitutionalism in Latin America</w:t>
      </w:r>
      <w:r w:rsidR="000F4898" w:rsidRPr="002B0178">
        <w:rPr>
          <w:rFonts w:ascii="Times New Roman" w:hAnsi="Times New Roman" w:cs="Times New Roman"/>
          <w:lang w:val="en-US"/>
        </w:rPr>
        <w:t>. Oxford: Oxford University Press, 2017. p. 27-48</w:t>
      </w:r>
      <w:r w:rsidR="000F4898" w:rsidRPr="005503D6">
        <w:rPr>
          <w:rFonts w:ascii="Times New Roman" w:hAnsi="Times New Roman" w:cs="Times New Roman"/>
          <w:lang w:val="en-US"/>
        </w:rPr>
        <w:t xml:space="preserve">. </w:t>
      </w:r>
    </w:p>
    <w:p w14:paraId="4E71E24B" w14:textId="77777777" w:rsidR="00BD6DCD" w:rsidRPr="005503D6" w:rsidRDefault="00BD6DCD" w:rsidP="00420929">
      <w:pPr>
        <w:pStyle w:val="FootnoteText"/>
        <w:jc w:val="both"/>
        <w:rPr>
          <w:rFonts w:ascii="Times New Roman" w:hAnsi="Times New Roman" w:cs="Times New Roman"/>
          <w:lang w:val="en-US"/>
        </w:rPr>
      </w:pPr>
    </w:p>
    <w:p w14:paraId="4E625777" w14:textId="23A19520" w:rsidR="00BD6DCD" w:rsidRPr="002B0178" w:rsidRDefault="008C7E5E" w:rsidP="00420929">
      <w:pPr>
        <w:pStyle w:val="FootnoteText"/>
        <w:jc w:val="both"/>
        <w:rPr>
          <w:rFonts w:ascii="Times New Roman" w:hAnsi="Times New Roman" w:cs="Times New Roman"/>
          <w:lang w:val="en-US"/>
        </w:rPr>
      </w:pPr>
      <w:proofErr w:type="gramStart"/>
      <w:r>
        <w:rPr>
          <w:rFonts w:ascii="Times New Roman" w:hAnsi="Times New Roman" w:cs="Times New Roman"/>
          <w:lang w:val="en-US"/>
        </w:rPr>
        <w:t>v</w:t>
      </w:r>
      <w:r w:rsidR="00BD6DCD" w:rsidRPr="002B0178">
        <w:rPr>
          <w:rFonts w:ascii="Times New Roman" w:hAnsi="Times New Roman" w:cs="Times New Roman"/>
          <w:lang w:val="en-US"/>
        </w:rPr>
        <w:t>on</w:t>
      </w:r>
      <w:proofErr w:type="gramEnd"/>
      <w:r w:rsidR="00BD6DCD" w:rsidRPr="002B0178">
        <w:rPr>
          <w:rFonts w:ascii="Times New Roman" w:hAnsi="Times New Roman" w:cs="Times New Roman"/>
          <w:lang w:val="en-US"/>
        </w:rPr>
        <w:t xml:space="preserve"> BOGDANDY, Armin; FERRER MAC-GREGOR, Eduardo; MORALES ANTONIAZZI, Mariela; PIOVESAN, Flávia; SOLEY, Ximena. </w:t>
      </w:r>
      <w:r w:rsidR="00BD6DCD" w:rsidRPr="002B0178">
        <w:rPr>
          <w:rFonts w:ascii="Times New Roman" w:hAnsi="Times New Roman" w:cs="Times New Roman"/>
          <w:i/>
          <w:lang w:val="en-US"/>
        </w:rPr>
        <w:t>Ius Constitutionale Commune</w:t>
      </w:r>
      <w:r w:rsidR="00BD6DCD" w:rsidRPr="002B0178">
        <w:rPr>
          <w:rFonts w:ascii="Times New Roman" w:hAnsi="Times New Roman" w:cs="Times New Roman"/>
          <w:lang w:val="en-US"/>
        </w:rPr>
        <w:t xml:space="preserve"> en América Latina: A Regional Approach to Transformative Constitutionalism. In: von BOGDANDY, Armin; </w:t>
      </w:r>
      <w:proofErr w:type="gramStart"/>
      <w:r w:rsidR="00BD6DCD" w:rsidRPr="002B0178">
        <w:rPr>
          <w:rFonts w:ascii="Times New Roman" w:hAnsi="Times New Roman" w:cs="Times New Roman"/>
          <w:lang w:val="en-US"/>
        </w:rPr>
        <w:t>et</w:t>
      </w:r>
      <w:proofErr w:type="gramEnd"/>
      <w:r w:rsidR="00BD6DCD" w:rsidRPr="002B0178">
        <w:rPr>
          <w:rFonts w:ascii="Times New Roman" w:hAnsi="Times New Roman" w:cs="Times New Roman"/>
          <w:lang w:val="en-US"/>
        </w:rPr>
        <w:t xml:space="preserve">. </w:t>
      </w:r>
      <w:proofErr w:type="gramStart"/>
      <w:r w:rsidR="00BD6DCD" w:rsidRPr="002B0178">
        <w:rPr>
          <w:rFonts w:ascii="Times New Roman" w:hAnsi="Times New Roman" w:cs="Times New Roman"/>
          <w:lang w:val="en-US"/>
        </w:rPr>
        <w:t>al</w:t>
      </w:r>
      <w:proofErr w:type="gramEnd"/>
      <w:r w:rsidR="00BD6DCD" w:rsidRPr="002B0178">
        <w:rPr>
          <w:rFonts w:ascii="Times New Roman" w:hAnsi="Times New Roman" w:cs="Times New Roman"/>
          <w:lang w:val="en-US"/>
        </w:rPr>
        <w:t xml:space="preserve">. (ed.) </w:t>
      </w:r>
      <w:r w:rsidR="00BD6DCD" w:rsidRPr="002B0178">
        <w:rPr>
          <w:rFonts w:ascii="Times New Roman" w:hAnsi="Times New Roman" w:cs="Times New Roman"/>
          <w:i/>
          <w:lang w:val="en-US"/>
        </w:rPr>
        <w:t>Transformative Constitutionalism in Latin America</w:t>
      </w:r>
      <w:r w:rsidR="00BD6DCD" w:rsidRPr="002B0178">
        <w:rPr>
          <w:rFonts w:ascii="Times New Roman" w:hAnsi="Times New Roman" w:cs="Times New Roman"/>
          <w:lang w:val="en-US"/>
        </w:rPr>
        <w:t>. Oxford: Oxford University Press, 2017. p. 3-23.</w:t>
      </w:r>
    </w:p>
    <w:p w14:paraId="52BF1796" w14:textId="77777777" w:rsidR="000F4898" w:rsidRPr="005503D6" w:rsidRDefault="000F4898" w:rsidP="00420929">
      <w:pPr>
        <w:pStyle w:val="FootnoteText"/>
        <w:jc w:val="both"/>
        <w:rPr>
          <w:rFonts w:ascii="Times New Roman" w:hAnsi="Times New Roman" w:cs="Times New Roman"/>
          <w:lang w:val="en-US"/>
        </w:rPr>
      </w:pPr>
    </w:p>
    <w:p w14:paraId="07F8B435" w14:textId="7BAE79E3" w:rsidR="000F4898" w:rsidRPr="002B0178" w:rsidRDefault="008C7E5E" w:rsidP="00420929">
      <w:pPr>
        <w:pStyle w:val="FootnoteText"/>
        <w:jc w:val="both"/>
        <w:rPr>
          <w:rFonts w:ascii="Times New Roman" w:hAnsi="Times New Roman" w:cs="Times New Roman"/>
          <w:lang w:val="en-US"/>
        </w:rPr>
      </w:pPr>
      <w:proofErr w:type="gramStart"/>
      <w:r>
        <w:rPr>
          <w:rFonts w:ascii="Times New Roman" w:hAnsi="Times New Roman" w:cs="Times New Roman"/>
          <w:lang w:val="en-US"/>
        </w:rPr>
        <w:t>v</w:t>
      </w:r>
      <w:r w:rsidR="000F4898" w:rsidRPr="002B0178">
        <w:rPr>
          <w:rFonts w:ascii="Times New Roman" w:hAnsi="Times New Roman" w:cs="Times New Roman"/>
          <w:lang w:val="en-US"/>
        </w:rPr>
        <w:t>on</w:t>
      </w:r>
      <w:proofErr w:type="gramEnd"/>
      <w:r w:rsidR="000F4898" w:rsidRPr="002B0178">
        <w:rPr>
          <w:rFonts w:ascii="Times New Roman" w:hAnsi="Times New Roman" w:cs="Times New Roman"/>
          <w:lang w:val="en-US"/>
        </w:rPr>
        <w:t xml:space="preserve"> BOGDANDY, Armin; VENSKE, Ingo. </w:t>
      </w:r>
      <w:r w:rsidR="000F4898" w:rsidRPr="002B0178">
        <w:rPr>
          <w:rFonts w:ascii="Times New Roman" w:hAnsi="Times New Roman" w:cs="Times New Roman"/>
          <w:i/>
          <w:lang w:val="en-US"/>
        </w:rPr>
        <w:t xml:space="preserve">In </w:t>
      </w:r>
      <w:proofErr w:type="gramStart"/>
      <w:r w:rsidR="000F4898" w:rsidRPr="002B0178">
        <w:rPr>
          <w:rFonts w:ascii="Times New Roman" w:hAnsi="Times New Roman" w:cs="Times New Roman"/>
          <w:i/>
          <w:lang w:val="en-US"/>
        </w:rPr>
        <w:t>Whose</w:t>
      </w:r>
      <w:proofErr w:type="gramEnd"/>
      <w:r w:rsidR="000F4898" w:rsidRPr="002B0178">
        <w:rPr>
          <w:rFonts w:ascii="Times New Roman" w:hAnsi="Times New Roman" w:cs="Times New Roman"/>
          <w:i/>
          <w:lang w:val="en-US"/>
        </w:rPr>
        <w:t xml:space="preserve"> Name? </w:t>
      </w:r>
      <w:proofErr w:type="gramStart"/>
      <w:r w:rsidR="000F4898" w:rsidRPr="002B0178">
        <w:rPr>
          <w:rFonts w:ascii="Times New Roman" w:hAnsi="Times New Roman" w:cs="Times New Roman"/>
          <w:lang w:val="en-US"/>
        </w:rPr>
        <w:t>A Public Law Theory of International Adjudication.</w:t>
      </w:r>
      <w:proofErr w:type="gramEnd"/>
      <w:r w:rsidR="000F4898" w:rsidRPr="002B0178">
        <w:rPr>
          <w:rFonts w:ascii="Times New Roman" w:hAnsi="Times New Roman" w:cs="Times New Roman"/>
          <w:lang w:val="en-US"/>
        </w:rPr>
        <w:t xml:space="preserve"> Oxford: Oxford University Press, 2014.</w:t>
      </w:r>
    </w:p>
    <w:p w14:paraId="6B25F924" w14:textId="77777777" w:rsidR="000F4898" w:rsidRPr="002B0178" w:rsidRDefault="000F4898" w:rsidP="00420929">
      <w:pPr>
        <w:pStyle w:val="FootnoteText"/>
        <w:jc w:val="both"/>
        <w:rPr>
          <w:rFonts w:ascii="Times New Roman" w:hAnsi="Times New Roman" w:cs="Times New Roman"/>
          <w:lang w:val="en-US"/>
        </w:rPr>
      </w:pPr>
    </w:p>
    <w:p w14:paraId="2AD3DA82" w14:textId="267B7A03" w:rsidR="000F4898" w:rsidRPr="002B0178" w:rsidRDefault="008C7E5E" w:rsidP="00420929">
      <w:pPr>
        <w:pStyle w:val="FootnoteText"/>
        <w:jc w:val="both"/>
        <w:rPr>
          <w:rFonts w:ascii="Times New Roman" w:hAnsi="Times New Roman" w:cs="Times New Roman"/>
        </w:rPr>
      </w:pPr>
      <w:proofErr w:type="gramStart"/>
      <w:r>
        <w:rPr>
          <w:rFonts w:ascii="Times New Roman" w:hAnsi="Times New Roman" w:cs="Times New Roman"/>
          <w:lang w:val="en-US"/>
        </w:rPr>
        <w:lastRenderedPageBreak/>
        <w:t>v</w:t>
      </w:r>
      <w:r w:rsidR="000F4898" w:rsidRPr="002B0178">
        <w:rPr>
          <w:rFonts w:ascii="Times New Roman" w:hAnsi="Times New Roman" w:cs="Times New Roman"/>
          <w:lang w:val="en-US"/>
        </w:rPr>
        <w:t>on</w:t>
      </w:r>
      <w:proofErr w:type="gramEnd"/>
      <w:r w:rsidR="000F4898" w:rsidRPr="002B0178">
        <w:rPr>
          <w:rFonts w:ascii="Times New Roman" w:hAnsi="Times New Roman" w:cs="Times New Roman"/>
          <w:lang w:val="en-US"/>
        </w:rPr>
        <w:t xml:space="preserve"> BOGDANDY, Armin; VENZKE, Ingo. </w:t>
      </w:r>
      <w:proofErr w:type="gramStart"/>
      <w:r w:rsidR="000F4898" w:rsidRPr="002B0178">
        <w:rPr>
          <w:rFonts w:ascii="Times New Roman" w:hAnsi="Times New Roman" w:cs="Times New Roman"/>
          <w:i/>
          <w:lang w:val="en-US"/>
        </w:rPr>
        <w:t>En nombre de quién?</w:t>
      </w:r>
      <w:proofErr w:type="gramEnd"/>
      <w:r w:rsidR="000F4898" w:rsidRPr="002B0178">
        <w:rPr>
          <w:rFonts w:ascii="Times New Roman" w:hAnsi="Times New Roman" w:cs="Times New Roman"/>
          <w:lang w:val="en-US"/>
        </w:rPr>
        <w:t xml:space="preserve"> </w:t>
      </w:r>
      <w:r w:rsidR="000F4898" w:rsidRPr="005503D6">
        <w:rPr>
          <w:rFonts w:ascii="Times New Roman" w:hAnsi="Times New Roman" w:cs="Times New Roman"/>
        </w:rPr>
        <w:t>Una teoría de derecho público sobre la actividad judicial internacional. Traducción Paola Andrea Acosta Alvarado; revisión Pedro Villarreal. Bogota: Universidad Externado de Colombia, 2016.</w:t>
      </w:r>
    </w:p>
    <w:p w14:paraId="48C4E9A2" w14:textId="77777777" w:rsidR="000F4898" w:rsidRPr="005503D6" w:rsidRDefault="000F4898" w:rsidP="00420929">
      <w:pPr>
        <w:jc w:val="both"/>
        <w:rPr>
          <w:rFonts w:ascii="Times New Roman" w:hAnsi="Times New Roman" w:cs="Times New Roman"/>
        </w:rPr>
      </w:pPr>
    </w:p>
    <w:sectPr w:rsidR="000F4898" w:rsidRPr="005503D6" w:rsidSect="00DD085F">
      <w:headerReference w:type="even" r:id="rId21"/>
      <w:headerReference w:type="default" r:id="rId22"/>
      <w:pgSz w:w="11900" w:h="16840"/>
      <w:pgMar w:top="1701" w:right="1134" w:bottom="1134" w:left="1701"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EBA4C" w14:textId="77777777" w:rsidR="00742149" w:rsidRDefault="00742149" w:rsidP="00112189">
      <w:r>
        <w:separator/>
      </w:r>
    </w:p>
  </w:endnote>
  <w:endnote w:type="continuationSeparator" w:id="0">
    <w:p w14:paraId="67013D58" w14:textId="77777777" w:rsidR="00742149" w:rsidRDefault="00742149" w:rsidP="0011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Verdana">
    <w:panose1 w:val="020B0604030504040204"/>
    <w:charset w:val="00"/>
    <w:family w:val="auto"/>
    <w:pitch w:val="variable"/>
    <w:sig w:usb0="A10006FF" w:usb1="4000205B" w:usb2="00000010" w:usb3="00000000" w:csb0="0000019F" w:csb1="00000000"/>
  </w:font>
  <w:font w:name="Palatino-Italic">
    <w:charset w:val="00"/>
    <w:family w:val="auto"/>
    <w:pitch w:val="variable"/>
    <w:sig w:usb0="A00002FF" w:usb1="7800205A" w:usb2="14600000" w:usb3="00000000" w:csb0="00000193" w:csb1="00000000"/>
  </w:font>
  <w:font w:name="Arial">
    <w:panose1 w:val="020B0604020202020204"/>
    <w:charset w:val="00"/>
    <w:family w:val="auto"/>
    <w:pitch w:val="variable"/>
    <w:sig w:usb0="E0002AFF" w:usb1="C0007843" w:usb2="00000009" w:usb3="00000000" w:csb0="000001FF" w:csb1="00000000"/>
  </w:font>
  <w:font w:name="Times Roman">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EB4E77" w14:textId="77777777" w:rsidR="00742149" w:rsidRDefault="00742149" w:rsidP="00112189">
      <w:r>
        <w:separator/>
      </w:r>
    </w:p>
  </w:footnote>
  <w:footnote w:type="continuationSeparator" w:id="0">
    <w:p w14:paraId="19D2F1B9" w14:textId="77777777" w:rsidR="00742149" w:rsidRDefault="00742149" w:rsidP="00112189">
      <w:r>
        <w:continuationSeparator/>
      </w:r>
    </w:p>
  </w:footnote>
  <w:footnote w:id="1">
    <w:p w14:paraId="273E9404" w14:textId="59EAB9AF"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PIOVESAN, Flávia. </w:t>
      </w:r>
      <w:r w:rsidRPr="002B0178">
        <w:rPr>
          <w:rFonts w:ascii="Times New Roman" w:hAnsi="Times New Roman" w:cs="Times New Roman"/>
          <w:i/>
          <w:sz w:val="18"/>
          <w:szCs w:val="18"/>
          <w:lang w:val="en-US"/>
        </w:rPr>
        <w:t>Ius Constitutionale Commune</w:t>
      </w:r>
      <w:r w:rsidRPr="002B0178">
        <w:rPr>
          <w:rFonts w:ascii="Times New Roman" w:hAnsi="Times New Roman" w:cs="Times New Roman"/>
          <w:sz w:val="18"/>
          <w:szCs w:val="18"/>
          <w:lang w:val="en-US"/>
        </w:rPr>
        <w:t xml:space="preserve"> en América Latina: Context, Challenges, and Perspectives.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 xml:space="preserve">. </w:t>
      </w:r>
      <w:r w:rsidRPr="008368CD">
        <w:rPr>
          <w:rFonts w:ascii="Times New Roman" w:hAnsi="Times New Roman" w:cs="Times New Roman"/>
          <w:sz w:val="18"/>
          <w:szCs w:val="18"/>
        </w:rPr>
        <w:t>Oxford</w:t>
      </w:r>
      <w:r>
        <w:rPr>
          <w:rFonts w:ascii="Times New Roman" w:hAnsi="Times New Roman" w:cs="Times New Roman"/>
          <w:sz w:val="18"/>
          <w:szCs w:val="18"/>
        </w:rPr>
        <w:t xml:space="preserve">: Oxford University Press, 2017. </w:t>
      </w:r>
      <w:r w:rsidRPr="008368CD">
        <w:rPr>
          <w:rFonts w:ascii="Times New Roman" w:hAnsi="Times New Roman" w:cs="Times New Roman"/>
          <w:sz w:val="18"/>
          <w:szCs w:val="18"/>
        </w:rPr>
        <w:t>p. 49-65, p. 52.</w:t>
      </w:r>
    </w:p>
  </w:footnote>
  <w:footnote w:id="2">
    <w:p w14:paraId="172C1B2B" w14:textId="333F96CE"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Von BOGDANDY, Armin. </w:t>
      </w:r>
      <w:r w:rsidRPr="002B0178">
        <w:rPr>
          <w:rFonts w:ascii="Times New Roman" w:hAnsi="Times New Roman" w:cs="Times New Roman"/>
          <w:i/>
          <w:sz w:val="18"/>
          <w:szCs w:val="18"/>
          <w:lang w:val="en-US"/>
        </w:rPr>
        <w:t>Ius Constitutionale Commune</w:t>
      </w:r>
      <w:r w:rsidRPr="002B0178">
        <w:rPr>
          <w:rFonts w:ascii="Times New Roman" w:hAnsi="Times New Roman" w:cs="Times New Roman"/>
          <w:sz w:val="18"/>
          <w:szCs w:val="18"/>
          <w:lang w:val="en-US"/>
        </w:rPr>
        <w:t xml:space="preserve"> en América Latina: observations on Transformative Constitutionalism.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 xml:space="preserve">. Oxford: Oxford University Press, 2017. </w:t>
      </w:r>
      <w:proofErr w:type="gramStart"/>
      <w:r w:rsidRPr="002B0178">
        <w:rPr>
          <w:rFonts w:ascii="Times New Roman" w:hAnsi="Times New Roman" w:cs="Times New Roman"/>
          <w:sz w:val="18"/>
          <w:szCs w:val="18"/>
          <w:lang w:val="en-US"/>
        </w:rPr>
        <w:t xml:space="preserve">p. 27-48, </w:t>
      </w:r>
      <w:r w:rsidRPr="008368CD">
        <w:rPr>
          <w:rFonts w:ascii="Times New Roman" w:hAnsi="Times New Roman" w:cs="Times New Roman"/>
          <w:sz w:val="18"/>
          <w:szCs w:val="18"/>
          <w:lang w:val="en-US"/>
        </w:rPr>
        <w:t>p. 30, 44.</w:t>
      </w:r>
      <w:proofErr w:type="gramEnd"/>
      <w:r w:rsidRPr="008368CD">
        <w:rPr>
          <w:rFonts w:ascii="Times New Roman" w:hAnsi="Times New Roman" w:cs="Times New Roman"/>
          <w:sz w:val="18"/>
          <w:szCs w:val="18"/>
          <w:lang w:val="en-US"/>
        </w:rPr>
        <w:t xml:space="preserve"> </w:t>
      </w:r>
      <w:r w:rsidRPr="002B0178">
        <w:rPr>
          <w:rFonts w:ascii="Times New Roman" w:hAnsi="Times New Roman" w:cs="Times New Roman"/>
          <w:sz w:val="18"/>
          <w:szCs w:val="18"/>
        </w:rPr>
        <w:t>Segundo Salazar Ugarte, a aspiração universal do ICCAL está baseada no liberalismo igualitário e na noção de que as diferenças culturais não impedem o reconhecimento, a todas as pessoas, de um denominador comum de direitos humanos, não apenas em sentido jurídico, mas também como um projeto político e cultural</w:t>
      </w:r>
      <w:r w:rsidRPr="008368CD">
        <w:rPr>
          <w:rFonts w:ascii="Times New Roman" w:hAnsi="Times New Roman" w:cs="Times New Roman"/>
          <w:sz w:val="18"/>
          <w:szCs w:val="18"/>
        </w:rPr>
        <w:t xml:space="preserve">. </w:t>
      </w:r>
      <w:proofErr w:type="gramStart"/>
      <w:r w:rsidRPr="002B0178">
        <w:rPr>
          <w:rFonts w:ascii="Times New Roman" w:hAnsi="Times New Roman" w:cs="Times New Roman"/>
          <w:sz w:val="18"/>
          <w:szCs w:val="18"/>
          <w:lang w:val="en-US"/>
        </w:rPr>
        <w:t>SALAZAR UGARTE, Pedro.</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The Struggle for Rights.</w:t>
      </w:r>
      <w:proofErr w:type="gramEnd"/>
      <w:r w:rsidRPr="002B0178">
        <w:rPr>
          <w:rFonts w:ascii="Times New Roman" w:hAnsi="Times New Roman" w:cs="Times New Roman"/>
          <w:sz w:val="18"/>
          <w:szCs w:val="18"/>
          <w:lang w:val="en-US"/>
        </w:rPr>
        <w:t xml:space="preserve">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 Oxford: Oxford University Press, 2017. pp. 67-82, p. 67.</w:t>
      </w:r>
    </w:p>
  </w:footnote>
  <w:footnote w:id="3">
    <w:p w14:paraId="6DDE9413" w14:textId="0FB00046"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Von BOGDANDY, Armin. </w:t>
      </w:r>
      <w:r w:rsidRPr="002B0178">
        <w:rPr>
          <w:rFonts w:ascii="Times New Roman" w:hAnsi="Times New Roman" w:cs="Times New Roman"/>
          <w:i/>
          <w:sz w:val="18"/>
          <w:szCs w:val="18"/>
          <w:lang w:val="en-US"/>
        </w:rPr>
        <w:t>Ius Constitutionale Commune</w:t>
      </w:r>
      <w:r w:rsidRPr="002B0178">
        <w:rPr>
          <w:rFonts w:ascii="Times New Roman" w:hAnsi="Times New Roman" w:cs="Times New Roman"/>
          <w:sz w:val="18"/>
          <w:szCs w:val="18"/>
          <w:lang w:val="en-US"/>
        </w:rPr>
        <w:t xml:space="preserve"> en América Latina: observations on Transformative Constitutionalism.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proofErr w:type="gramStart"/>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w:t>
      </w:r>
      <w:proofErr w:type="gramEnd"/>
      <w:r w:rsidRPr="002B0178">
        <w:rPr>
          <w:rFonts w:ascii="Times New Roman" w:hAnsi="Times New Roman" w:cs="Times New Roman"/>
          <w:sz w:val="18"/>
          <w:szCs w:val="18"/>
          <w:lang w:val="en-US"/>
        </w:rPr>
        <w:t xml:space="preserve"> Oxford: Oxford University Press, 2017. p. 27-48, p. 28.</w:t>
      </w:r>
    </w:p>
  </w:footnote>
  <w:footnote w:id="4">
    <w:p w14:paraId="07CCA04C" w14:textId="25845F1A"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w:t>
      </w:r>
      <w:r w:rsidRPr="002B0178">
        <w:rPr>
          <w:rFonts w:ascii="Times New Roman" w:hAnsi="Times New Roman" w:cs="Times New Roman"/>
          <w:i/>
          <w:sz w:val="18"/>
          <w:szCs w:val="18"/>
          <w:lang w:val="en-US"/>
        </w:rPr>
        <w:t>Ius Constitutionale Commune</w:t>
      </w:r>
      <w:r w:rsidRPr="002B0178">
        <w:rPr>
          <w:rFonts w:ascii="Times New Roman" w:hAnsi="Times New Roman" w:cs="Times New Roman"/>
          <w:sz w:val="18"/>
          <w:szCs w:val="18"/>
          <w:lang w:val="en-US"/>
        </w:rPr>
        <w:t xml:space="preserve"> en América Latina: A Regional Approach to Transformative Constitutionalism.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 xml:space="preserve">. Oxford: Oxford University Press, 2017, pp. 3-23, </w:t>
      </w:r>
      <w:proofErr w:type="gramStart"/>
      <w:r w:rsidRPr="002B0178">
        <w:rPr>
          <w:rFonts w:ascii="Times New Roman" w:hAnsi="Times New Roman" w:cs="Times New Roman"/>
          <w:sz w:val="18"/>
          <w:szCs w:val="18"/>
          <w:lang w:val="en-US"/>
        </w:rPr>
        <w:t>p</w:t>
      </w:r>
      <w:proofErr w:type="gramEnd"/>
      <w:r w:rsidRPr="002B0178">
        <w:rPr>
          <w:rFonts w:ascii="Times New Roman" w:hAnsi="Times New Roman" w:cs="Times New Roman"/>
          <w:sz w:val="18"/>
          <w:szCs w:val="18"/>
          <w:lang w:val="en-US"/>
        </w:rPr>
        <w:t>. 4.</w:t>
      </w:r>
    </w:p>
  </w:footnote>
  <w:footnote w:id="5">
    <w:p w14:paraId="430A2BF9" w14:textId="788DEABF"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8368CD">
        <w:rPr>
          <w:rFonts w:ascii="Times New Roman" w:hAnsi="Times New Roman" w:cs="Times New Roman"/>
          <w:sz w:val="18"/>
          <w:szCs w:val="18"/>
          <w:lang w:val="en-US"/>
        </w:rPr>
        <w:t>DELMAS-MARTY, Mireille.</w:t>
      </w:r>
      <w:proofErr w:type="gramEnd"/>
      <w:r w:rsidRPr="008368CD">
        <w:rPr>
          <w:rFonts w:ascii="Times New Roman" w:hAnsi="Times New Roman" w:cs="Times New Roman"/>
          <w:sz w:val="18"/>
          <w:szCs w:val="18"/>
          <w:lang w:val="en-US"/>
        </w:rPr>
        <w:t xml:space="preserve"> </w:t>
      </w:r>
      <w:proofErr w:type="gramStart"/>
      <w:r w:rsidRPr="008368CD">
        <w:rPr>
          <w:rFonts w:ascii="Times New Roman" w:hAnsi="Times New Roman" w:cs="Times New Roman"/>
          <w:i/>
          <w:sz w:val="18"/>
          <w:szCs w:val="18"/>
          <w:lang w:val="en-US"/>
        </w:rPr>
        <w:t>Legal pluralism as a dynamic process in a moving world</w:t>
      </w:r>
      <w:r w:rsidRPr="008368CD">
        <w:rPr>
          <w:rFonts w:ascii="Times New Roman" w:hAnsi="Times New Roman" w:cs="Times New Roman"/>
          <w:sz w:val="18"/>
          <w:szCs w:val="18"/>
          <w:lang w:val="en-US"/>
        </w:rPr>
        <w:t>.</w:t>
      </w:r>
      <w:proofErr w:type="gramEnd"/>
      <w:r w:rsidRPr="008368CD">
        <w:rPr>
          <w:rFonts w:ascii="Times New Roman" w:hAnsi="Times New Roman" w:cs="Times New Roman"/>
          <w:sz w:val="18"/>
          <w:szCs w:val="18"/>
          <w:lang w:val="en-US"/>
        </w:rPr>
        <w:t xml:space="preserve"> </w:t>
      </w:r>
      <w:r w:rsidRPr="002B0178">
        <w:rPr>
          <w:rFonts w:ascii="Times New Roman" w:hAnsi="Times New Roman" w:cs="Times New Roman"/>
          <w:sz w:val="18"/>
          <w:szCs w:val="18"/>
        </w:rPr>
        <w:t>Feb 28, 2018. Disponível em: http://jamesgstewart.com/legal-pluralism-as-a-dynamic-process-in-a-moving-world/. Accesso em: 25 mar. 2019.</w:t>
      </w:r>
    </w:p>
  </w:footnote>
  <w:footnote w:id="6">
    <w:p w14:paraId="1AE1ED3E" w14:textId="0F4D5DCF"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FACHIN, Melina Girardi. À Guisa de Introdução: os sentidos do constitucionalismo multinível”. In FACHIN, Melina Girardi (org.). </w:t>
      </w:r>
      <w:r w:rsidRPr="008368CD">
        <w:rPr>
          <w:rFonts w:ascii="Times New Roman" w:hAnsi="Times New Roman" w:cs="Times New Roman"/>
          <w:i/>
          <w:sz w:val="18"/>
          <w:szCs w:val="18"/>
        </w:rPr>
        <w:t>Direito Constitucional Multinível</w:t>
      </w:r>
      <w:r w:rsidRPr="008368CD">
        <w:rPr>
          <w:rFonts w:ascii="Times New Roman" w:hAnsi="Times New Roman" w:cs="Times New Roman"/>
          <w:sz w:val="18"/>
          <w:szCs w:val="18"/>
        </w:rPr>
        <w:t>: Diálogos a partir do Direito Internacional dos Direitos Humanos. Curitiba: Prismas, 2017, p. 17.</w:t>
      </w:r>
    </w:p>
  </w:footnote>
  <w:footnote w:id="7">
    <w:p w14:paraId="2BB233CF" w14:textId="1BFDEFF3" w:rsidR="00742149" w:rsidRPr="008368CD" w:rsidRDefault="00742149" w:rsidP="00D71B63">
      <w:pPr>
        <w:pStyle w:val="FootnoteText"/>
        <w:jc w:val="both"/>
        <w:rPr>
          <w:rFonts w:ascii="Times New Roman" w:hAnsi="Times New Roman" w:cs="Times New Roman"/>
          <w:b/>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O pluralismo tem caráter normativo, e se divorcia da mera pluralidade: ele demanda a interconexão dos sistemas jurídidcos, um objetivo a ser alcançado sem se alcance a hegemonia.  Comunicam-se as diversas ilhas propostas pelo relativismo cultural, em um processo de compreensão mútua entre as diversas perspectivas morais, mas sem a fixação de um método universal de imposição de soluções. </w:t>
      </w:r>
      <w:proofErr w:type="gramStart"/>
      <w:r w:rsidRPr="002B0178">
        <w:rPr>
          <w:rFonts w:ascii="Times New Roman" w:hAnsi="Times New Roman" w:cs="Times New Roman"/>
          <w:sz w:val="18"/>
          <w:szCs w:val="18"/>
          <w:lang w:val="en-US"/>
        </w:rPr>
        <w:t>VOINA-MOTOC, Iulia.</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Conceptions of Pluralism and International Law.</w:t>
      </w:r>
      <w:proofErr w:type="gramEnd"/>
      <w:r w:rsidRPr="002B0178">
        <w:rPr>
          <w:rFonts w:ascii="Times New Roman" w:hAnsi="Times New Roman" w:cs="Times New Roman"/>
          <w:sz w:val="18"/>
          <w:szCs w:val="18"/>
          <w:lang w:val="en-US"/>
        </w:rPr>
        <w:t xml:space="preserve"> In FABRI, Hélène Ruiz; JOUANNET, Emmanuelle; TOMKIEWICZ, Vincent. </w:t>
      </w:r>
      <w:r w:rsidRPr="008368CD">
        <w:rPr>
          <w:rFonts w:ascii="Times New Roman" w:hAnsi="Times New Roman" w:cs="Times New Roman"/>
          <w:i/>
          <w:sz w:val="18"/>
          <w:szCs w:val="18"/>
          <w:lang w:val="en-US"/>
        </w:rPr>
        <w:t>Select Proceedings of the European Society of Internacional Law.</w:t>
      </w:r>
      <w:r w:rsidRPr="008368CD">
        <w:rPr>
          <w:rFonts w:ascii="Times New Roman" w:hAnsi="Times New Roman" w:cs="Times New Roman"/>
          <w:sz w:val="18"/>
          <w:szCs w:val="18"/>
          <w:lang w:val="en-US"/>
        </w:rPr>
        <w:t xml:space="preserve"> V. 1, 2006. Oxford and Portland: Hart Publishing,</w:t>
      </w:r>
      <w:r w:rsidRPr="008368CD">
        <w:rPr>
          <w:rFonts w:ascii="Times New Roman" w:hAnsi="Times New Roman" w:cs="Times New Roman"/>
          <w:sz w:val="18"/>
          <w:szCs w:val="18"/>
        </w:rPr>
        <w:t xml:space="preserve"> 2008, pp. 401-430, p. 414-415; 420-421.</w:t>
      </w:r>
    </w:p>
  </w:footnote>
  <w:footnote w:id="8">
    <w:p w14:paraId="22A1F0EF" w14:textId="2695DC54"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8368CD">
        <w:rPr>
          <w:rFonts w:ascii="Times New Roman" w:hAnsi="Times New Roman" w:cs="Times New Roman"/>
          <w:sz w:val="18"/>
          <w:szCs w:val="18"/>
          <w:lang w:val="en-US"/>
        </w:rPr>
        <w:t>DELMAS-MARTY, Mireille.</w:t>
      </w:r>
      <w:proofErr w:type="gramEnd"/>
      <w:r w:rsidRPr="008368CD">
        <w:rPr>
          <w:rFonts w:ascii="Times New Roman" w:hAnsi="Times New Roman" w:cs="Times New Roman"/>
          <w:sz w:val="18"/>
          <w:szCs w:val="18"/>
          <w:lang w:val="en-US"/>
        </w:rPr>
        <w:t xml:space="preserve"> </w:t>
      </w:r>
      <w:proofErr w:type="gramStart"/>
      <w:r w:rsidRPr="008368CD">
        <w:rPr>
          <w:rFonts w:ascii="Times New Roman" w:hAnsi="Times New Roman" w:cs="Times New Roman"/>
          <w:i/>
          <w:sz w:val="18"/>
          <w:szCs w:val="18"/>
          <w:lang w:val="en-US"/>
        </w:rPr>
        <w:t>Legal pluralism as a dynamic process in a moving world</w:t>
      </w:r>
      <w:r w:rsidRPr="008368CD">
        <w:rPr>
          <w:rFonts w:ascii="Times New Roman" w:hAnsi="Times New Roman" w:cs="Times New Roman"/>
          <w:sz w:val="18"/>
          <w:szCs w:val="18"/>
          <w:lang w:val="en-US"/>
        </w:rPr>
        <w:t>.</w:t>
      </w:r>
      <w:proofErr w:type="gramEnd"/>
      <w:r w:rsidRPr="002B0178">
        <w:rPr>
          <w:rFonts w:ascii="Times New Roman" w:hAnsi="Times New Roman" w:cs="Times New Roman"/>
          <w:sz w:val="18"/>
          <w:szCs w:val="18"/>
          <w:lang w:val="en-US"/>
        </w:rPr>
        <w:t xml:space="preserve"> </w:t>
      </w:r>
      <w:r w:rsidRPr="002B0178">
        <w:rPr>
          <w:rFonts w:ascii="Times New Roman" w:hAnsi="Times New Roman" w:cs="Times New Roman"/>
          <w:sz w:val="18"/>
          <w:szCs w:val="18"/>
        </w:rPr>
        <w:t>Feb 28, 2018. Disponível em: http://jamesgstewart.com/legal-pluralism-as-a-dynami</w:t>
      </w:r>
      <w:r>
        <w:rPr>
          <w:rFonts w:ascii="Times New Roman" w:hAnsi="Times New Roman" w:cs="Times New Roman"/>
          <w:sz w:val="18"/>
          <w:szCs w:val="18"/>
        </w:rPr>
        <w:t>c-process-in-a-moving-world/. A</w:t>
      </w:r>
      <w:r w:rsidRPr="002B0178">
        <w:rPr>
          <w:rFonts w:ascii="Times New Roman" w:hAnsi="Times New Roman" w:cs="Times New Roman"/>
          <w:sz w:val="18"/>
          <w:szCs w:val="18"/>
        </w:rPr>
        <w:t>cesso em: 25 mar. 2019.</w:t>
      </w:r>
    </w:p>
  </w:footnote>
  <w:footnote w:id="9">
    <w:p w14:paraId="38421E13" w14:textId="5CBE118F" w:rsidR="00742149" w:rsidRPr="008368CD" w:rsidRDefault="00742149" w:rsidP="00D71B63">
      <w:pPr>
        <w:widowControl w:val="0"/>
        <w:autoSpaceDE w:val="0"/>
        <w:autoSpaceDN w:val="0"/>
        <w:adjustRightInd w:val="0"/>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PIOVESAN, Flávia. Sistema Interamericano de Direitos Humanos: Impacto Transformador, Diálogos Jurisdicionais e os Desafios da Reforma. </w:t>
      </w:r>
      <w:r w:rsidRPr="008368CD">
        <w:rPr>
          <w:rFonts w:ascii="Times New Roman" w:hAnsi="Times New Roman" w:cs="Times New Roman"/>
          <w:i/>
          <w:sz w:val="18"/>
          <w:szCs w:val="18"/>
        </w:rPr>
        <w:t>Revista Direitos Emergentes na Sociedade Global</w:t>
      </w:r>
      <w:r w:rsidRPr="008368CD">
        <w:rPr>
          <w:rFonts w:ascii="Times New Roman" w:hAnsi="Times New Roman" w:cs="Times New Roman"/>
          <w:sz w:val="18"/>
          <w:szCs w:val="18"/>
        </w:rPr>
        <w:t>,</w:t>
      </w:r>
      <w:r w:rsidRPr="008368CD">
        <w:rPr>
          <w:rFonts w:ascii="Times New Roman" w:hAnsi="Times New Roman" w:cs="Times New Roman"/>
          <w:b/>
          <w:sz w:val="18"/>
          <w:szCs w:val="18"/>
        </w:rPr>
        <w:t xml:space="preserve"> </w:t>
      </w:r>
      <w:r w:rsidRPr="008368CD">
        <w:rPr>
          <w:rFonts w:ascii="Times New Roman" w:hAnsi="Times New Roman" w:cs="Times New Roman"/>
          <w:sz w:val="18"/>
          <w:szCs w:val="18"/>
        </w:rPr>
        <w:t>Santa Maria,</w:t>
      </w:r>
      <w:r>
        <w:rPr>
          <w:rFonts w:ascii="Times New Roman" w:hAnsi="Times New Roman" w:cs="Times New Roman"/>
          <w:sz w:val="18"/>
          <w:szCs w:val="18"/>
        </w:rPr>
        <w:t xml:space="preserve"> v. 3, n. 1, p. 76-101 jan/jun </w:t>
      </w:r>
      <w:r w:rsidRPr="008368CD">
        <w:rPr>
          <w:rFonts w:ascii="Times New Roman" w:hAnsi="Times New Roman" w:cs="Times New Roman"/>
          <w:sz w:val="18"/>
          <w:szCs w:val="18"/>
        </w:rPr>
        <w:t>2014. Disponível em: https://periodicos.ufsm.br/REDESG/article/view/16282#.XE3erqfOrUo. Acesso em: 10 dez. 2018. p. 77.</w:t>
      </w:r>
    </w:p>
  </w:footnote>
  <w:footnote w:id="10">
    <w:p w14:paraId="37DB8857" w14:textId="2E8542D6"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Rubem Dalmau defende que a Assembleia Constitu</w:t>
      </w:r>
      <w:r>
        <w:rPr>
          <w:rFonts w:ascii="Times New Roman" w:hAnsi="Times New Roman" w:cs="Times New Roman"/>
          <w:sz w:val="18"/>
          <w:szCs w:val="18"/>
        </w:rPr>
        <w:t>inte para a Constituição da Colô</w:t>
      </w:r>
      <w:r w:rsidRPr="008368CD">
        <w:rPr>
          <w:rFonts w:ascii="Times New Roman" w:hAnsi="Times New Roman" w:cs="Times New Roman"/>
          <w:sz w:val="18"/>
          <w:szCs w:val="18"/>
        </w:rPr>
        <w:t xml:space="preserve">mbia, de 1991, evidencia um movimento constitucional que abarca também esse país. Em razão da abertura da Constituição Colombiana ao direito internacional, bem como da institucionalidade dos direitos e o fortalecimento da Corte Constitucional, divergimos dessa compreensão. As principais características desse novo constitucionalismo latino-americano seriam a intensa participação popular tanto na confecção da ordem constitucional, quanto na aplicação de suas normas; fortalecimento da noção de soberania; o acento na atuação do Estado para implementação de direitos econômicos, sociais e culturais. DALMAU, Rubem Martínez. Asembleas constituíntes e novo constitucionalismo en América Latina. </w:t>
      </w:r>
      <w:r w:rsidRPr="008368CD">
        <w:rPr>
          <w:rFonts w:ascii="Times New Roman" w:hAnsi="Times New Roman" w:cs="Times New Roman"/>
          <w:i/>
          <w:sz w:val="18"/>
          <w:szCs w:val="18"/>
        </w:rPr>
        <w:t>Tempo Exterior</w:t>
      </w:r>
      <w:r w:rsidRPr="008368CD">
        <w:rPr>
          <w:rFonts w:ascii="Times New Roman" w:hAnsi="Times New Roman" w:cs="Times New Roman"/>
          <w:sz w:val="18"/>
          <w:szCs w:val="18"/>
        </w:rPr>
        <w:t>, Pontevedra, n. 17, p. 5-15, xulio/deciembre 2008.</w:t>
      </w:r>
    </w:p>
  </w:footnote>
  <w:footnote w:id="11">
    <w:p w14:paraId="72EDEC97" w14:textId="7C88D277" w:rsidR="00742149" w:rsidRPr="002B0178" w:rsidRDefault="00742149" w:rsidP="00D71B63">
      <w:pPr>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SALAZAR UGARTE, Pedro. </w:t>
      </w:r>
      <w:proofErr w:type="gramStart"/>
      <w:r w:rsidRPr="002B0178">
        <w:rPr>
          <w:rFonts w:ascii="Times New Roman" w:hAnsi="Times New Roman" w:cs="Times New Roman"/>
          <w:sz w:val="18"/>
          <w:szCs w:val="18"/>
          <w:lang w:val="en-US"/>
        </w:rPr>
        <w:t>The Struggle for Rights.</w:t>
      </w:r>
      <w:proofErr w:type="gramEnd"/>
      <w:r w:rsidRPr="002B0178">
        <w:rPr>
          <w:rFonts w:ascii="Times New Roman" w:hAnsi="Times New Roman" w:cs="Times New Roman"/>
          <w:sz w:val="18"/>
          <w:szCs w:val="18"/>
          <w:lang w:val="en-US"/>
        </w:rPr>
        <w:t xml:space="preserve"> In von BOGDANDY, Armin; et al. (ed.) </w:t>
      </w:r>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 xml:space="preserve">. Oxford: Oxford University Press, 2017, pp. 67-82, </w:t>
      </w:r>
      <w:proofErr w:type="gramStart"/>
      <w:r w:rsidRPr="002B0178">
        <w:rPr>
          <w:rFonts w:ascii="Times New Roman" w:hAnsi="Times New Roman" w:cs="Times New Roman"/>
          <w:sz w:val="18"/>
          <w:szCs w:val="18"/>
          <w:lang w:val="en-US"/>
        </w:rPr>
        <w:t>p</w:t>
      </w:r>
      <w:proofErr w:type="gramEnd"/>
      <w:r w:rsidRPr="002B0178">
        <w:rPr>
          <w:rFonts w:ascii="Times New Roman" w:hAnsi="Times New Roman" w:cs="Times New Roman"/>
          <w:sz w:val="18"/>
          <w:szCs w:val="18"/>
          <w:lang w:val="en-US"/>
        </w:rPr>
        <w:t>. 69.</w:t>
      </w:r>
    </w:p>
  </w:footnote>
  <w:footnote w:id="12">
    <w:p w14:paraId="783EF09E" w14:textId="7E57DA3F"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DELMAS-MARTY, Mireille.</w:t>
      </w:r>
      <w:proofErr w:type="gramEnd"/>
      <w:r w:rsidRPr="002B0178">
        <w:rPr>
          <w:rFonts w:ascii="Times New Roman" w:hAnsi="Times New Roman" w:cs="Times New Roman"/>
          <w:sz w:val="18"/>
          <w:szCs w:val="18"/>
          <w:lang w:val="en-US"/>
        </w:rPr>
        <w:t xml:space="preserve"> </w:t>
      </w:r>
      <w:r w:rsidRPr="008368CD">
        <w:rPr>
          <w:rFonts w:ascii="Times New Roman" w:hAnsi="Times New Roman" w:cs="Times New Roman"/>
          <w:sz w:val="18"/>
          <w:szCs w:val="18"/>
          <w:lang w:val="en-US"/>
        </w:rPr>
        <w:t xml:space="preserve">Ordering Pluralism. </w:t>
      </w:r>
      <w:proofErr w:type="gramStart"/>
      <w:r w:rsidRPr="008368CD">
        <w:rPr>
          <w:rFonts w:ascii="Times New Roman" w:hAnsi="Times New Roman" w:cs="Times New Roman"/>
          <w:i/>
          <w:sz w:val="18"/>
          <w:szCs w:val="18"/>
          <w:lang w:val="en-US"/>
        </w:rPr>
        <w:t>Max Weber Lecture Series</w:t>
      </w:r>
      <w:r w:rsidRPr="008368CD">
        <w:rPr>
          <w:rFonts w:ascii="Times New Roman" w:hAnsi="Times New Roman" w:cs="Times New Roman"/>
          <w:sz w:val="18"/>
          <w:szCs w:val="18"/>
          <w:lang w:val="en-US"/>
        </w:rPr>
        <w:t xml:space="preserve"> 2009/06.</w:t>
      </w:r>
      <w:proofErr w:type="gramEnd"/>
      <w:r w:rsidRPr="008368CD">
        <w:rPr>
          <w:rFonts w:ascii="Times New Roman" w:hAnsi="Times New Roman" w:cs="Times New Roman"/>
          <w:sz w:val="18"/>
          <w:szCs w:val="18"/>
          <w:lang w:val="en-US"/>
        </w:rPr>
        <w:t xml:space="preserve"> European University Institute, Florence, p. 3</w:t>
      </w:r>
    </w:p>
  </w:footnote>
  <w:footnote w:id="13">
    <w:p w14:paraId="14ECD976" w14:textId="7865C3A7"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al. </w:t>
      </w:r>
      <w:r w:rsidRPr="000318D6">
        <w:rPr>
          <w:rFonts w:ascii="Times New Roman" w:hAnsi="Times New Roman" w:cs="Times New Roman"/>
          <w:i/>
          <w:sz w:val="18"/>
          <w:szCs w:val="18"/>
          <w:lang w:val="en-US"/>
        </w:rPr>
        <w:t>Ius Constitutionale Commune</w:t>
      </w:r>
      <w:r w:rsidRPr="002B0178">
        <w:rPr>
          <w:rFonts w:ascii="Times New Roman" w:hAnsi="Times New Roman" w:cs="Times New Roman"/>
          <w:sz w:val="18"/>
          <w:szCs w:val="18"/>
          <w:lang w:val="en-US"/>
        </w:rPr>
        <w:t xml:space="preserve"> en América Latina: observations on Transformative Constitutionalism.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 xml:space="preserve">. Oxford: Oxford University Press, 2017, pp. 27-48, </w:t>
      </w:r>
      <w:proofErr w:type="gramStart"/>
      <w:r w:rsidRPr="002B0178">
        <w:rPr>
          <w:rFonts w:ascii="Times New Roman" w:hAnsi="Times New Roman" w:cs="Times New Roman"/>
          <w:sz w:val="18"/>
          <w:szCs w:val="18"/>
          <w:lang w:val="en-US"/>
        </w:rPr>
        <w:t>p</w:t>
      </w:r>
      <w:proofErr w:type="gramEnd"/>
      <w:r w:rsidRPr="002B0178">
        <w:rPr>
          <w:rFonts w:ascii="Times New Roman" w:hAnsi="Times New Roman" w:cs="Times New Roman"/>
          <w:sz w:val="18"/>
          <w:szCs w:val="18"/>
          <w:lang w:val="en-US"/>
        </w:rPr>
        <w:t>. 6.</w:t>
      </w:r>
    </w:p>
  </w:footnote>
  <w:footnote w:id="14">
    <w:p w14:paraId="338AC84D" w14:textId="429A2784"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w:t>
      </w:r>
      <w:r w:rsidRPr="000318D6">
        <w:rPr>
          <w:rFonts w:ascii="Times New Roman" w:hAnsi="Times New Roman" w:cs="Times New Roman"/>
          <w:i/>
          <w:sz w:val="18"/>
          <w:szCs w:val="18"/>
          <w:lang w:val="en-US"/>
        </w:rPr>
        <w:t>Ius Constitutionale Commune</w:t>
      </w:r>
      <w:r w:rsidRPr="002B0178">
        <w:rPr>
          <w:rFonts w:ascii="Times New Roman" w:hAnsi="Times New Roman" w:cs="Times New Roman"/>
          <w:sz w:val="18"/>
          <w:szCs w:val="18"/>
          <w:lang w:val="en-US"/>
        </w:rPr>
        <w:t xml:space="preserve"> en América Latina: observations on Transformative Constitutionalism.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 Oxford: Oxford University Press, 2017, pp. 27-48, p. 42; 28.</w:t>
      </w:r>
    </w:p>
  </w:footnote>
  <w:footnote w:id="15">
    <w:p w14:paraId="0E95385A" w14:textId="758D2207"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MORALES ANTONIAZZI, Mariela. O Estado Aberto: Objetivo do Ius Constitutionale Commune em Direitos Humanos. </w:t>
      </w:r>
      <w:proofErr w:type="gramStart"/>
      <w:r w:rsidRPr="002B0178">
        <w:rPr>
          <w:rFonts w:ascii="Times New Roman" w:hAnsi="Times New Roman" w:cs="Times New Roman"/>
          <w:sz w:val="18"/>
          <w:szCs w:val="18"/>
          <w:lang w:val="en-US"/>
        </w:rPr>
        <w:t>In von BOGDANDY, Armin; MORALES ANTONIAZZI, Mariela; PIOVESAN, Flávia (coord.).</w:t>
      </w:r>
      <w:proofErr w:type="gramEnd"/>
      <w:r w:rsidRPr="002B0178">
        <w:rPr>
          <w:rFonts w:ascii="Times New Roman" w:hAnsi="Times New Roman" w:cs="Times New Roman"/>
          <w:sz w:val="18"/>
          <w:szCs w:val="18"/>
          <w:lang w:val="en-US"/>
        </w:rPr>
        <w:t xml:space="preserve"> </w:t>
      </w:r>
      <w:r w:rsidRPr="008368CD">
        <w:rPr>
          <w:rFonts w:ascii="Times New Roman" w:hAnsi="Times New Roman" w:cs="Times New Roman"/>
          <w:i/>
          <w:sz w:val="18"/>
          <w:szCs w:val="18"/>
        </w:rPr>
        <w:t>Ius Constitutionale Commune na América Latina</w:t>
      </w:r>
      <w:r w:rsidRPr="008368CD">
        <w:rPr>
          <w:rFonts w:ascii="Times New Roman" w:hAnsi="Times New Roman" w:cs="Times New Roman"/>
          <w:sz w:val="18"/>
          <w:szCs w:val="18"/>
        </w:rPr>
        <w:t>. Volume I: Marco Conceptual. Curitiba: Juruá, 2016. p. 53-74; p. 57.</w:t>
      </w:r>
    </w:p>
  </w:footnote>
  <w:footnote w:id="16">
    <w:p w14:paraId="22FA802E" w14:textId="425F53DD"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GARCÍA ROCA, Javier. </w:t>
      </w:r>
      <w:r w:rsidRPr="008368CD">
        <w:rPr>
          <w:rFonts w:ascii="Times New Roman" w:hAnsi="Times New Roman" w:cs="Times New Roman"/>
          <w:i/>
          <w:sz w:val="18"/>
          <w:szCs w:val="18"/>
        </w:rPr>
        <w:t>El margen de apreciación nacional en la interpretación del Convenio Europeo de Derechos Humanos</w:t>
      </w:r>
      <w:r w:rsidRPr="008368CD">
        <w:rPr>
          <w:rFonts w:ascii="Times New Roman" w:hAnsi="Times New Roman" w:cs="Times New Roman"/>
          <w:sz w:val="18"/>
          <w:szCs w:val="18"/>
        </w:rPr>
        <w:t xml:space="preserve">: Soberanía e integración. Cuadernos Civitas. Madrid: Thompson Reuters, 2010, p. 31. </w:t>
      </w:r>
    </w:p>
  </w:footnote>
  <w:footnote w:id="17">
    <w:p w14:paraId="56F44532" w14:textId="5E211FB9"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SANTOLAYA, Pablo. La apertura de las constituciones a su interpretación conforme a los tratados internacionales. In FERRER MAC-GREGOR, Eduardo; HERRERA GARCÍA, Alfonso (coord.) </w:t>
      </w:r>
      <w:r w:rsidRPr="008368CD">
        <w:rPr>
          <w:rFonts w:ascii="Times New Roman" w:hAnsi="Times New Roman" w:cs="Times New Roman"/>
          <w:i/>
          <w:sz w:val="18"/>
          <w:szCs w:val="18"/>
        </w:rPr>
        <w:t>Diálogos Jurisprudenciales en Derechos Humanos</w:t>
      </w:r>
      <w:r w:rsidRPr="008368CD">
        <w:rPr>
          <w:rFonts w:ascii="Times New Roman" w:hAnsi="Times New Roman" w:cs="Times New Roman"/>
          <w:sz w:val="18"/>
          <w:szCs w:val="18"/>
        </w:rPr>
        <w:t>: entre Tribunales Constitucionales y Cortes Internacionales. Valencia: Tirant lo Blanch, 2013. p. 447-456, p. 448.</w:t>
      </w:r>
    </w:p>
  </w:footnote>
  <w:footnote w:id="18">
    <w:p w14:paraId="52F442F9" w14:textId="37CADF43"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SANTOLAYA, Pablo. La apertura de las constituciones a su interpretación conforme a los tratados internacionales. In FERRER MAC-GREGOR, Eduardo; HERRERA GARCÍA, Alfonso (coord.) </w:t>
      </w:r>
      <w:r w:rsidRPr="008368CD">
        <w:rPr>
          <w:rFonts w:ascii="Times New Roman" w:hAnsi="Times New Roman" w:cs="Times New Roman"/>
          <w:i/>
          <w:sz w:val="18"/>
          <w:szCs w:val="18"/>
        </w:rPr>
        <w:t>Diálogos Jurisprudenciales en Derechos Humanos</w:t>
      </w:r>
      <w:r w:rsidRPr="008368CD">
        <w:rPr>
          <w:rFonts w:ascii="Times New Roman" w:hAnsi="Times New Roman" w:cs="Times New Roman"/>
          <w:sz w:val="18"/>
          <w:szCs w:val="18"/>
        </w:rPr>
        <w:t>: entre Tribunales Constitucionales y Cortes Internacionales. Valencia: Tirant lo Blanch, 2013. p. 447-456, p. 449.</w:t>
      </w:r>
    </w:p>
  </w:footnote>
  <w:footnote w:id="19">
    <w:p w14:paraId="6806178F" w14:textId="3A30E531" w:rsidR="00742149" w:rsidRPr="008368CD" w:rsidRDefault="00742149" w:rsidP="00D71B63">
      <w:pPr>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O engajamento de cortes constitucionais com o direito internacional está na raiz do </w:t>
      </w:r>
      <w:r w:rsidRPr="008368CD">
        <w:rPr>
          <w:rFonts w:ascii="Times New Roman" w:hAnsi="Times New Roman" w:cs="Times New Roman"/>
          <w:i/>
          <w:sz w:val="18"/>
          <w:szCs w:val="18"/>
        </w:rPr>
        <w:t>Ius Constitutionale Commune</w:t>
      </w:r>
      <w:r w:rsidRPr="008368CD">
        <w:rPr>
          <w:rFonts w:ascii="Times New Roman" w:hAnsi="Times New Roman" w:cs="Times New Roman"/>
          <w:sz w:val="18"/>
          <w:szCs w:val="18"/>
        </w:rPr>
        <w:t>, processo que tem por pressuposto a maior independência judicial conquistada com a rede</w:t>
      </w:r>
      <w:r>
        <w:rPr>
          <w:rFonts w:ascii="Times New Roman" w:hAnsi="Times New Roman" w:cs="Times New Roman"/>
          <w:sz w:val="18"/>
          <w:szCs w:val="18"/>
        </w:rPr>
        <w:t xml:space="preserve">mocratização de muitos Estados, </w:t>
      </w:r>
      <w:r w:rsidRPr="008368CD">
        <w:rPr>
          <w:rFonts w:ascii="Times New Roman" w:hAnsi="Times New Roman" w:cs="Times New Roman"/>
          <w:sz w:val="18"/>
          <w:szCs w:val="18"/>
        </w:rPr>
        <w:t>em alguns casos comprometida com o advento de um populismo autoritário, como no caso da Venezuela,</w:t>
      </w:r>
      <w:r>
        <w:rPr>
          <w:rFonts w:ascii="Times New Roman" w:hAnsi="Times New Roman" w:cs="Times New Roman"/>
          <w:sz w:val="18"/>
          <w:szCs w:val="18"/>
        </w:rPr>
        <w:t xml:space="preserve"> em que a Sala Constitucional declarou inconstitucional sentença interamericana</w:t>
      </w:r>
      <w:r w:rsidRPr="008368CD">
        <w:rPr>
          <w:rFonts w:ascii="Times New Roman" w:hAnsi="Times New Roman" w:cs="Times New Roman"/>
          <w:sz w:val="18"/>
          <w:szCs w:val="18"/>
        </w:rPr>
        <w:t xml:space="preserve"> </w:t>
      </w:r>
      <w:r>
        <w:rPr>
          <w:rFonts w:ascii="Times New Roman" w:hAnsi="Times New Roman" w:cs="Times New Roman"/>
          <w:sz w:val="18"/>
          <w:szCs w:val="18"/>
        </w:rPr>
        <w:t>(CORTE INTERAMERICANA DE DERECHOS HUMANOS. Caso López Mendoza vs. Venezuela. Supervisión de Cumplimiento de Sentencia. Resolución de 20 de noviembre de 2015</w:t>
      </w:r>
      <w:r w:rsidRPr="008368CD">
        <w:rPr>
          <w:rFonts w:ascii="Times New Roman" w:hAnsi="Times New Roman" w:cs="Times New Roman"/>
          <w:sz w:val="18"/>
          <w:szCs w:val="18"/>
        </w:rPr>
        <w:t xml:space="preserve">). O uso do direito regional e dos procedentes da Corte Interamericana por cortes nacionais via </w:t>
      </w:r>
      <w:r>
        <w:rPr>
          <w:rFonts w:ascii="Times New Roman" w:hAnsi="Times New Roman" w:cs="Times New Roman"/>
          <w:sz w:val="18"/>
          <w:szCs w:val="18"/>
        </w:rPr>
        <w:t>de regra fortalece sua independê</w:t>
      </w:r>
      <w:r w:rsidRPr="008368CD">
        <w:rPr>
          <w:rFonts w:ascii="Times New Roman" w:hAnsi="Times New Roman" w:cs="Times New Roman"/>
          <w:sz w:val="18"/>
          <w:szCs w:val="18"/>
        </w:rPr>
        <w:t xml:space="preserve">ncia frente a pressões internas e permite a consolidação dos mecanismos de freios e contrapesos inerentes aos regimes democráticos. </w:t>
      </w:r>
      <w:r w:rsidRPr="002B0178">
        <w:rPr>
          <w:rFonts w:ascii="Times New Roman" w:hAnsi="Times New Roman" w:cs="Times New Roman"/>
          <w:sz w:val="18"/>
          <w:szCs w:val="18"/>
          <w:lang w:val="en-US"/>
        </w:rPr>
        <w:t>RODILES, Alejandro. The Law and Politics of the Pro Persona Principle in Latin America. In</w:t>
      </w:r>
      <w:r>
        <w:rPr>
          <w:rFonts w:ascii="Times New Roman" w:hAnsi="Times New Roman" w:cs="Times New Roman"/>
          <w:sz w:val="18"/>
          <w:szCs w:val="18"/>
          <w:lang w:val="en-US"/>
        </w:rPr>
        <w:t>:</w:t>
      </w:r>
      <w:r w:rsidRPr="002B0178">
        <w:rPr>
          <w:rFonts w:ascii="Times New Roman" w:hAnsi="Times New Roman" w:cs="Times New Roman"/>
          <w:sz w:val="18"/>
          <w:szCs w:val="18"/>
          <w:lang w:val="en-US"/>
        </w:rPr>
        <w:t xml:space="preserve">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 xml:space="preserve"> </w:t>
      </w:r>
      <w:r w:rsidRPr="008368CD">
        <w:rPr>
          <w:rFonts w:ascii="Times New Roman" w:hAnsi="Times New Roman" w:cs="Times New Roman"/>
          <w:sz w:val="18"/>
          <w:szCs w:val="18"/>
        </w:rPr>
        <w:t>Oxford: Oxford University Press, 2017, pp. 153-174, p. 154.</w:t>
      </w:r>
    </w:p>
  </w:footnote>
  <w:footnote w:id="20">
    <w:p w14:paraId="2DE2736B" w14:textId="4EE658D9"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SAÍZ ARNAÍZ, Alejandro. La interacción entre los tribunales que garantizan derechos humanos: razones para el diálogo. In ARNAIZ, Alejandro Saiz (Director); SOLANES MULLOR, Joan; ROA ROA, Jorge Ernesto. </w:t>
      </w:r>
      <w:r w:rsidRPr="008368CD">
        <w:rPr>
          <w:rFonts w:ascii="Times New Roman" w:hAnsi="Times New Roman" w:cs="Times New Roman"/>
          <w:i/>
          <w:sz w:val="18"/>
          <w:szCs w:val="18"/>
        </w:rPr>
        <w:t>Diálogos Judiciales en el Sistema Interamericano de Derechos Humanos</w:t>
      </w:r>
      <w:r w:rsidRPr="008368CD">
        <w:rPr>
          <w:rFonts w:ascii="Times New Roman" w:hAnsi="Times New Roman" w:cs="Times New Roman"/>
          <w:sz w:val="18"/>
          <w:szCs w:val="18"/>
        </w:rPr>
        <w:t>. Valência: Tirant lo Blanch, 2017. p. 29-43, p. 36.</w:t>
      </w:r>
    </w:p>
  </w:footnote>
  <w:footnote w:id="21">
    <w:p w14:paraId="77E1A916" w14:textId="75EB52C6"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Tal prática se realiza tanto através do controle de convencionalidade do direito doméstico praticado nos casos contenciosos julgados pela Corte, quanto das opiniões consultivas, competências decorrentes do disposto nos artigos 2</w:t>
      </w:r>
      <w:r w:rsidRPr="008368CD">
        <w:rPr>
          <w:rFonts w:ascii="Times New Roman" w:hAnsi="Times New Roman" w:cs="Times New Roman"/>
          <w:sz w:val="18"/>
          <w:szCs w:val="18"/>
          <w:vertAlign w:val="superscript"/>
        </w:rPr>
        <w:t>o</w:t>
      </w:r>
      <w:r w:rsidRPr="008368CD">
        <w:rPr>
          <w:rFonts w:ascii="Times New Roman" w:hAnsi="Times New Roman" w:cs="Times New Roman"/>
          <w:sz w:val="18"/>
          <w:szCs w:val="18"/>
        </w:rPr>
        <w:t xml:space="preserve">, 62, 67 e 68 da Convenção Americana sobre Direitos Humanos. </w:t>
      </w:r>
    </w:p>
  </w:footnote>
  <w:footnote w:id="22">
    <w:p w14:paraId="0D40313D" w14:textId="5FD35CE1"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w:t>
      </w:r>
      <w:r w:rsidRPr="00466DF9">
        <w:rPr>
          <w:rFonts w:ascii="Times New Roman" w:hAnsi="Times New Roman" w:cs="Times New Roman"/>
          <w:i/>
          <w:sz w:val="18"/>
          <w:szCs w:val="18"/>
          <w:lang w:val="en-US"/>
        </w:rPr>
        <w:t>Ius Constitutionale Commune en América Latina: A Regional Approach to Transformative Constitutionalism. In von BOGDANDY, Armin</w:t>
      </w:r>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proofErr w:type="gramStart"/>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w:t>
      </w:r>
      <w:proofErr w:type="gramEnd"/>
      <w:r w:rsidRPr="002B0178">
        <w:rPr>
          <w:rFonts w:ascii="Times New Roman" w:hAnsi="Times New Roman" w:cs="Times New Roman"/>
          <w:sz w:val="18"/>
          <w:szCs w:val="18"/>
          <w:lang w:val="en-US"/>
        </w:rPr>
        <w:t xml:space="preserve"> Oxford: Oxford University Press, 2017. p. 3-23, p. 7.</w:t>
      </w:r>
    </w:p>
  </w:footnote>
  <w:footnote w:id="23">
    <w:p w14:paraId="2FC89ECD" w14:textId="21F47A19"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Importa</w:t>
      </w:r>
      <w:r>
        <w:rPr>
          <w:rFonts w:ascii="Times New Roman" w:hAnsi="Times New Roman" w:cs="Times New Roman"/>
          <w:sz w:val="18"/>
          <w:szCs w:val="18"/>
        </w:rPr>
        <w:t>nte salientar a interdependência</w:t>
      </w:r>
      <w:r w:rsidRPr="008368CD">
        <w:rPr>
          <w:rFonts w:ascii="Times New Roman" w:hAnsi="Times New Roman" w:cs="Times New Roman"/>
          <w:sz w:val="18"/>
          <w:szCs w:val="18"/>
        </w:rPr>
        <w:t xml:space="preserve"> dos elementos social, econômico e ambiental para se pensar o desenvolvimento. FOLLONI, André. A complexidade ideológica, jurídica e política do desenvolvimento sustentável e a necessidade de compreensão interdisciplinar do problema. </w:t>
      </w:r>
      <w:r w:rsidRPr="008368CD">
        <w:rPr>
          <w:rFonts w:ascii="Times New Roman" w:hAnsi="Times New Roman" w:cs="Times New Roman"/>
          <w:i/>
          <w:sz w:val="18"/>
          <w:szCs w:val="18"/>
        </w:rPr>
        <w:t>Revista Direitos Humanos Fundamentais</w:t>
      </w:r>
      <w:r w:rsidRPr="008368CD">
        <w:rPr>
          <w:rFonts w:ascii="Times New Roman" w:hAnsi="Times New Roman" w:cs="Times New Roman"/>
          <w:sz w:val="18"/>
          <w:szCs w:val="18"/>
        </w:rPr>
        <w:t>. Osasco, ano 14, n. 1, p. 63-91, jan-jun/2014.</w:t>
      </w:r>
    </w:p>
  </w:footnote>
  <w:footnote w:id="24">
    <w:p w14:paraId="5B603D00" w14:textId="53C5C228"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w:t>
      </w:r>
      <w:r w:rsidRPr="00466DF9">
        <w:rPr>
          <w:rFonts w:ascii="Times New Roman" w:hAnsi="Times New Roman" w:cs="Times New Roman"/>
          <w:i/>
          <w:sz w:val="18"/>
          <w:szCs w:val="18"/>
          <w:lang w:val="en-US"/>
        </w:rPr>
        <w:t>Ius Constitutionale Commune</w:t>
      </w:r>
      <w:r w:rsidRPr="002B0178">
        <w:rPr>
          <w:rFonts w:ascii="Times New Roman" w:hAnsi="Times New Roman" w:cs="Times New Roman"/>
          <w:sz w:val="18"/>
          <w:szCs w:val="18"/>
          <w:lang w:val="en-US"/>
        </w:rPr>
        <w:t xml:space="preserve"> en América Latina: A Regional Approach to Transformative Constitutionalism.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proofErr w:type="gramStart"/>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w:t>
      </w:r>
      <w:proofErr w:type="gramEnd"/>
      <w:r w:rsidRPr="002B0178">
        <w:rPr>
          <w:rFonts w:ascii="Times New Roman" w:hAnsi="Times New Roman" w:cs="Times New Roman"/>
          <w:sz w:val="18"/>
          <w:szCs w:val="18"/>
          <w:lang w:val="en-US"/>
        </w:rPr>
        <w:t xml:space="preserve"> Oxford: Oxford University Press, 2017. p. 3-23, p. 14.</w:t>
      </w:r>
    </w:p>
  </w:footnote>
  <w:footnote w:id="25">
    <w:p w14:paraId="7817D024" w14:textId="64B659B6"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Von BOGDANDY, Armin. </w:t>
      </w:r>
      <w:r w:rsidRPr="00466DF9">
        <w:rPr>
          <w:rFonts w:ascii="Times New Roman" w:hAnsi="Times New Roman" w:cs="Times New Roman"/>
          <w:i/>
          <w:sz w:val="18"/>
          <w:szCs w:val="18"/>
          <w:lang w:val="en-US"/>
        </w:rPr>
        <w:t>Ius Constitutionale Commune</w:t>
      </w:r>
      <w:r w:rsidRPr="002B0178">
        <w:rPr>
          <w:rFonts w:ascii="Times New Roman" w:hAnsi="Times New Roman" w:cs="Times New Roman"/>
          <w:sz w:val="18"/>
          <w:szCs w:val="18"/>
          <w:lang w:val="en-US"/>
        </w:rPr>
        <w:t xml:space="preserve"> en América Latina: observations on Transformative Constitutionalism.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proofErr w:type="gramStart"/>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w:t>
      </w:r>
      <w:proofErr w:type="gramEnd"/>
      <w:r w:rsidRPr="002B0178">
        <w:rPr>
          <w:rFonts w:ascii="Times New Roman" w:hAnsi="Times New Roman" w:cs="Times New Roman"/>
          <w:sz w:val="18"/>
          <w:szCs w:val="18"/>
          <w:lang w:val="en-US"/>
        </w:rPr>
        <w:t xml:space="preserve"> Oxford: Oxford University Press, 2017. p. 27-48, p. 33-34.</w:t>
      </w:r>
    </w:p>
  </w:footnote>
  <w:footnote w:id="26">
    <w:p w14:paraId="56AC452A" w14:textId="599AC353"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w:t>
      </w:r>
      <w:r w:rsidRPr="00466DF9">
        <w:rPr>
          <w:rFonts w:ascii="Times New Roman" w:hAnsi="Times New Roman" w:cs="Times New Roman"/>
          <w:i/>
          <w:sz w:val="18"/>
          <w:szCs w:val="18"/>
          <w:lang w:val="en-US"/>
        </w:rPr>
        <w:t>Ius Constitutionale Commune</w:t>
      </w:r>
      <w:r w:rsidRPr="002B0178">
        <w:rPr>
          <w:rFonts w:ascii="Times New Roman" w:hAnsi="Times New Roman" w:cs="Times New Roman"/>
          <w:sz w:val="18"/>
          <w:szCs w:val="18"/>
          <w:lang w:val="en-US"/>
        </w:rPr>
        <w:t xml:space="preserve"> en América Latina: A Regional Approach to Transformative Constitutionalism.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proofErr w:type="gramStart"/>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w:t>
      </w:r>
      <w:proofErr w:type="gramEnd"/>
      <w:r w:rsidRPr="002B0178">
        <w:rPr>
          <w:rFonts w:ascii="Times New Roman" w:hAnsi="Times New Roman" w:cs="Times New Roman"/>
          <w:sz w:val="18"/>
          <w:szCs w:val="18"/>
          <w:lang w:val="en-US"/>
        </w:rPr>
        <w:t xml:space="preserve"> Oxford: Oxford University Press, 2017. p. 3-23, p. 10; 19</w:t>
      </w:r>
    </w:p>
  </w:footnote>
  <w:footnote w:id="27">
    <w:p w14:paraId="37A7B4F5" w14:textId="2144396C"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w:t>
      </w:r>
      <w:r w:rsidRPr="00466DF9">
        <w:rPr>
          <w:rFonts w:ascii="Times New Roman" w:hAnsi="Times New Roman" w:cs="Times New Roman"/>
          <w:i/>
          <w:sz w:val="18"/>
          <w:szCs w:val="18"/>
          <w:lang w:val="en-US"/>
        </w:rPr>
        <w:t>Ius Constitutionale Commune</w:t>
      </w:r>
      <w:r w:rsidRPr="002B0178">
        <w:rPr>
          <w:rFonts w:ascii="Times New Roman" w:hAnsi="Times New Roman" w:cs="Times New Roman"/>
          <w:sz w:val="18"/>
          <w:szCs w:val="18"/>
          <w:lang w:val="en-US"/>
        </w:rPr>
        <w:t xml:space="preserve"> en América Latina: A Regional Approach to Transformative Constitutionalism.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proofErr w:type="gramStart"/>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w:t>
      </w:r>
      <w:proofErr w:type="gramEnd"/>
      <w:r w:rsidRPr="002B0178">
        <w:rPr>
          <w:rFonts w:ascii="Times New Roman" w:hAnsi="Times New Roman" w:cs="Times New Roman"/>
          <w:sz w:val="18"/>
          <w:szCs w:val="18"/>
          <w:lang w:val="en-US"/>
        </w:rPr>
        <w:t xml:space="preserve"> Oxford: Oxford University Press, 2017. p. 3-23, p. 10-12.</w:t>
      </w:r>
    </w:p>
  </w:footnote>
  <w:footnote w:id="28">
    <w:p w14:paraId="69BD6AA0" w14:textId="10C6A3CE"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Como se verificou na Sentença T-025 de 2004, proferida p</w:t>
      </w:r>
      <w:r>
        <w:rPr>
          <w:rFonts w:ascii="Times New Roman" w:hAnsi="Times New Roman" w:cs="Times New Roman"/>
          <w:sz w:val="18"/>
          <w:szCs w:val="18"/>
        </w:rPr>
        <w:t>ela Corte Constitucional da Colô</w:t>
      </w:r>
      <w:r w:rsidRPr="008368CD">
        <w:rPr>
          <w:rFonts w:ascii="Times New Roman" w:hAnsi="Times New Roman" w:cs="Times New Roman"/>
          <w:sz w:val="18"/>
          <w:szCs w:val="18"/>
        </w:rPr>
        <w:t>mbia, para tratar da violação de inúmeros direitos humanos da população vítima do deslocamento forçado naquele país.</w:t>
      </w:r>
    </w:p>
  </w:footnote>
  <w:footnote w:id="29">
    <w:p w14:paraId="0A221313" w14:textId="41DAD2A9" w:rsidR="00742149" w:rsidRPr="002B0178" w:rsidRDefault="00742149" w:rsidP="00D71B63">
      <w:pPr>
        <w:widowControl w:val="0"/>
        <w:autoSpaceDE w:val="0"/>
        <w:autoSpaceDN w:val="0"/>
        <w:adjustRightInd w:val="0"/>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ARANGO, Rodolfo. </w:t>
      </w:r>
      <w:r w:rsidRPr="002B0178">
        <w:rPr>
          <w:rFonts w:ascii="Times New Roman" w:hAnsi="Times New Roman" w:cs="Times New Roman"/>
          <w:sz w:val="18"/>
          <w:szCs w:val="18"/>
        </w:rPr>
        <w:t xml:space="preserve">Fundamentos del </w:t>
      </w:r>
      <w:r w:rsidRPr="002B0178">
        <w:rPr>
          <w:rFonts w:ascii="Times New Roman" w:hAnsi="Times New Roman" w:cs="Times New Roman"/>
          <w:i/>
          <w:iCs/>
          <w:sz w:val="18"/>
          <w:szCs w:val="18"/>
        </w:rPr>
        <w:t>Ius Constitutionale Commune</w:t>
      </w:r>
      <w:r w:rsidRPr="002B0178">
        <w:rPr>
          <w:rFonts w:ascii="Times New Roman" w:hAnsi="Times New Roman" w:cs="Times New Roman"/>
          <w:iCs/>
          <w:sz w:val="18"/>
          <w:szCs w:val="18"/>
        </w:rPr>
        <w:t xml:space="preserve"> </w:t>
      </w:r>
      <w:r w:rsidRPr="002B0178">
        <w:rPr>
          <w:rFonts w:ascii="Times New Roman" w:hAnsi="Times New Roman" w:cs="Times New Roman"/>
          <w:sz w:val="18"/>
          <w:szCs w:val="18"/>
        </w:rPr>
        <w:t xml:space="preserve">en América Latina. In: von BOGDANDY, Armin; MORALES ANTONIAZZI, Mariela; FERRER MAC-GREGOR, Eduardo. </w:t>
      </w:r>
      <w:r w:rsidRPr="002B0178">
        <w:rPr>
          <w:rFonts w:ascii="Times New Roman" w:hAnsi="Times New Roman" w:cs="Times New Roman"/>
          <w:i/>
          <w:sz w:val="18"/>
          <w:szCs w:val="18"/>
        </w:rPr>
        <w:t>Ius Constitutionale Commune en América Latina</w:t>
      </w:r>
      <w:r w:rsidRPr="002B0178">
        <w:rPr>
          <w:rFonts w:ascii="Times New Roman" w:hAnsi="Times New Roman" w:cs="Times New Roman"/>
          <w:sz w:val="18"/>
          <w:szCs w:val="18"/>
        </w:rPr>
        <w:t>: textos básicos para su compreensión. México: Instituto de Estudios Constitucionales  del Estado de Querétaro, Max Planck Institute for Comparative Public Law and International Law,  2017. p. 179-192, p. 189.</w:t>
      </w:r>
    </w:p>
  </w:footnote>
  <w:footnote w:id="30">
    <w:p w14:paraId="08ECFB15" w14:textId="69464808"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PIOVES</w:t>
      </w:r>
      <w:r>
        <w:rPr>
          <w:rFonts w:ascii="Times New Roman" w:hAnsi="Times New Roman" w:cs="Times New Roman"/>
          <w:sz w:val="18"/>
          <w:szCs w:val="18"/>
          <w:lang w:val="en-US"/>
        </w:rPr>
        <w:t>AN, Flávia</w:t>
      </w:r>
      <w:r w:rsidRPr="003A2CBC">
        <w:rPr>
          <w:rFonts w:ascii="Times New Roman" w:hAnsi="Times New Roman" w:cs="Times New Roman"/>
          <w:i/>
          <w:sz w:val="18"/>
          <w:szCs w:val="18"/>
          <w:lang w:val="en-US"/>
        </w:rPr>
        <w:t>. Ius Constitutionale Commune</w:t>
      </w:r>
      <w:r w:rsidRPr="002B0178">
        <w:rPr>
          <w:rFonts w:ascii="Times New Roman" w:hAnsi="Times New Roman" w:cs="Times New Roman"/>
          <w:sz w:val="18"/>
          <w:szCs w:val="18"/>
          <w:lang w:val="en-US"/>
        </w:rPr>
        <w:t xml:space="preserve"> en América Latina: Context, Challenges, and Perspectives.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 xml:space="preserve">. Oxford: Oxford University Press, 2017, pp. 49-65, </w:t>
      </w:r>
      <w:proofErr w:type="gramStart"/>
      <w:r w:rsidRPr="002B0178">
        <w:rPr>
          <w:rFonts w:ascii="Times New Roman" w:hAnsi="Times New Roman" w:cs="Times New Roman"/>
          <w:sz w:val="18"/>
          <w:szCs w:val="18"/>
          <w:lang w:val="en-US"/>
        </w:rPr>
        <w:t>p</w:t>
      </w:r>
      <w:proofErr w:type="gramEnd"/>
      <w:r w:rsidRPr="002B0178">
        <w:rPr>
          <w:rFonts w:ascii="Times New Roman" w:hAnsi="Times New Roman" w:cs="Times New Roman"/>
          <w:sz w:val="18"/>
          <w:szCs w:val="18"/>
          <w:lang w:val="en-US"/>
        </w:rPr>
        <w:t>. 52.</w:t>
      </w:r>
    </w:p>
  </w:footnote>
  <w:footnote w:id="31">
    <w:p w14:paraId="02391CA5" w14:textId="11CBB25C"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BREWER-CARÍAS, Allan. El ilegítimo ‘control de constitucionalidad’ de las sentencias de la Corte Interamericana de Derechos Humanos por parte la sala constitucional del tribunal supremo de justicia de Venezuela: El caso Leopoldo López vs. Venezuela, septiembre 2011. </w:t>
      </w:r>
      <w:r w:rsidRPr="008368CD">
        <w:rPr>
          <w:rFonts w:ascii="Times New Roman" w:hAnsi="Times New Roman" w:cs="Times New Roman"/>
          <w:i/>
          <w:sz w:val="18"/>
          <w:szCs w:val="18"/>
        </w:rPr>
        <w:t>Estudios Constitucionales</w:t>
      </w:r>
      <w:r w:rsidRPr="008368CD">
        <w:rPr>
          <w:rFonts w:ascii="Times New Roman" w:hAnsi="Times New Roman" w:cs="Times New Roman"/>
          <w:sz w:val="18"/>
          <w:szCs w:val="18"/>
        </w:rPr>
        <w:t>, Talca, Año 10, n 2, p. 575-608, 2012.</w:t>
      </w:r>
    </w:p>
  </w:footnote>
  <w:footnote w:id="32">
    <w:p w14:paraId="11610D6F" w14:textId="4E863BA8"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Von BOGDANDY, Armin; et. al. </w:t>
      </w:r>
      <w:r w:rsidRPr="003A2CBC">
        <w:rPr>
          <w:rFonts w:ascii="Times New Roman" w:hAnsi="Times New Roman" w:cs="Times New Roman"/>
          <w:i/>
          <w:sz w:val="18"/>
          <w:szCs w:val="18"/>
          <w:lang w:val="en-US"/>
        </w:rPr>
        <w:t>Ius Constitutionale Commune</w:t>
      </w:r>
      <w:r w:rsidRPr="002B0178">
        <w:rPr>
          <w:rFonts w:ascii="Times New Roman" w:hAnsi="Times New Roman" w:cs="Times New Roman"/>
          <w:sz w:val="18"/>
          <w:szCs w:val="18"/>
          <w:lang w:val="en-US"/>
        </w:rPr>
        <w:t xml:space="preserve"> en América Latina: A Regional Approach to Transformative Constitutionalism.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proofErr w:type="gramStart"/>
      <w:r w:rsidRPr="002B0178">
        <w:rPr>
          <w:rFonts w:ascii="Times New Roman" w:hAnsi="Times New Roman" w:cs="Times New Roman"/>
          <w:i/>
          <w:sz w:val="18"/>
          <w:szCs w:val="18"/>
          <w:lang w:val="en-US"/>
        </w:rPr>
        <w:t>Transformative Constitutionalism in Latin America.</w:t>
      </w:r>
      <w:proofErr w:type="gramEnd"/>
      <w:r w:rsidRPr="002B0178">
        <w:rPr>
          <w:rFonts w:ascii="Times New Roman" w:hAnsi="Times New Roman" w:cs="Times New Roman"/>
          <w:sz w:val="18"/>
          <w:szCs w:val="18"/>
          <w:lang w:val="en-US"/>
        </w:rPr>
        <w:t xml:space="preserve"> Oxford: Oxford University Press, 2017. p. 3-23, p. 10.</w:t>
      </w:r>
    </w:p>
  </w:footnote>
  <w:footnote w:id="33">
    <w:p w14:paraId="2D74F7EA" w14:textId="0EAB6A69"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Vide a posição conservadora adotada pelo Supremo Tribunal Federal brasileiro no julgamento da ADPF n. 153, que declarou a constitucionalidade da Lei de Anistia. KOZICKI, Katya; LORENZETTO, Bruno Menezes. Entre o passado e o futuro: a não acabada transição no Brasil. In: PIOVESAN, Flávia; SOARES, Inês Virgínia Prado (coord.). </w:t>
      </w:r>
      <w:r w:rsidRPr="008368CD">
        <w:rPr>
          <w:rFonts w:ascii="Times New Roman" w:hAnsi="Times New Roman" w:cs="Times New Roman"/>
          <w:i/>
          <w:sz w:val="18"/>
          <w:szCs w:val="18"/>
        </w:rPr>
        <w:t>Direitos Humanos Atual</w:t>
      </w:r>
      <w:r w:rsidRPr="008368CD">
        <w:rPr>
          <w:rFonts w:ascii="Times New Roman" w:hAnsi="Times New Roman" w:cs="Times New Roman"/>
          <w:sz w:val="18"/>
          <w:szCs w:val="18"/>
        </w:rPr>
        <w:t>. Rio de Janeiro: Elsevier, 2014. p. 128-143.</w:t>
      </w:r>
    </w:p>
  </w:footnote>
  <w:footnote w:id="34">
    <w:p w14:paraId="754AFB11" w14:textId="54C572B1" w:rsidR="00742149" w:rsidRPr="005C5F20" w:rsidRDefault="00742149" w:rsidP="00D71B63">
      <w:pPr>
        <w:pStyle w:val="FootnoteText"/>
        <w:jc w:val="both"/>
        <w:rPr>
          <w:rFonts w:ascii="Times New Roman" w:hAnsi="Times New Roman" w:cs="Times New Roman"/>
          <w:sz w:val="18"/>
          <w:szCs w:val="18"/>
        </w:rPr>
      </w:pPr>
      <w:r w:rsidRPr="005C5F20">
        <w:rPr>
          <w:rStyle w:val="FootnoteReference"/>
          <w:rFonts w:ascii="Times New Roman" w:hAnsi="Times New Roman" w:cs="Times New Roman"/>
          <w:sz w:val="18"/>
          <w:szCs w:val="18"/>
        </w:rPr>
        <w:footnoteRef/>
      </w:r>
      <w:r w:rsidRPr="005C5F20">
        <w:rPr>
          <w:rFonts w:ascii="Times New Roman" w:hAnsi="Times New Roman" w:cs="Times New Roman"/>
          <w:sz w:val="18"/>
          <w:szCs w:val="18"/>
        </w:rPr>
        <w:t xml:space="preserve"> </w:t>
      </w:r>
      <w:r>
        <w:rPr>
          <w:rFonts w:ascii="Times New Roman" w:hAnsi="Times New Roman" w:cs="Times New Roman"/>
          <w:sz w:val="18"/>
          <w:szCs w:val="18"/>
        </w:rPr>
        <w:t xml:space="preserve">   </w:t>
      </w:r>
      <w:r w:rsidRPr="005C5F20">
        <w:rPr>
          <w:rFonts w:ascii="Times New Roman" w:hAnsi="Times New Roman" w:cs="Times New Roman"/>
          <w:sz w:val="18"/>
          <w:szCs w:val="18"/>
        </w:rPr>
        <w:t xml:space="preserve">COLOMBIA. Corte Constitucional. </w:t>
      </w:r>
      <w:r w:rsidRPr="005C5F20">
        <w:rPr>
          <w:rFonts w:ascii="Times New Roman" w:hAnsi="Times New Roman" w:cs="Times New Roman"/>
          <w:i/>
          <w:sz w:val="18"/>
          <w:szCs w:val="18"/>
        </w:rPr>
        <w:t>Sentença T-025/04</w:t>
      </w:r>
      <w:r w:rsidRPr="005C5F20">
        <w:rPr>
          <w:rFonts w:ascii="Times New Roman" w:hAnsi="Times New Roman" w:cs="Times New Roman"/>
          <w:sz w:val="18"/>
          <w:szCs w:val="18"/>
        </w:rPr>
        <w:t>. Relator Manuel José Cepeda Espinosa. Bogota, 17 jun. 2004.</w:t>
      </w:r>
    </w:p>
  </w:footnote>
  <w:footnote w:id="35">
    <w:p w14:paraId="74FC2396" w14:textId="33FB8B4D" w:rsidR="00742149" w:rsidRPr="005C5F20" w:rsidRDefault="00742149" w:rsidP="00D71B63">
      <w:pPr>
        <w:pStyle w:val="FootnoteText"/>
        <w:jc w:val="both"/>
        <w:rPr>
          <w:rFonts w:ascii="Times New Roman" w:hAnsi="Times New Roman" w:cs="Times New Roman"/>
          <w:sz w:val="18"/>
          <w:szCs w:val="18"/>
        </w:rPr>
      </w:pPr>
      <w:r w:rsidRPr="005C5F20">
        <w:rPr>
          <w:rStyle w:val="FootnoteReference"/>
          <w:rFonts w:ascii="Times New Roman" w:hAnsi="Times New Roman" w:cs="Times New Roman"/>
          <w:sz w:val="18"/>
          <w:szCs w:val="18"/>
        </w:rPr>
        <w:footnoteRef/>
      </w:r>
      <w:r w:rsidRPr="005C5F20">
        <w:rPr>
          <w:rFonts w:ascii="Times New Roman" w:hAnsi="Times New Roman" w:cs="Times New Roman"/>
          <w:sz w:val="18"/>
          <w:szCs w:val="18"/>
        </w:rPr>
        <w:t xml:space="preserve"> </w:t>
      </w:r>
      <w:r>
        <w:rPr>
          <w:rFonts w:ascii="Times New Roman" w:hAnsi="Times New Roman" w:cs="Times New Roman"/>
          <w:sz w:val="18"/>
          <w:szCs w:val="18"/>
        </w:rPr>
        <w:t xml:space="preserve">   </w:t>
      </w:r>
      <w:r w:rsidRPr="005C5F20">
        <w:rPr>
          <w:rFonts w:ascii="Times New Roman" w:hAnsi="Times New Roman" w:cs="Times New Roman"/>
          <w:sz w:val="18"/>
          <w:szCs w:val="18"/>
        </w:rPr>
        <w:t xml:space="preserve">COLOMBIA. Corte Constitucional. </w:t>
      </w:r>
      <w:r w:rsidRPr="005C5F20">
        <w:rPr>
          <w:rFonts w:ascii="Times New Roman" w:hAnsi="Times New Roman" w:cs="Times New Roman"/>
          <w:i/>
          <w:sz w:val="18"/>
          <w:szCs w:val="18"/>
        </w:rPr>
        <w:t>Sentença</w:t>
      </w:r>
      <w:r>
        <w:rPr>
          <w:rFonts w:ascii="Times New Roman" w:hAnsi="Times New Roman" w:cs="Times New Roman"/>
          <w:i/>
          <w:sz w:val="18"/>
          <w:szCs w:val="18"/>
        </w:rPr>
        <w:t xml:space="preserve"> C-141/</w:t>
      </w:r>
      <w:r w:rsidRPr="005C5F20">
        <w:rPr>
          <w:rFonts w:ascii="Times New Roman" w:hAnsi="Times New Roman" w:cs="Times New Roman"/>
          <w:i/>
          <w:sz w:val="18"/>
          <w:szCs w:val="18"/>
        </w:rPr>
        <w:t>10</w:t>
      </w:r>
      <w:r w:rsidRPr="005C5F20">
        <w:rPr>
          <w:rFonts w:ascii="Times New Roman" w:hAnsi="Times New Roman" w:cs="Times New Roman"/>
          <w:sz w:val="18"/>
          <w:szCs w:val="18"/>
        </w:rPr>
        <w:t>. Relator Humberto Antonio Sierra Porto. Bogota, 26 feb. 2010.</w:t>
      </w:r>
    </w:p>
  </w:footnote>
  <w:footnote w:id="36">
    <w:p w14:paraId="51C74AA5" w14:textId="61D78734" w:rsidR="00742149" w:rsidRPr="006C21BF" w:rsidRDefault="00742149" w:rsidP="00D71B63">
      <w:pPr>
        <w:pStyle w:val="FootnoteText"/>
        <w:jc w:val="both"/>
        <w:rPr>
          <w:rFonts w:ascii="Times New Roman" w:hAnsi="Times New Roman" w:cs="Times New Roman"/>
          <w:sz w:val="18"/>
          <w:szCs w:val="18"/>
        </w:rPr>
      </w:pPr>
      <w:r w:rsidRPr="006C21BF">
        <w:rPr>
          <w:rStyle w:val="FootnoteReference"/>
          <w:rFonts w:ascii="Times New Roman" w:hAnsi="Times New Roman" w:cs="Times New Roman"/>
          <w:sz w:val="18"/>
          <w:szCs w:val="18"/>
        </w:rPr>
        <w:footnoteRef/>
      </w:r>
      <w:r w:rsidRPr="006C21BF">
        <w:rPr>
          <w:rFonts w:ascii="Times New Roman" w:hAnsi="Times New Roman" w:cs="Times New Roman"/>
          <w:sz w:val="18"/>
          <w:szCs w:val="18"/>
        </w:rPr>
        <w:t xml:space="preserve"> </w:t>
      </w:r>
      <w:r>
        <w:rPr>
          <w:rFonts w:ascii="Times New Roman" w:hAnsi="Times New Roman" w:cs="Times New Roman"/>
          <w:sz w:val="18"/>
          <w:szCs w:val="18"/>
        </w:rPr>
        <w:t xml:space="preserve">  </w:t>
      </w:r>
      <w:r w:rsidRPr="006C21BF">
        <w:rPr>
          <w:rFonts w:ascii="Times New Roman" w:hAnsi="Times New Roman" w:cs="Times New Roman"/>
          <w:sz w:val="18"/>
          <w:szCs w:val="18"/>
        </w:rPr>
        <w:t>BRASIL. Supremo Tribunal Federal. Arguição de Descumprimento de Preceito Fundamental n. 132-RJ. Re</w:t>
      </w:r>
      <w:r>
        <w:rPr>
          <w:rFonts w:ascii="Times New Roman" w:hAnsi="Times New Roman" w:cs="Times New Roman"/>
          <w:sz w:val="18"/>
          <w:szCs w:val="18"/>
        </w:rPr>
        <w:t>lator Ayres Britto. Brasília, DJ</w:t>
      </w:r>
      <w:r w:rsidRPr="006C21BF">
        <w:rPr>
          <w:rFonts w:ascii="Times New Roman" w:hAnsi="Times New Roman" w:cs="Times New Roman"/>
          <w:sz w:val="18"/>
          <w:szCs w:val="18"/>
        </w:rPr>
        <w:t>e 14 out. 2011.</w:t>
      </w:r>
    </w:p>
  </w:footnote>
  <w:footnote w:id="37">
    <w:p w14:paraId="3C1AB0C0" w14:textId="3F55B69A" w:rsidR="00742149" w:rsidRPr="002B0178" w:rsidRDefault="00742149" w:rsidP="00D71B63">
      <w:pPr>
        <w:pStyle w:val="FootnoteText"/>
        <w:jc w:val="both"/>
        <w:rPr>
          <w:rFonts w:ascii="Times New Roman" w:hAnsi="Times New Roman" w:cs="Times New Roman"/>
          <w:sz w:val="18"/>
          <w:szCs w:val="18"/>
          <w:lang w:val="en-US"/>
        </w:rPr>
      </w:pPr>
      <w:r w:rsidRPr="006C21BF">
        <w:rPr>
          <w:rStyle w:val="FootnoteReference"/>
          <w:rFonts w:ascii="Times New Roman" w:hAnsi="Times New Roman" w:cs="Times New Roman"/>
          <w:sz w:val="18"/>
          <w:szCs w:val="18"/>
        </w:rPr>
        <w:footnoteRef/>
      </w:r>
      <w:r w:rsidRPr="006C21BF">
        <w:rPr>
          <w:rFonts w:ascii="Times New Roman" w:hAnsi="Times New Roman" w:cs="Times New Roman"/>
          <w:sz w:val="18"/>
          <w:szCs w:val="18"/>
        </w:rPr>
        <w:t xml:space="preserve"> </w:t>
      </w:r>
      <w:r>
        <w:rPr>
          <w:rFonts w:ascii="Times New Roman" w:hAnsi="Times New Roman" w:cs="Times New Roman"/>
          <w:sz w:val="18"/>
          <w:szCs w:val="18"/>
        </w:rPr>
        <w:t xml:space="preserve">   </w:t>
      </w:r>
      <w:r w:rsidRPr="006C21BF">
        <w:rPr>
          <w:rFonts w:ascii="Times New Roman" w:hAnsi="Times New Roman" w:cs="Times New Roman"/>
          <w:sz w:val="18"/>
          <w:szCs w:val="18"/>
        </w:rPr>
        <w:t xml:space="preserve">BRASIL. Supremo Tribunal Federal. </w:t>
      </w:r>
      <w:r w:rsidRPr="003A2CBC">
        <w:rPr>
          <w:rFonts w:ascii="Times New Roman" w:hAnsi="Times New Roman" w:cs="Times New Roman"/>
          <w:i/>
          <w:sz w:val="18"/>
          <w:szCs w:val="18"/>
        </w:rPr>
        <w:t>PET 338/2009 - RR</w:t>
      </w:r>
      <w:r w:rsidRPr="006C21BF">
        <w:rPr>
          <w:rFonts w:ascii="Times New Roman" w:hAnsi="Times New Roman" w:cs="Times New Roman"/>
          <w:sz w:val="18"/>
          <w:szCs w:val="18"/>
        </w:rPr>
        <w:t xml:space="preserve">. Brasília Relator Marco Aurélio. </w:t>
      </w:r>
      <w:proofErr w:type="gramStart"/>
      <w:r w:rsidRPr="002B0178">
        <w:rPr>
          <w:rFonts w:ascii="Times New Roman" w:hAnsi="Times New Roman" w:cs="Times New Roman"/>
          <w:sz w:val="18"/>
          <w:szCs w:val="18"/>
          <w:lang w:val="en-US"/>
        </w:rPr>
        <w:t>Brasília, Dje 25 set.</w:t>
      </w:r>
      <w:proofErr w:type="gramEnd"/>
      <w:r w:rsidRPr="002B0178">
        <w:rPr>
          <w:rFonts w:ascii="Times New Roman" w:hAnsi="Times New Roman" w:cs="Times New Roman"/>
          <w:sz w:val="18"/>
          <w:szCs w:val="18"/>
          <w:lang w:val="en-US"/>
        </w:rPr>
        <w:t xml:space="preserve"> 2009.</w:t>
      </w:r>
    </w:p>
  </w:footnote>
  <w:footnote w:id="38">
    <w:p w14:paraId="3CD7EDC4" w14:textId="19911E5D" w:rsidR="00742149" w:rsidRPr="000E24A5" w:rsidRDefault="00742149" w:rsidP="00D71B63">
      <w:pPr>
        <w:pStyle w:val="FootnoteText"/>
        <w:jc w:val="both"/>
        <w:rPr>
          <w:rFonts w:ascii="Times New Roman" w:hAnsi="Times New Roman" w:cs="Times New Roman"/>
          <w:b/>
          <w:sz w:val="18"/>
          <w:szCs w:val="18"/>
        </w:rPr>
      </w:pPr>
      <w:r w:rsidRPr="000E24A5">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KAUFMAN, Andrew L. Democracy and Distrust. By John Harg Ely. </w:t>
      </w:r>
      <w:r w:rsidRPr="000E24A5">
        <w:rPr>
          <w:rFonts w:ascii="Times New Roman" w:hAnsi="Times New Roman" w:cs="Times New Roman"/>
          <w:sz w:val="18"/>
          <w:szCs w:val="18"/>
        </w:rPr>
        <w:t xml:space="preserve">Hofstra Law Review, v. 9, issue 3, article 6, 1981. Disponível em: </w:t>
      </w:r>
      <w:hyperlink r:id="rId1" w:history="1">
        <w:r w:rsidRPr="000E24A5">
          <w:rPr>
            <w:rStyle w:val="Hyperlink"/>
            <w:rFonts w:ascii="Times New Roman" w:hAnsi="Times New Roman" w:cs="Times New Roman"/>
            <w:sz w:val="18"/>
            <w:szCs w:val="18"/>
          </w:rPr>
          <w:t>https://scholarlycommons.law.hofstra.edu/cgi/viewcontent.cgi?article=1399&amp;context=hlr</w:t>
        </w:r>
      </w:hyperlink>
      <w:r w:rsidRPr="000E24A5">
        <w:rPr>
          <w:rFonts w:ascii="Times New Roman" w:hAnsi="Times New Roman" w:cs="Times New Roman"/>
          <w:sz w:val="18"/>
          <w:szCs w:val="18"/>
        </w:rPr>
        <w:t>. Acesso em: 13 abr. 2019.</w:t>
      </w:r>
    </w:p>
  </w:footnote>
  <w:footnote w:id="39">
    <w:p w14:paraId="3A831544" w14:textId="6F46A009"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SALAZAR UGARTE, Pedro.</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The Struggle for Rights.</w:t>
      </w:r>
      <w:proofErr w:type="gramEnd"/>
      <w:r w:rsidRPr="002B0178">
        <w:rPr>
          <w:rFonts w:ascii="Times New Roman" w:hAnsi="Times New Roman" w:cs="Times New Roman"/>
          <w:sz w:val="18"/>
          <w:szCs w:val="18"/>
          <w:lang w:val="en-US"/>
        </w:rPr>
        <w:t xml:space="preserve">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 Oxford: Oxford University Press, 2017. p. 67-82, p. 70.</w:t>
      </w:r>
    </w:p>
  </w:footnote>
  <w:footnote w:id="40">
    <w:p w14:paraId="2C800582" w14:textId="037679B3"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Von BOGDANDY, Armin. </w:t>
      </w:r>
      <w:r w:rsidRPr="00FF5D4F">
        <w:rPr>
          <w:rFonts w:ascii="Times New Roman" w:hAnsi="Times New Roman" w:cs="Times New Roman"/>
          <w:i/>
          <w:sz w:val="18"/>
          <w:szCs w:val="18"/>
          <w:lang w:val="en-US"/>
        </w:rPr>
        <w:t>Ius Constitutionale Commune</w:t>
      </w:r>
      <w:r w:rsidRPr="002B0178">
        <w:rPr>
          <w:rFonts w:ascii="Times New Roman" w:hAnsi="Times New Roman" w:cs="Times New Roman"/>
          <w:sz w:val="18"/>
          <w:szCs w:val="18"/>
          <w:lang w:val="en-US"/>
        </w:rPr>
        <w:t xml:space="preserve"> en América Latina: observations on Transformative Constitutionalism.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proofErr w:type="gramStart"/>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w:t>
      </w:r>
      <w:proofErr w:type="gramEnd"/>
      <w:r w:rsidRPr="002B0178">
        <w:rPr>
          <w:rFonts w:ascii="Times New Roman" w:hAnsi="Times New Roman" w:cs="Times New Roman"/>
          <w:sz w:val="18"/>
          <w:szCs w:val="18"/>
          <w:lang w:val="en-US"/>
        </w:rPr>
        <w:t xml:space="preserve"> </w:t>
      </w:r>
      <w:r w:rsidRPr="008368CD">
        <w:rPr>
          <w:rFonts w:ascii="Times New Roman" w:hAnsi="Times New Roman" w:cs="Times New Roman"/>
          <w:sz w:val="18"/>
          <w:szCs w:val="18"/>
        </w:rPr>
        <w:t>Oxford: Oxford University Press, 2017. p. 27-48, p. 35-36.</w:t>
      </w:r>
    </w:p>
  </w:footnote>
  <w:footnote w:id="41">
    <w:p w14:paraId="67F52D88" w14:textId="73278863"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B0178">
        <w:rPr>
          <w:rFonts w:ascii="Times New Roman" w:hAnsi="Times New Roman" w:cs="Times New Roman"/>
          <w:sz w:val="18"/>
          <w:szCs w:val="18"/>
        </w:rPr>
        <w:t xml:space="preserve">GARCÍA RAMIREZ, Sérgio. La “navegación americana” de los derechos humanos: hacia un </w:t>
      </w:r>
      <w:r w:rsidRPr="002B0178">
        <w:rPr>
          <w:rFonts w:ascii="Times New Roman" w:hAnsi="Times New Roman" w:cs="Times New Roman"/>
          <w:i/>
          <w:iCs/>
          <w:sz w:val="18"/>
          <w:szCs w:val="18"/>
        </w:rPr>
        <w:t>Ius Commune</w:t>
      </w:r>
      <w:r w:rsidRPr="002B0178">
        <w:rPr>
          <w:rFonts w:ascii="Times New Roman" w:hAnsi="Times New Roman" w:cs="Times New Roman"/>
          <w:iCs/>
          <w:sz w:val="18"/>
          <w:szCs w:val="18"/>
        </w:rPr>
        <w:t xml:space="preserve">. In von BOGDANDY, Armin; MORALES ANTONIAZZI, Mariela; FERRER MAC-GREGOR, Eduardo (coord.). </w:t>
      </w:r>
      <w:r w:rsidRPr="002B0178">
        <w:rPr>
          <w:rFonts w:ascii="Times New Roman" w:hAnsi="Times New Roman" w:cs="Times New Roman"/>
          <w:i/>
          <w:iCs/>
          <w:sz w:val="18"/>
          <w:szCs w:val="18"/>
        </w:rPr>
        <w:t>Ius Constitutionale Commune en América Latina</w:t>
      </w:r>
      <w:r w:rsidRPr="002B0178">
        <w:rPr>
          <w:rFonts w:ascii="Times New Roman" w:hAnsi="Times New Roman" w:cs="Times New Roman"/>
          <w:iCs/>
          <w:sz w:val="18"/>
          <w:szCs w:val="18"/>
        </w:rPr>
        <w:t xml:space="preserve">: textos básicos para su comprensión. México: </w:t>
      </w:r>
      <w:r w:rsidRPr="002B0178">
        <w:rPr>
          <w:rFonts w:ascii="Times New Roman" w:hAnsi="Times New Roman" w:cs="Times New Roman"/>
          <w:sz w:val="18"/>
          <w:szCs w:val="18"/>
        </w:rPr>
        <w:t>Instituto de Estudios Constitucionales del Estado de Querétaro , Max Planck Institute for Comparative Public Law and International Law, 2017. p. 57.</w:t>
      </w:r>
    </w:p>
  </w:footnote>
  <w:footnote w:id="42">
    <w:p w14:paraId="10FC51D2" w14:textId="4EA83F4A" w:rsidR="00742149" w:rsidRPr="002B0178" w:rsidRDefault="00742149" w:rsidP="00D71B63">
      <w:pPr>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B0178">
        <w:rPr>
          <w:rFonts w:ascii="Times New Roman" w:hAnsi="Times New Roman" w:cs="Times New Roman"/>
          <w:sz w:val="18"/>
          <w:szCs w:val="18"/>
        </w:rPr>
        <w:t xml:space="preserve">GARCÍA RAMIREZ, Sérgio. La “navegación americana” de los derechos humanos: hacia un </w:t>
      </w:r>
      <w:r w:rsidRPr="002B0178">
        <w:rPr>
          <w:rFonts w:ascii="Times New Roman" w:hAnsi="Times New Roman" w:cs="Times New Roman"/>
          <w:i/>
          <w:iCs/>
          <w:sz w:val="18"/>
          <w:szCs w:val="18"/>
        </w:rPr>
        <w:t>Ius Commune</w:t>
      </w:r>
      <w:r w:rsidRPr="002B0178">
        <w:rPr>
          <w:rFonts w:ascii="Times New Roman" w:hAnsi="Times New Roman" w:cs="Times New Roman"/>
          <w:iCs/>
          <w:sz w:val="18"/>
          <w:szCs w:val="18"/>
        </w:rPr>
        <w:t xml:space="preserve">. In von BOGDANDY, Armin; MORALES ANTONIAZZI, Mariela; FERRER MAC-GREGOR, Eduardo (coord.). </w:t>
      </w:r>
      <w:r w:rsidRPr="002B0178">
        <w:rPr>
          <w:rFonts w:ascii="Times New Roman" w:hAnsi="Times New Roman" w:cs="Times New Roman"/>
          <w:i/>
          <w:iCs/>
          <w:sz w:val="18"/>
          <w:szCs w:val="18"/>
        </w:rPr>
        <w:t>Ius Constitutionale Commune en América Latina</w:t>
      </w:r>
      <w:r w:rsidRPr="002B0178">
        <w:rPr>
          <w:rFonts w:ascii="Times New Roman" w:hAnsi="Times New Roman" w:cs="Times New Roman"/>
          <w:iCs/>
          <w:sz w:val="18"/>
          <w:szCs w:val="18"/>
        </w:rPr>
        <w:t xml:space="preserve">: textos básicos para su comprensión. México: </w:t>
      </w:r>
      <w:r w:rsidRPr="002B0178">
        <w:rPr>
          <w:rFonts w:ascii="Times New Roman" w:hAnsi="Times New Roman" w:cs="Times New Roman"/>
          <w:sz w:val="18"/>
          <w:szCs w:val="18"/>
        </w:rPr>
        <w:t>Instituto de Estudios Constitucionales del Estado de Querétaro , Max Planck Institute for Comparative Public Law and International Law, 2017. p. 66.</w:t>
      </w:r>
    </w:p>
  </w:footnote>
  <w:footnote w:id="43">
    <w:p w14:paraId="4C46A0E1" w14:textId="070BC36E"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B0178">
        <w:rPr>
          <w:rFonts w:ascii="Times New Roman" w:hAnsi="Times New Roman" w:cs="Times New Roman"/>
          <w:sz w:val="18"/>
          <w:szCs w:val="18"/>
        </w:rPr>
        <w:t xml:space="preserve">OLANO GARCÍA, Hernán Alejandro.  El bloque de constitucionalidad en Colombia Estudios Constitucionales. </w:t>
      </w:r>
      <w:r w:rsidRPr="002B0178">
        <w:rPr>
          <w:rFonts w:ascii="Times New Roman" w:hAnsi="Times New Roman" w:cs="Times New Roman"/>
          <w:i/>
          <w:sz w:val="18"/>
          <w:szCs w:val="18"/>
        </w:rPr>
        <w:t>Estudios Constitucionales</w:t>
      </w:r>
      <w:r w:rsidRPr="002B0178">
        <w:rPr>
          <w:rFonts w:ascii="Times New Roman" w:hAnsi="Times New Roman" w:cs="Times New Roman"/>
          <w:sz w:val="18"/>
          <w:szCs w:val="18"/>
        </w:rPr>
        <w:t xml:space="preserve"> – Revista do Centro de Estudios Constitucionales de Chile, Santiago, v. 3, n. 1, 2005, pp. 231-242, 2018. Disponível em:</w:t>
      </w:r>
      <w:r w:rsidRPr="002B0178">
        <w:rPr>
          <w:rFonts w:ascii="Times New Roman" w:hAnsi="Times New Roman" w:cs="Times New Roman"/>
          <w:color w:val="262626"/>
          <w:sz w:val="18"/>
          <w:szCs w:val="18"/>
        </w:rPr>
        <w:t xml:space="preserve"> </w:t>
      </w:r>
      <w:hyperlink r:id="rId2" w:history="1">
        <w:r w:rsidRPr="002B0178">
          <w:rPr>
            <w:rStyle w:val="Hyperlink"/>
            <w:rFonts w:ascii="Times New Roman" w:hAnsi="Times New Roman" w:cs="Times New Roman"/>
            <w:sz w:val="18"/>
            <w:szCs w:val="18"/>
          </w:rPr>
          <w:t>https://www.redalyc.org/articulo.oa?id=82003112</w:t>
        </w:r>
      </w:hyperlink>
      <w:r w:rsidRPr="002B0178">
        <w:rPr>
          <w:rFonts w:ascii="Times New Roman" w:hAnsi="Times New Roman" w:cs="Times New Roman"/>
          <w:color w:val="262626"/>
          <w:sz w:val="18"/>
          <w:szCs w:val="18"/>
        </w:rPr>
        <w:t xml:space="preserve">. </w:t>
      </w:r>
      <w:r w:rsidRPr="002B0178">
        <w:rPr>
          <w:rFonts w:ascii="Times New Roman" w:hAnsi="Times New Roman" w:cs="Times New Roman"/>
          <w:sz w:val="18"/>
          <w:szCs w:val="18"/>
        </w:rPr>
        <w:t>Acesso em: 05 abr. 2019.</w:t>
      </w:r>
    </w:p>
  </w:footnote>
  <w:footnote w:id="44">
    <w:p w14:paraId="6141BEDE" w14:textId="7F99B4B3"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ARANGO, Rodolfo. </w:t>
      </w:r>
      <w:r w:rsidRPr="002B0178">
        <w:rPr>
          <w:rFonts w:ascii="Times New Roman" w:hAnsi="Times New Roman" w:cs="Times New Roman"/>
          <w:sz w:val="18"/>
          <w:szCs w:val="18"/>
        </w:rPr>
        <w:t xml:space="preserve">Fundamentos del </w:t>
      </w:r>
      <w:r w:rsidRPr="002B0178">
        <w:rPr>
          <w:rFonts w:ascii="Times New Roman" w:hAnsi="Times New Roman" w:cs="Times New Roman"/>
          <w:i/>
          <w:iCs/>
          <w:sz w:val="18"/>
          <w:szCs w:val="18"/>
        </w:rPr>
        <w:t>Ius Constitutionale Commune</w:t>
      </w:r>
      <w:r w:rsidRPr="002B0178">
        <w:rPr>
          <w:rFonts w:ascii="Times New Roman" w:hAnsi="Times New Roman" w:cs="Times New Roman"/>
          <w:iCs/>
          <w:sz w:val="18"/>
          <w:szCs w:val="18"/>
        </w:rPr>
        <w:t xml:space="preserve"> </w:t>
      </w:r>
      <w:r w:rsidRPr="002B0178">
        <w:rPr>
          <w:rFonts w:ascii="Times New Roman" w:hAnsi="Times New Roman" w:cs="Times New Roman"/>
          <w:sz w:val="18"/>
          <w:szCs w:val="18"/>
        </w:rPr>
        <w:t xml:space="preserve">en América Latina. In: von BOGDANDY, Armin; MORALES ANTONIAZZI, Mariela; FERRER MAC-GREGOR, Eduardo. </w:t>
      </w:r>
      <w:r w:rsidRPr="002B0178">
        <w:rPr>
          <w:rFonts w:ascii="Times New Roman" w:hAnsi="Times New Roman" w:cs="Times New Roman"/>
          <w:i/>
          <w:sz w:val="18"/>
          <w:szCs w:val="18"/>
        </w:rPr>
        <w:t>Ius Constitutionale Commune en América Latina</w:t>
      </w:r>
      <w:r w:rsidRPr="002B0178">
        <w:rPr>
          <w:rFonts w:ascii="Times New Roman" w:hAnsi="Times New Roman" w:cs="Times New Roman"/>
          <w:sz w:val="18"/>
          <w:szCs w:val="18"/>
        </w:rPr>
        <w:t>: textos básicos para su compreensión. México: Instituto de Estudios Constitucionales  del Estado de Querétaro, Max Planck Institute for Comparative Public Law and International Law,  2017. p. 179-192, p. 189.</w:t>
      </w:r>
    </w:p>
  </w:footnote>
  <w:footnote w:id="45">
    <w:p w14:paraId="1E2B013B" w14:textId="3A2A10DD" w:rsidR="00742149" w:rsidRPr="002B0178" w:rsidRDefault="00742149" w:rsidP="00D71B63">
      <w:pPr>
        <w:pStyle w:val="FootnoteText"/>
        <w:jc w:val="both"/>
        <w:rPr>
          <w:lang w:val="en-US"/>
        </w:rPr>
      </w:pPr>
      <w:r w:rsidRPr="00842470">
        <w:rPr>
          <w:rStyle w:val="FootnoteReference"/>
          <w:rFonts w:ascii="Times New Roman" w:hAnsi="Times New Roman" w:cs="Times New Roman"/>
          <w:sz w:val="18"/>
          <w:szCs w:val="18"/>
        </w:rPr>
        <w:footnoteRef/>
      </w:r>
      <w:r>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FERRER MAC-GREGOR, Eduardo.</w:t>
      </w:r>
      <w:proofErr w:type="gramEnd"/>
      <w:r w:rsidRPr="002B0178">
        <w:rPr>
          <w:rFonts w:ascii="Times New Roman" w:hAnsi="Times New Roman" w:cs="Times New Roman"/>
          <w:sz w:val="18"/>
          <w:szCs w:val="18"/>
          <w:lang w:val="en-US"/>
        </w:rPr>
        <w:t xml:space="preserve"> What Do We Mean When We Talk About Judicial Dialogue? </w:t>
      </w:r>
      <w:proofErr w:type="gramStart"/>
      <w:r w:rsidRPr="002B0178">
        <w:rPr>
          <w:rFonts w:ascii="Times New Roman" w:hAnsi="Times New Roman" w:cs="Times New Roman"/>
          <w:sz w:val="18"/>
          <w:szCs w:val="18"/>
          <w:lang w:val="en-US"/>
        </w:rPr>
        <w:t>Reflections of a Judge of the Inter-American Court of Human Rights.</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i/>
          <w:sz w:val="18"/>
          <w:szCs w:val="18"/>
          <w:lang w:val="en-US"/>
        </w:rPr>
        <w:t>Harvard Human Rights Journal</w:t>
      </w:r>
      <w:r w:rsidRPr="002B0178">
        <w:rPr>
          <w:rFonts w:ascii="Times New Roman" w:hAnsi="Times New Roman" w:cs="Times New Roman"/>
          <w:sz w:val="18"/>
          <w:szCs w:val="18"/>
          <w:lang w:val="en-US"/>
        </w:rPr>
        <w:t>, Cambridge, v. 30, p. 89-127, 2017.</w:t>
      </w:r>
      <w:proofErr w:type="gramEnd"/>
      <w:r w:rsidRPr="002B0178">
        <w:rPr>
          <w:rFonts w:ascii="Times New Roman" w:hAnsi="Times New Roman" w:cs="Times New Roman"/>
          <w:sz w:val="18"/>
          <w:szCs w:val="18"/>
          <w:lang w:val="en-US"/>
        </w:rPr>
        <w:t xml:space="preserve"> p. 96.</w:t>
      </w:r>
    </w:p>
  </w:footnote>
  <w:footnote w:id="46">
    <w:p w14:paraId="7CFE236A" w14:textId="0CEB4E5D"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Pr>
          <w:rFonts w:ascii="Times New Roman" w:hAnsi="Times New Roman" w:cs="Times New Roman"/>
          <w:sz w:val="18"/>
          <w:szCs w:val="18"/>
          <w:lang w:val="en-US"/>
        </w:rPr>
        <w:t xml:space="preserve">   </w:t>
      </w:r>
      <w:r w:rsidRPr="002B0178">
        <w:rPr>
          <w:rFonts w:ascii="Times New Roman" w:hAnsi="Times New Roman" w:cs="Times New Roman"/>
          <w:sz w:val="18"/>
          <w:szCs w:val="18"/>
          <w:lang w:val="en-US"/>
        </w:rPr>
        <w:t xml:space="preserve">RODILES, Alejandro. The Law and Politics of the Pro Persona Principle in Latin America.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 Oxford: Oxford University Press, 2017. p. 153-174, p. 158.</w:t>
      </w:r>
    </w:p>
  </w:footnote>
  <w:footnote w:id="47">
    <w:p w14:paraId="56D070F0" w14:textId="16AF4714"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ARAUJO, Luis Claudio Martins de.</w:t>
      </w:r>
      <w:proofErr w:type="gramEnd"/>
      <w:r w:rsidRPr="002B0178">
        <w:rPr>
          <w:rFonts w:ascii="Times New Roman" w:hAnsi="Times New Roman" w:cs="Times New Roman"/>
          <w:sz w:val="18"/>
          <w:szCs w:val="18"/>
          <w:lang w:val="en-US"/>
        </w:rPr>
        <w:t xml:space="preserve"> </w:t>
      </w:r>
      <w:r w:rsidRPr="008368CD">
        <w:rPr>
          <w:rFonts w:ascii="Times New Roman" w:hAnsi="Times New Roman" w:cs="Times New Roman"/>
          <w:i/>
          <w:sz w:val="18"/>
          <w:szCs w:val="18"/>
        </w:rPr>
        <w:t>Constitucionalismo Transfronteiriço, Direitos Humanos e Direitos Fundamentais</w:t>
      </w:r>
      <w:r w:rsidRPr="008368CD">
        <w:rPr>
          <w:rFonts w:ascii="Times New Roman" w:hAnsi="Times New Roman" w:cs="Times New Roman"/>
          <w:sz w:val="18"/>
          <w:szCs w:val="18"/>
        </w:rPr>
        <w:t>: a consistência argumentativa da jurisdição de garantias nos diálogos transnacionais. Rio de Janeiro: Lumen Juris, 2017.</w:t>
      </w:r>
    </w:p>
  </w:footnote>
  <w:footnote w:id="48">
    <w:p w14:paraId="5FCFDFF6" w14:textId="73E298BC"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VÁZQUEZ ESQUIVEL, Efrén; CIENFUEGOS SORDO, Jaime Fernando</w:t>
      </w:r>
      <w:r w:rsidRPr="002B0178">
        <w:rPr>
          <w:rFonts w:ascii="Times New Roman" w:hAnsi="Times New Roman" w:cs="Times New Roman"/>
          <w:iCs/>
          <w:sz w:val="18"/>
          <w:szCs w:val="18"/>
        </w:rPr>
        <w:t>.</w:t>
      </w:r>
      <w:r w:rsidRPr="002B0178">
        <w:rPr>
          <w:rFonts w:ascii="Times New Roman" w:hAnsi="Times New Roman" w:cs="Times New Roman"/>
          <w:b/>
          <w:bCs/>
          <w:sz w:val="18"/>
          <w:szCs w:val="18"/>
        </w:rPr>
        <w:t xml:space="preserve"> </w:t>
      </w:r>
      <w:r w:rsidRPr="002B0178">
        <w:rPr>
          <w:rFonts w:ascii="Times New Roman" w:hAnsi="Times New Roman" w:cs="Times New Roman"/>
          <w:bCs/>
          <w:sz w:val="18"/>
          <w:szCs w:val="18"/>
        </w:rPr>
        <w:t xml:space="preserve">El diálogo judicial como diálogo hermenêutico: perspectivas de los derechos humanos en el diálogo de las Altas Cortes y la Jurisdicción Interna. </w:t>
      </w:r>
      <w:r w:rsidRPr="002B0178">
        <w:rPr>
          <w:rFonts w:ascii="Times New Roman" w:hAnsi="Times New Roman" w:cs="Times New Roman"/>
          <w:i/>
          <w:sz w:val="18"/>
          <w:szCs w:val="18"/>
        </w:rPr>
        <w:t>Revista da Faculdade de Direito</w:t>
      </w:r>
      <w:r w:rsidRPr="002B0178">
        <w:rPr>
          <w:rFonts w:ascii="Times New Roman" w:hAnsi="Times New Roman" w:cs="Times New Roman"/>
          <w:sz w:val="18"/>
          <w:szCs w:val="18"/>
        </w:rPr>
        <w:t>: Universidade Federal do Paraná, Curitiba, v. 61, n. 1, p. 9–41, jan./abr. 2016. p. 20.</w:t>
      </w:r>
    </w:p>
  </w:footnote>
  <w:footnote w:id="49">
    <w:p w14:paraId="3E14E192" w14:textId="45C3E88E"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FERREIRA, Aurélio Buarque de Holanda. </w:t>
      </w:r>
      <w:r w:rsidRPr="008368CD">
        <w:rPr>
          <w:rFonts w:ascii="Times New Roman" w:hAnsi="Times New Roman" w:cs="Times New Roman"/>
          <w:i/>
          <w:sz w:val="18"/>
          <w:szCs w:val="18"/>
        </w:rPr>
        <w:t>Miniaurélio</w:t>
      </w:r>
      <w:r w:rsidRPr="008368CD">
        <w:rPr>
          <w:rFonts w:ascii="Times New Roman" w:hAnsi="Times New Roman" w:cs="Times New Roman"/>
          <w:sz w:val="18"/>
          <w:szCs w:val="18"/>
        </w:rPr>
        <w:t>: O Dicionário da Língua Portuguesa. 7 ed. Verbete diálogo. Curitiba: Positivo, 2009.</w:t>
      </w:r>
    </w:p>
  </w:footnote>
  <w:footnote w:id="50">
    <w:p w14:paraId="305C8FA9" w14:textId="252BAC9E"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NEVES, Marcelo. </w:t>
      </w:r>
      <w:r w:rsidRPr="008368CD">
        <w:rPr>
          <w:rFonts w:ascii="Times New Roman" w:hAnsi="Times New Roman" w:cs="Times New Roman"/>
          <w:i/>
          <w:sz w:val="18"/>
          <w:szCs w:val="18"/>
        </w:rPr>
        <w:t>Transconstitucionalismo</w:t>
      </w:r>
      <w:r w:rsidRPr="008368CD">
        <w:rPr>
          <w:rFonts w:ascii="Times New Roman" w:hAnsi="Times New Roman" w:cs="Times New Roman"/>
          <w:sz w:val="18"/>
          <w:szCs w:val="18"/>
        </w:rPr>
        <w:t>. São Paulo: Martins Fontes, 2009, p. 117.</w:t>
      </w:r>
    </w:p>
  </w:footnote>
  <w:footnote w:id="51">
    <w:p w14:paraId="502074CD" w14:textId="2C6476BB"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BURGORGUE-LARSEN, Laurence. De la internacionalización del diálogo entre los jueces. In VON BOGDANDY, Armin; PIOVESAN, Flávia; MORALES ANTONIAZZI, Mariela. </w:t>
      </w:r>
      <w:r w:rsidRPr="008368CD">
        <w:rPr>
          <w:rFonts w:ascii="Times New Roman" w:hAnsi="Times New Roman" w:cs="Times New Roman"/>
          <w:i/>
          <w:sz w:val="18"/>
          <w:szCs w:val="18"/>
        </w:rPr>
        <w:t>Estudos Avançados de Direitos Humanos</w:t>
      </w:r>
      <w:r w:rsidRPr="008368CD">
        <w:rPr>
          <w:rFonts w:ascii="Times New Roman" w:hAnsi="Times New Roman" w:cs="Times New Roman"/>
          <w:sz w:val="18"/>
          <w:szCs w:val="18"/>
        </w:rPr>
        <w:t xml:space="preserve">. Democracia e Integração Jurídica: Emergência de um Novo Direito Público. </w:t>
      </w:r>
      <w:r w:rsidRPr="002B0178">
        <w:rPr>
          <w:rFonts w:ascii="Times New Roman" w:hAnsi="Times New Roman" w:cs="Times New Roman"/>
          <w:sz w:val="18"/>
          <w:szCs w:val="18"/>
          <w:lang w:val="en-US"/>
        </w:rPr>
        <w:t>Rio de Janeiro: Elsevier, 2013. p. 236.</w:t>
      </w:r>
    </w:p>
  </w:footnote>
  <w:footnote w:id="52">
    <w:p w14:paraId="7DAEC3D4" w14:textId="5824FA74"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FERRER MAC-GREGOR, Eduardo.</w:t>
      </w:r>
      <w:proofErr w:type="gramEnd"/>
      <w:r w:rsidRPr="002B0178">
        <w:rPr>
          <w:rFonts w:ascii="Times New Roman" w:hAnsi="Times New Roman" w:cs="Times New Roman"/>
          <w:sz w:val="18"/>
          <w:szCs w:val="18"/>
          <w:lang w:val="en-US"/>
        </w:rPr>
        <w:t xml:space="preserve"> What Do We Mean When We Talk About Judicial Dialogue? </w:t>
      </w:r>
      <w:proofErr w:type="gramStart"/>
      <w:r w:rsidRPr="002B0178">
        <w:rPr>
          <w:rFonts w:ascii="Times New Roman" w:hAnsi="Times New Roman" w:cs="Times New Roman"/>
          <w:sz w:val="18"/>
          <w:szCs w:val="18"/>
          <w:lang w:val="en-US"/>
        </w:rPr>
        <w:t>Reflections of a Judge of the Inter-American Court of Human Rights.</w:t>
      </w:r>
      <w:proofErr w:type="gramEnd"/>
      <w:r w:rsidRPr="002B0178">
        <w:rPr>
          <w:rFonts w:ascii="Times New Roman" w:hAnsi="Times New Roman" w:cs="Times New Roman"/>
          <w:sz w:val="18"/>
          <w:szCs w:val="18"/>
          <w:lang w:val="en-US"/>
        </w:rPr>
        <w:t xml:space="preserve"> </w:t>
      </w:r>
      <w:r w:rsidRPr="008368CD">
        <w:rPr>
          <w:rFonts w:ascii="Times New Roman" w:hAnsi="Times New Roman" w:cs="Times New Roman"/>
          <w:i/>
          <w:sz w:val="18"/>
          <w:szCs w:val="18"/>
        </w:rPr>
        <w:t>Harvard Human Rights Journal</w:t>
      </w:r>
      <w:r w:rsidRPr="008368CD">
        <w:rPr>
          <w:rFonts w:ascii="Times New Roman" w:hAnsi="Times New Roman" w:cs="Times New Roman"/>
          <w:sz w:val="18"/>
          <w:szCs w:val="18"/>
        </w:rPr>
        <w:t>, Cambridge, v. 30, p. 89-127, 2017, p. 91.</w:t>
      </w:r>
    </w:p>
  </w:footnote>
  <w:footnote w:id="53">
    <w:p w14:paraId="58FE3ED2" w14:textId="50443FD8"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SLAUGTHER, Anne-Marie. </w:t>
      </w:r>
      <w:proofErr w:type="gramStart"/>
      <w:r w:rsidRPr="002B0178">
        <w:rPr>
          <w:rFonts w:ascii="Times New Roman" w:hAnsi="Times New Roman" w:cs="Times New Roman"/>
          <w:sz w:val="18"/>
          <w:szCs w:val="18"/>
          <w:lang w:val="en-US"/>
        </w:rPr>
        <w:t>A Tipology of Transjudicial Communication.</w:t>
      </w:r>
      <w:proofErr w:type="gramEnd"/>
      <w:r w:rsidRPr="002B0178">
        <w:rPr>
          <w:rFonts w:ascii="Times New Roman" w:hAnsi="Times New Roman" w:cs="Times New Roman"/>
          <w:sz w:val="18"/>
          <w:szCs w:val="18"/>
          <w:lang w:val="en-US"/>
        </w:rPr>
        <w:t xml:space="preserve"> </w:t>
      </w:r>
      <w:proofErr w:type="gramStart"/>
      <w:r w:rsidRPr="008368CD">
        <w:rPr>
          <w:rFonts w:ascii="Times New Roman" w:hAnsi="Times New Roman" w:cs="Times New Roman"/>
          <w:i/>
          <w:iCs/>
          <w:sz w:val="18"/>
          <w:szCs w:val="18"/>
          <w:lang w:val="en-US"/>
        </w:rPr>
        <w:t>University of Richmond Law Review</w:t>
      </w:r>
      <w:r w:rsidRPr="008368CD">
        <w:rPr>
          <w:rFonts w:ascii="Times New Roman" w:hAnsi="Times New Roman" w:cs="Times New Roman"/>
          <w:sz w:val="18"/>
          <w:szCs w:val="18"/>
          <w:lang w:val="en-US"/>
        </w:rPr>
        <w:t>, Richmond, n. 29, p. 99-137, 1994.</w:t>
      </w:r>
      <w:proofErr w:type="gramEnd"/>
      <w:r w:rsidRPr="008368CD">
        <w:rPr>
          <w:rFonts w:ascii="Times New Roman" w:hAnsi="Times New Roman" w:cs="Times New Roman"/>
          <w:sz w:val="18"/>
          <w:szCs w:val="18"/>
          <w:lang w:val="en-US"/>
        </w:rPr>
        <w:t xml:space="preserve"> Disponível em: </w:t>
      </w:r>
      <w:hyperlink r:id="rId3" w:history="1">
        <w:r w:rsidRPr="008368CD">
          <w:rPr>
            <w:rStyle w:val="Hyperlink"/>
            <w:rFonts w:ascii="Times New Roman" w:hAnsi="Times New Roman" w:cs="Times New Roman"/>
            <w:sz w:val="18"/>
            <w:szCs w:val="18"/>
            <w:lang w:val="en-US"/>
          </w:rPr>
          <w:t>http://scholarship.richmond.edu/lawreview/vol29/iss1/6</w:t>
        </w:r>
      </w:hyperlink>
      <w:proofErr w:type="gramStart"/>
      <w:r w:rsidRPr="008368CD">
        <w:rPr>
          <w:rFonts w:ascii="Times New Roman" w:hAnsi="Times New Roman" w:cs="Times New Roman"/>
          <w:sz w:val="18"/>
          <w:szCs w:val="18"/>
          <w:lang w:val="en-US"/>
        </w:rPr>
        <w:t xml:space="preserve"> .</w:t>
      </w:r>
      <w:proofErr w:type="gramEnd"/>
      <w:r w:rsidRPr="008368CD">
        <w:rPr>
          <w:rFonts w:ascii="Times New Roman" w:hAnsi="Times New Roman" w:cs="Times New Roman"/>
          <w:sz w:val="18"/>
          <w:szCs w:val="18"/>
          <w:lang w:val="en-US"/>
        </w:rPr>
        <w:t xml:space="preserve"> Acesso em: 11 fev. 2019. </w:t>
      </w:r>
      <w:proofErr w:type="gramStart"/>
      <w:r w:rsidRPr="002B0178">
        <w:rPr>
          <w:rFonts w:ascii="Times New Roman" w:hAnsi="Times New Roman" w:cs="Times New Roman"/>
          <w:sz w:val="18"/>
          <w:szCs w:val="18"/>
          <w:lang w:val="en-US"/>
        </w:rPr>
        <w:t>p</w:t>
      </w:r>
      <w:proofErr w:type="gramEnd"/>
      <w:r w:rsidRPr="002B0178">
        <w:rPr>
          <w:rFonts w:ascii="Times New Roman" w:hAnsi="Times New Roman" w:cs="Times New Roman"/>
          <w:sz w:val="18"/>
          <w:szCs w:val="18"/>
          <w:lang w:val="en-US"/>
        </w:rPr>
        <w:t>. 117.</w:t>
      </w:r>
      <w:r w:rsidRPr="008368CD">
        <w:rPr>
          <w:rFonts w:ascii="Times New Roman" w:hAnsi="Times New Roman" w:cs="Times New Roman"/>
          <w:sz w:val="18"/>
          <w:szCs w:val="18"/>
          <w:lang w:val="en-US"/>
        </w:rPr>
        <w:t xml:space="preserve"> </w:t>
      </w:r>
    </w:p>
  </w:footnote>
  <w:footnote w:id="54">
    <w:p w14:paraId="1E34F75D" w14:textId="1D9D4CF4"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SLAUGTHER, Anne-Marie. </w:t>
      </w:r>
      <w:proofErr w:type="gramStart"/>
      <w:r w:rsidRPr="002B0178">
        <w:rPr>
          <w:rFonts w:ascii="Times New Roman" w:hAnsi="Times New Roman" w:cs="Times New Roman"/>
          <w:sz w:val="18"/>
          <w:szCs w:val="18"/>
          <w:lang w:val="en-US"/>
        </w:rPr>
        <w:t>A Tipology of Transjudicial Communication.</w:t>
      </w:r>
      <w:proofErr w:type="gramEnd"/>
      <w:r w:rsidRPr="002B0178">
        <w:rPr>
          <w:rFonts w:ascii="Times New Roman" w:hAnsi="Times New Roman" w:cs="Times New Roman"/>
          <w:sz w:val="18"/>
          <w:szCs w:val="18"/>
          <w:lang w:val="en-US"/>
        </w:rPr>
        <w:t xml:space="preserve"> </w:t>
      </w:r>
      <w:proofErr w:type="gramStart"/>
      <w:r w:rsidRPr="008368CD">
        <w:rPr>
          <w:rFonts w:ascii="Times New Roman" w:hAnsi="Times New Roman" w:cs="Times New Roman"/>
          <w:i/>
          <w:iCs/>
          <w:sz w:val="18"/>
          <w:szCs w:val="18"/>
          <w:lang w:val="en-US"/>
        </w:rPr>
        <w:t>University of Richmond Law Review</w:t>
      </w:r>
      <w:r w:rsidRPr="008368CD">
        <w:rPr>
          <w:rFonts w:ascii="Times New Roman" w:hAnsi="Times New Roman" w:cs="Times New Roman"/>
          <w:sz w:val="18"/>
          <w:szCs w:val="18"/>
          <w:lang w:val="en-US"/>
        </w:rPr>
        <w:t>, Richmond, n. 29, p. 99-137, 1994.</w:t>
      </w:r>
      <w:proofErr w:type="gramEnd"/>
      <w:r w:rsidRPr="008368CD">
        <w:rPr>
          <w:rFonts w:ascii="Times New Roman" w:hAnsi="Times New Roman" w:cs="Times New Roman"/>
          <w:sz w:val="18"/>
          <w:szCs w:val="18"/>
          <w:lang w:val="en-US"/>
        </w:rPr>
        <w:t xml:space="preserve"> </w:t>
      </w:r>
      <w:r w:rsidRPr="002B0178">
        <w:rPr>
          <w:rFonts w:ascii="Times New Roman" w:hAnsi="Times New Roman" w:cs="Times New Roman"/>
          <w:sz w:val="18"/>
          <w:szCs w:val="18"/>
        </w:rPr>
        <w:t xml:space="preserve">Disponível em: </w:t>
      </w:r>
      <w:hyperlink r:id="rId4" w:history="1">
        <w:r w:rsidRPr="002B0178">
          <w:rPr>
            <w:rStyle w:val="Hyperlink"/>
            <w:rFonts w:ascii="Times New Roman" w:hAnsi="Times New Roman" w:cs="Times New Roman"/>
            <w:sz w:val="18"/>
            <w:szCs w:val="18"/>
          </w:rPr>
          <w:t>http://scholarship.richmond.edu/lawreview/vol29/iss1/6</w:t>
        </w:r>
      </w:hyperlink>
      <w:r w:rsidRPr="002B0178">
        <w:rPr>
          <w:rFonts w:ascii="Times New Roman" w:hAnsi="Times New Roman" w:cs="Times New Roman"/>
          <w:sz w:val="18"/>
          <w:szCs w:val="18"/>
        </w:rPr>
        <w:t xml:space="preserve"> . Acesso em: 11 fev. 2019. </w:t>
      </w:r>
      <w:r w:rsidRPr="008368CD">
        <w:rPr>
          <w:rFonts w:ascii="Times New Roman" w:hAnsi="Times New Roman" w:cs="Times New Roman"/>
          <w:sz w:val="18"/>
          <w:szCs w:val="18"/>
        </w:rPr>
        <w:t xml:space="preserve">p. 118. </w:t>
      </w:r>
    </w:p>
  </w:footnote>
  <w:footnote w:id="55">
    <w:p w14:paraId="7DA97D2C" w14:textId="66013EA6"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SLAUGHTER, Anne-Marie.</w:t>
      </w:r>
      <w:proofErr w:type="gramEnd"/>
      <w:r w:rsidRPr="008368CD">
        <w:rPr>
          <w:rFonts w:ascii="Times New Roman" w:hAnsi="Times New Roman" w:cs="Times New Roman"/>
          <w:color w:val="000000"/>
          <w:sz w:val="18"/>
          <w:szCs w:val="18"/>
          <w:lang w:val="en-US"/>
        </w:rPr>
        <w:t xml:space="preserve"> </w:t>
      </w:r>
      <w:proofErr w:type="gramStart"/>
      <w:r w:rsidRPr="008368CD">
        <w:rPr>
          <w:rFonts w:ascii="Times New Roman" w:hAnsi="Times New Roman" w:cs="Times New Roman"/>
          <w:color w:val="000000"/>
          <w:sz w:val="18"/>
          <w:szCs w:val="18"/>
          <w:lang w:val="en-US"/>
        </w:rPr>
        <w:t>Global Community of Courts.</w:t>
      </w:r>
      <w:proofErr w:type="gramEnd"/>
      <w:r w:rsidRPr="002B0178">
        <w:rPr>
          <w:rFonts w:ascii="Times New Roman" w:hAnsi="Times New Roman" w:cs="Times New Roman"/>
          <w:sz w:val="18"/>
          <w:szCs w:val="18"/>
          <w:lang w:val="en-US"/>
        </w:rPr>
        <w:t xml:space="preserve"> </w:t>
      </w:r>
      <w:r w:rsidRPr="002B0178">
        <w:rPr>
          <w:rFonts w:ascii="Times New Roman" w:hAnsi="Times New Roman" w:cs="Times New Roman"/>
          <w:i/>
          <w:sz w:val="18"/>
          <w:szCs w:val="18"/>
          <w:lang w:val="en-US"/>
        </w:rPr>
        <w:t>Harvard International Law Review</w:t>
      </w:r>
      <w:r w:rsidRPr="002B0178">
        <w:rPr>
          <w:rFonts w:ascii="Times New Roman" w:hAnsi="Times New Roman" w:cs="Times New Roman"/>
          <w:sz w:val="18"/>
          <w:szCs w:val="18"/>
          <w:lang w:val="en-US"/>
        </w:rPr>
        <w:t>, Cambridge, v. 44, n. 1, p. 191-219, 2003.</w:t>
      </w:r>
      <w:r w:rsidRPr="008368CD">
        <w:rPr>
          <w:rFonts w:ascii="Times New Roman" w:hAnsi="Times New Roman" w:cs="Times New Roman"/>
          <w:color w:val="000000"/>
          <w:sz w:val="18"/>
          <w:szCs w:val="18"/>
          <w:lang w:val="en-US"/>
        </w:rPr>
        <w:t xml:space="preserve"> p. 197.</w:t>
      </w:r>
    </w:p>
  </w:footnote>
  <w:footnote w:id="56">
    <w:p w14:paraId="76755F14" w14:textId="67A02BEC"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A concepção original de bloco de constitucionalidade foi elaborada na França, para determinar a incorporação de normas infraconstitucionais ao parâmetro de validade estabelecido pela Constituição. Na América Latina, verificou-se a migração dessa ideia constitucional mediante significativa alteração, na medida em que passou a determin</w:t>
      </w:r>
      <w:r>
        <w:rPr>
          <w:rFonts w:ascii="Times New Roman" w:hAnsi="Times New Roman" w:cs="Times New Roman"/>
          <w:sz w:val="18"/>
          <w:szCs w:val="18"/>
        </w:rPr>
        <w:t>ar a inclusão de normas interna</w:t>
      </w:r>
      <w:r w:rsidRPr="008368CD">
        <w:rPr>
          <w:rFonts w:ascii="Times New Roman" w:hAnsi="Times New Roman" w:cs="Times New Roman"/>
          <w:sz w:val="18"/>
          <w:szCs w:val="18"/>
        </w:rPr>
        <w:t>c</w:t>
      </w:r>
      <w:r>
        <w:rPr>
          <w:rFonts w:ascii="Times New Roman" w:hAnsi="Times New Roman" w:cs="Times New Roman"/>
          <w:sz w:val="18"/>
          <w:szCs w:val="18"/>
        </w:rPr>
        <w:t>i</w:t>
      </w:r>
      <w:r w:rsidRPr="008368CD">
        <w:rPr>
          <w:rFonts w:ascii="Times New Roman" w:hAnsi="Times New Roman" w:cs="Times New Roman"/>
          <w:sz w:val="18"/>
          <w:szCs w:val="18"/>
        </w:rPr>
        <w:t xml:space="preserve">onais e regionais aos parâmetros constitucionais de validade das normas jurídicas. OLANO GARCÍA, Hernán Alejandro. El bloque de constitucionalidad en Colombia. </w:t>
      </w:r>
      <w:r w:rsidRPr="008368CD">
        <w:rPr>
          <w:rFonts w:ascii="Times New Roman" w:hAnsi="Times New Roman" w:cs="Times New Roman"/>
          <w:i/>
          <w:sz w:val="18"/>
          <w:szCs w:val="18"/>
        </w:rPr>
        <w:t>Estudios Constitucionales</w:t>
      </w:r>
      <w:r w:rsidRPr="008368CD">
        <w:rPr>
          <w:rFonts w:ascii="Times New Roman" w:hAnsi="Times New Roman" w:cs="Times New Roman"/>
          <w:sz w:val="18"/>
          <w:szCs w:val="18"/>
        </w:rPr>
        <w:t xml:space="preserve"> [en linea], Bogota, n. 3, p. 231-242, 2005. Disponível em: </w:t>
      </w:r>
      <w:hyperlink r:id="rId5" w:history="1">
        <w:r w:rsidRPr="008368CD">
          <w:rPr>
            <w:rStyle w:val="Hyperlink"/>
            <w:rFonts w:ascii="Times New Roman" w:hAnsi="Times New Roman" w:cs="Times New Roman"/>
            <w:sz w:val="18"/>
            <w:szCs w:val="18"/>
          </w:rPr>
          <w:t>http://www.redalyc.org/articulo.oa?id=82003112</w:t>
        </w:r>
      </w:hyperlink>
      <w:r w:rsidRPr="008368CD">
        <w:rPr>
          <w:rFonts w:ascii="Times New Roman" w:hAnsi="Times New Roman" w:cs="Times New Roman"/>
          <w:sz w:val="18"/>
          <w:szCs w:val="18"/>
        </w:rPr>
        <w:t>. Acesso em 14 mar. 2019. p. 240.</w:t>
      </w:r>
    </w:p>
  </w:footnote>
  <w:footnote w:id="57">
    <w:p w14:paraId="325FE690" w14:textId="6738E729"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As normas aptas a integrar o bloco de constitucionalidade devem necessariamente veicular direitos humanos, pois do contrário se estaria diante de um rol demasiadamente alargado de normas que descaracterizaria a proposta. OLANO GARCÍA, Hernán Alejandro. El bloque de constitucionalidad en Colombia. </w:t>
      </w:r>
      <w:r w:rsidRPr="008368CD">
        <w:rPr>
          <w:rFonts w:ascii="Times New Roman" w:hAnsi="Times New Roman" w:cs="Times New Roman"/>
          <w:i/>
          <w:sz w:val="18"/>
          <w:szCs w:val="18"/>
        </w:rPr>
        <w:t>Estudios Constitucionales</w:t>
      </w:r>
      <w:r w:rsidRPr="008368CD">
        <w:rPr>
          <w:rFonts w:ascii="Times New Roman" w:hAnsi="Times New Roman" w:cs="Times New Roman"/>
          <w:sz w:val="18"/>
          <w:szCs w:val="18"/>
        </w:rPr>
        <w:t xml:space="preserve"> [en linea], Bogota, n. 3, p. 231-242, 2005. Disponível em: </w:t>
      </w:r>
      <w:hyperlink r:id="rId6" w:history="1">
        <w:r w:rsidRPr="008368CD">
          <w:rPr>
            <w:rStyle w:val="Hyperlink"/>
            <w:rFonts w:ascii="Times New Roman" w:hAnsi="Times New Roman" w:cs="Times New Roman"/>
            <w:sz w:val="18"/>
            <w:szCs w:val="18"/>
          </w:rPr>
          <w:t>http://www.redalyc.org/articulo.oa?id=82003112</w:t>
        </w:r>
      </w:hyperlink>
      <w:r w:rsidRPr="008368CD">
        <w:rPr>
          <w:rFonts w:ascii="Times New Roman" w:hAnsi="Times New Roman" w:cs="Times New Roman"/>
          <w:sz w:val="18"/>
          <w:szCs w:val="18"/>
        </w:rPr>
        <w:t>. Acesso em 14 mar. 2019. p. 233-236.</w:t>
      </w:r>
    </w:p>
  </w:footnote>
  <w:footnote w:id="58">
    <w:p w14:paraId="4D1645A6" w14:textId="0D08ED8F"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B0178">
        <w:rPr>
          <w:rFonts w:ascii="Times New Roman" w:hAnsi="Times New Roman" w:cs="Times New Roman"/>
          <w:color w:val="1F1C1D"/>
          <w:sz w:val="18"/>
          <w:szCs w:val="18"/>
        </w:rPr>
        <w:t xml:space="preserve">BIDART CAMPOS, Germán J. </w:t>
      </w:r>
      <w:r w:rsidRPr="002B0178">
        <w:rPr>
          <w:rFonts w:ascii="Times New Roman" w:hAnsi="Times New Roman" w:cs="Times New Roman"/>
          <w:i/>
          <w:color w:val="1F1C1D"/>
          <w:sz w:val="18"/>
          <w:szCs w:val="18"/>
        </w:rPr>
        <w:t>El derecho de la Constitución y su fuerza normativa</w:t>
      </w:r>
      <w:r w:rsidRPr="002B0178">
        <w:rPr>
          <w:rFonts w:ascii="Times New Roman" w:hAnsi="Times New Roman" w:cs="Times New Roman"/>
          <w:color w:val="1F1C1D"/>
          <w:sz w:val="18"/>
          <w:szCs w:val="18"/>
        </w:rPr>
        <w:t>. Buenos Aires: Sociedad Anónima Editora Comercial, Industrial y Financiera, 1995. p. 264.</w:t>
      </w:r>
    </w:p>
  </w:footnote>
  <w:footnote w:id="59">
    <w:p w14:paraId="5570D94B" w14:textId="2A8E3C60"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8368CD">
        <w:rPr>
          <w:rFonts w:ascii="Times New Roman" w:hAnsi="Times New Roman" w:cs="Times New Roman"/>
          <w:sz w:val="18"/>
          <w:szCs w:val="18"/>
          <w:lang w:val="en-US"/>
        </w:rPr>
        <w:t>GÓNGORA-MERA, Manuel Eduardo.</w:t>
      </w:r>
      <w:proofErr w:type="gramEnd"/>
      <w:r w:rsidRPr="008368CD">
        <w:rPr>
          <w:rFonts w:ascii="Times New Roman" w:hAnsi="Times New Roman" w:cs="Times New Roman"/>
          <w:sz w:val="18"/>
          <w:szCs w:val="18"/>
          <w:lang w:val="en-US"/>
        </w:rPr>
        <w:t xml:space="preserve"> The Block of Constitutionality as the Doctrinal Pivot of a Ius Commune </w:t>
      </w:r>
      <w:r w:rsidRPr="002B0178">
        <w:rPr>
          <w:rFonts w:ascii="Times New Roman" w:hAnsi="Times New Roman" w:cs="Times New Roman"/>
          <w:sz w:val="18"/>
          <w:szCs w:val="18"/>
          <w:lang w:val="en-US"/>
        </w:rPr>
        <w:t xml:space="preserve">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 Oxford: Oxford University Press, 2017. p. 233-253, p. 237-238.</w:t>
      </w:r>
    </w:p>
  </w:footnote>
  <w:footnote w:id="60">
    <w:p w14:paraId="090B3021" w14:textId="2DAEF5E9"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8368CD">
        <w:rPr>
          <w:rFonts w:ascii="Times New Roman" w:hAnsi="Times New Roman" w:cs="Times New Roman"/>
          <w:sz w:val="18"/>
          <w:szCs w:val="18"/>
          <w:lang w:val="en-US"/>
        </w:rPr>
        <w:t>GÓNGORA-MERA, Manuel Eduardo.</w:t>
      </w:r>
      <w:proofErr w:type="gramEnd"/>
      <w:r w:rsidRPr="008368CD">
        <w:rPr>
          <w:rFonts w:ascii="Times New Roman" w:hAnsi="Times New Roman" w:cs="Times New Roman"/>
          <w:sz w:val="18"/>
          <w:szCs w:val="18"/>
          <w:lang w:val="en-US"/>
        </w:rPr>
        <w:t xml:space="preserve"> The Block of Constitutionality as the Doctrinal Pivot of </w:t>
      </w:r>
      <w:proofErr w:type="gramStart"/>
      <w:r w:rsidRPr="008368CD">
        <w:rPr>
          <w:rFonts w:ascii="Times New Roman" w:hAnsi="Times New Roman" w:cs="Times New Roman"/>
          <w:sz w:val="18"/>
          <w:szCs w:val="18"/>
          <w:lang w:val="en-US"/>
        </w:rPr>
        <w:t>a</w:t>
      </w:r>
      <w:proofErr w:type="gramEnd"/>
      <w:r w:rsidRPr="008368CD">
        <w:rPr>
          <w:rFonts w:ascii="Times New Roman" w:hAnsi="Times New Roman" w:cs="Times New Roman"/>
          <w:sz w:val="18"/>
          <w:szCs w:val="18"/>
          <w:lang w:val="en-US"/>
        </w:rPr>
        <w:t xml:space="preserve"> Ius Commune. </w:t>
      </w:r>
      <w:r w:rsidRPr="002B0178">
        <w:rPr>
          <w:rFonts w:ascii="Times New Roman" w:hAnsi="Times New Roman" w:cs="Times New Roman"/>
          <w:sz w:val="18"/>
          <w:szCs w:val="18"/>
          <w:lang w:val="en-US"/>
        </w:rPr>
        <w:t xml:space="preserve">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 Oxford: Oxford University Press, 2017. p. 233-253, p. 238.</w:t>
      </w:r>
    </w:p>
  </w:footnote>
  <w:footnote w:id="61">
    <w:p w14:paraId="1CE95640" w14:textId="2C1CA69D"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OLANO GARCÍA, Hernán Alejandro. </w:t>
      </w:r>
      <w:r w:rsidRPr="008368CD">
        <w:rPr>
          <w:rFonts w:ascii="Times New Roman" w:hAnsi="Times New Roman" w:cs="Times New Roman"/>
          <w:sz w:val="18"/>
          <w:szCs w:val="18"/>
        </w:rPr>
        <w:t xml:space="preserve">El bloque de constitucionalidad en Colombia. </w:t>
      </w:r>
      <w:r w:rsidRPr="008368CD">
        <w:rPr>
          <w:rFonts w:ascii="Times New Roman" w:hAnsi="Times New Roman" w:cs="Times New Roman"/>
          <w:i/>
          <w:sz w:val="18"/>
          <w:szCs w:val="18"/>
        </w:rPr>
        <w:t>Estudios Constitucionales</w:t>
      </w:r>
      <w:r w:rsidRPr="008368CD">
        <w:rPr>
          <w:rFonts w:ascii="Times New Roman" w:hAnsi="Times New Roman" w:cs="Times New Roman"/>
          <w:sz w:val="18"/>
          <w:szCs w:val="18"/>
        </w:rPr>
        <w:t xml:space="preserve"> [en linea], Bogota, n. 3, p. 231-242, 2005. Disponível em: </w:t>
      </w:r>
      <w:hyperlink r:id="rId7" w:history="1">
        <w:r w:rsidRPr="008368CD">
          <w:rPr>
            <w:rStyle w:val="Hyperlink"/>
            <w:rFonts w:ascii="Times New Roman" w:hAnsi="Times New Roman" w:cs="Times New Roman"/>
            <w:sz w:val="18"/>
            <w:szCs w:val="18"/>
          </w:rPr>
          <w:t>http://www.redalyc.org/articulo.oa?id=82003112</w:t>
        </w:r>
      </w:hyperlink>
      <w:r w:rsidRPr="008368CD">
        <w:rPr>
          <w:rFonts w:ascii="Times New Roman" w:hAnsi="Times New Roman" w:cs="Times New Roman"/>
          <w:sz w:val="18"/>
          <w:szCs w:val="18"/>
        </w:rPr>
        <w:t>. Acesso em 14 mar. 2019. p. 243-244.</w:t>
      </w:r>
    </w:p>
  </w:footnote>
  <w:footnote w:id="62">
    <w:p w14:paraId="60903AB6" w14:textId="6230AD00" w:rsidR="00742149" w:rsidRPr="002B0178" w:rsidRDefault="00742149" w:rsidP="00D71B63">
      <w:pPr>
        <w:jc w:val="both"/>
        <w:rPr>
          <w:rFonts w:ascii="Times New Roman" w:eastAsia="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RAMOS, André de Carvalho.</w:t>
      </w:r>
      <w:r w:rsidRPr="008368CD">
        <w:rPr>
          <w:rFonts w:ascii="Times New Roman" w:eastAsia="Times New Roman" w:hAnsi="Times New Roman" w:cs="Times New Roman"/>
          <w:sz w:val="18"/>
          <w:szCs w:val="18"/>
          <w:shd w:val="clear" w:color="auto" w:fill="FFFFFF"/>
        </w:rPr>
        <w:t xml:space="preserve"> </w:t>
      </w:r>
      <w:r w:rsidRPr="002B0178">
        <w:rPr>
          <w:rFonts w:ascii="Times New Roman" w:eastAsia="Times New Roman" w:hAnsi="Times New Roman" w:cs="Times New Roman"/>
          <w:sz w:val="18"/>
          <w:szCs w:val="18"/>
        </w:rPr>
        <w:t xml:space="preserve">Supremo Tribunal Federal Brasileiro e o Controle de Convencionalidade: Levando a sério os tratados de direitos humanos. </w:t>
      </w:r>
      <w:r w:rsidRPr="002B0178">
        <w:rPr>
          <w:rFonts w:ascii="Times New Roman" w:eastAsia="Times New Roman" w:hAnsi="Times New Roman" w:cs="Times New Roman"/>
          <w:i/>
          <w:sz w:val="18"/>
          <w:szCs w:val="18"/>
          <w:shd w:val="clear" w:color="auto" w:fill="FFFFFF"/>
        </w:rPr>
        <w:t>Revista da Faculdade de Direito da Universidade de São Paulo</w:t>
      </w:r>
      <w:r w:rsidRPr="002B0178">
        <w:rPr>
          <w:rFonts w:ascii="Times New Roman" w:eastAsia="Times New Roman" w:hAnsi="Times New Roman" w:cs="Times New Roman"/>
          <w:sz w:val="18"/>
          <w:szCs w:val="18"/>
          <w:shd w:val="clear" w:color="auto" w:fill="FFFFFF"/>
        </w:rPr>
        <w:t>, v. 104, p. 241-286,  jan/dez 2009. p. 259-260</w:t>
      </w:r>
    </w:p>
  </w:footnote>
  <w:footnote w:id="63">
    <w:p w14:paraId="7D94C94A" w14:textId="0069BC49" w:rsidR="00742149" w:rsidRPr="002B0178" w:rsidRDefault="00742149" w:rsidP="00D71B63">
      <w:pPr>
        <w:pStyle w:val="twowords"/>
        <w:spacing w:before="0" w:beforeAutospacing="0" w:after="0" w:afterAutospacing="0"/>
        <w:jc w:val="both"/>
        <w:rPr>
          <w:caps/>
          <w:color w:val="719A6B"/>
          <w:sz w:val="18"/>
          <w:szCs w:val="18"/>
          <w:lang w:val="pt-BR"/>
        </w:rPr>
      </w:pPr>
      <w:r w:rsidRPr="008368CD">
        <w:rPr>
          <w:rStyle w:val="FootnoteReference"/>
          <w:sz w:val="18"/>
          <w:szCs w:val="18"/>
        </w:rPr>
        <w:footnoteRef/>
      </w:r>
      <w:r w:rsidRPr="002B0178">
        <w:rPr>
          <w:sz w:val="18"/>
          <w:szCs w:val="18"/>
          <w:lang w:val="pt-BR"/>
        </w:rPr>
        <w:t xml:space="preserve">    PIOVESAN, Flávia. </w:t>
      </w:r>
      <w:r w:rsidRPr="002B0178">
        <w:rPr>
          <w:i/>
          <w:sz w:val="18"/>
          <w:szCs w:val="18"/>
          <w:lang w:val="pt-BR"/>
        </w:rPr>
        <w:t>Direitos Humanos e o Direito Constitucional Internacional.</w:t>
      </w:r>
      <w:r w:rsidRPr="002B0178">
        <w:rPr>
          <w:sz w:val="18"/>
          <w:szCs w:val="18"/>
          <w:lang w:val="pt-BR"/>
        </w:rPr>
        <w:t xml:space="preserve"> São Paulo: Saraiva, 2013; MAZZUOLI, Valério de Oliveira. </w:t>
      </w:r>
      <w:r w:rsidRPr="002B0178">
        <w:rPr>
          <w:i/>
          <w:sz w:val="18"/>
          <w:szCs w:val="18"/>
          <w:lang w:val="pt-BR"/>
        </w:rPr>
        <w:t>O Controle Jurisdicional de Convencionalidade das Leis</w:t>
      </w:r>
      <w:r w:rsidRPr="002B0178">
        <w:rPr>
          <w:sz w:val="18"/>
          <w:szCs w:val="18"/>
          <w:lang w:val="pt-BR"/>
        </w:rPr>
        <w:t xml:space="preserve">. 4 ed. </w:t>
      </w:r>
      <w:r w:rsidRPr="008368CD">
        <w:rPr>
          <w:sz w:val="18"/>
          <w:szCs w:val="18"/>
        </w:rPr>
        <w:t xml:space="preserve">São Paulo: Revista dos Tribunais, 2016; CANÇADO TRINDADE, Antônio Augusto. </w:t>
      </w:r>
      <w:r w:rsidRPr="002B0178">
        <w:rPr>
          <w:i/>
          <w:sz w:val="18"/>
          <w:szCs w:val="18"/>
          <w:lang w:val="pt-BR"/>
        </w:rPr>
        <w:t>Tratado de Direito Internacional dos Direitos Humanos</w:t>
      </w:r>
      <w:r w:rsidRPr="002B0178">
        <w:rPr>
          <w:sz w:val="18"/>
          <w:szCs w:val="18"/>
          <w:lang w:val="pt-BR"/>
        </w:rPr>
        <w:t xml:space="preserve">, v. I. Porto Alegre: Sérgio Fabris Editor, 1999; SARLET, Ingo Wolfgang. Integração dos tratados de Direitos Humanos no ordenamento jurídico. </w:t>
      </w:r>
      <w:r w:rsidRPr="002B0178">
        <w:rPr>
          <w:i/>
          <w:sz w:val="18"/>
          <w:szCs w:val="18"/>
          <w:lang w:val="pt-BR"/>
        </w:rPr>
        <w:t>CONJUR</w:t>
      </w:r>
      <w:r w:rsidRPr="002B0178">
        <w:rPr>
          <w:sz w:val="18"/>
          <w:szCs w:val="18"/>
          <w:lang w:val="pt-BR"/>
        </w:rPr>
        <w:t xml:space="preserve">, 27 mar. 2015; RAMOS, André de Carvalho. </w:t>
      </w:r>
      <w:r w:rsidRPr="002B0178">
        <w:rPr>
          <w:i/>
          <w:sz w:val="18"/>
          <w:szCs w:val="18"/>
          <w:lang w:val="pt-BR"/>
        </w:rPr>
        <w:t>Teoria Geral dos Direitos Humanos na Ordem Internacional</w:t>
      </w:r>
      <w:r w:rsidRPr="002B0178">
        <w:rPr>
          <w:sz w:val="18"/>
          <w:szCs w:val="18"/>
          <w:lang w:val="pt-BR"/>
        </w:rPr>
        <w:t>. 6 ed. São Paulo: Saraiva, 2016.</w:t>
      </w:r>
    </w:p>
  </w:footnote>
  <w:footnote w:id="64">
    <w:p w14:paraId="6EAD39FE" w14:textId="7F876A94"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B0178">
        <w:rPr>
          <w:rFonts w:ascii="Times New Roman" w:hAnsi="Times New Roman" w:cs="Times New Roman"/>
          <w:color w:val="1A1718"/>
          <w:sz w:val="18"/>
          <w:szCs w:val="18"/>
        </w:rPr>
        <w:t xml:space="preserve">Slaughter afirma que o empréstimo jurisprudencial corresponderia a um monólogo, pois uma corte incorpora posições adotadas pela outra que sequer toma conhecimento de sua existencia. </w:t>
      </w:r>
      <w:proofErr w:type="gramStart"/>
      <w:r w:rsidRPr="008368CD">
        <w:rPr>
          <w:rFonts w:ascii="Times New Roman" w:hAnsi="Times New Roman" w:cs="Times New Roman"/>
          <w:color w:val="1A1718"/>
          <w:sz w:val="18"/>
          <w:szCs w:val="18"/>
          <w:lang w:val="en-US"/>
        </w:rPr>
        <w:t>SLAUGHTER, Anne-Marie.</w:t>
      </w:r>
      <w:proofErr w:type="gramEnd"/>
      <w:r w:rsidRPr="008368CD">
        <w:rPr>
          <w:rFonts w:ascii="Times New Roman" w:hAnsi="Times New Roman" w:cs="Times New Roman"/>
          <w:color w:val="1A1718"/>
          <w:sz w:val="18"/>
          <w:szCs w:val="18"/>
          <w:lang w:val="en-US"/>
        </w:rPr>
        <w:t xml:space="preserve"> </w:t>
      </w:r>
      <w:proofErr w:type="gramStart"/>
      <w:r w:rsidRPr="002B0178">
        <w:rPr>
          <w:rFonts w:ascii="Times New Roman" w:hAnsi="Times New Roman" w:cs="Times New Roman"/>
          <w:sz w:val="18"/>
          <w:szCs w:val="18"/>
          <w:lang w:val="en-US"/>
        </w:rPr>
        <w:t>A Tipology of Transjudicial Communication.</w:t>
      </w:r>
      <w:proofErr w:type="gramEnd"/>
      <w:r w:rsidRPr="002B0178">
        <w:rPr>
          <w:rFonts w:ascii="Times New Roman" w:hAnsi="Times New Roman" w:cs="Times New Roman"/>
          <w:sz w:val="18"/>
          <w:szCs w:val="18"/>
          <w:lang w:val="en-US"/>
        </w:rPr>
        <w:t xml:space="preserve"> </w:t>
      </w:r>
      <w:proofErr w:type="gramStart"/>
      <w:r w:rsidRPr="008368CD">
        <w:rPr>
          <w:rFonts w:ascii="Times New Roman" w:hAnsi="Times New Roman" w:cs="Times New Roman"/>
          <w:i/>
          <w:iCs/>
          <w:sz w:val="18"/>
          <w:szCs w:val="18"/>
          <w:lang w:val="en-US"/>
        </w:rPr>
        <w:t>University of Richmond Law Review</w:t>
      </w:r>
      <w:r w:rsidRPr="008368CD">
        <w:rPr>
          <w:rFonts w:ascii="Times New Roman" w:hAnsi="Times New Roman" w:cs="Times New Roman"/>
          <w:i/>
          <w:sz w:val="18"/>
          <w:szCs w:val="18"/>
          <w:lang w:val="en-US"/>
        </w:rPr>
        <w:t>,</w:t>
      </w:r>
      <w:r w:rsidRPr="008368CD">
        <w:rPr>
          <w:rFonts w:ascii="Times New Roman" w:hAnsi="Times New Roman" w:cs="Times New Roman"/>
          <w:sz w:val="18"/>
          <w:szCs w:val="18"/>
          <w:lang w:val="en-US"/>
        </w:rPr>
        <w:t xml:space="preserve"> Richmond, n. 29, pp. 99-137, 1994.</w:t>
      </w:r>
      <w:proofErr w:type="gramEnd"/>
      <w:r w:rsidRPr="008368CD">
        <w:rPr>
          <w:rFonts w:ascii="Times New Roman" w:hAnsi="Times New Roman" w:cs="Times New Roman"/>
          <w:sz w:val="18"/>
          <w:szCs w:val="18"/>
          <w:lang w:val="en-US"/>
        </w:rPr>
        <w:t xml:space="preserve"> </w:t>
      </w:r>
      <w:r w:rsidRPr="002B0178">
        <w:rPr>
          <w:rFonts w:ascii="Times New Roman" w:hAnsi="Times New Roman" w:cs="Times New Roman"/>
          <w:sz w:val="18"/>
          <w:szCs w:val="18"/>
        </w:rPr>
        <w:t xml:space="preserve">Disponível em: </w:t>
      </w:r>
      <w:hyperlink r:id="rId8" w:history="1">
        <w:r w:rsidRPr="002B0178">
          <w:rPr>
            <w:rStyle w:val="Hyperlink"/>
            <w:rFonts w:ascii="Times New Roman" w:hAnsi="Times New Roman" w:cs="Times New Roman"/>
            <w:sz w:val="18"/>
            <w:szCs w:val="18"/>
          </w:rPr>
          <w:t>http://scholarship.richmond.edu/lawreview/vol29/iss1/6</w:t>
        </w:r>
      </w:hyperlink>
      <w:r w:rsidRPr="002B0178">
        <w:rPr>
          <w:rFonts w:ascii="Times New Roman" w:hAnsi="Times New Roman" w:cs="Times New Roman"/>
          <w:sz w:val="18"/>
          <w:szCs w:val="18"/>
        </w:rPr>
        <w:t xml:space="preserve"> . Acesso em: 11 fev. 2019. </w:t>
      </w:r>
      <w:r w:rsidRPr="002B0178">
        <w:rPr>
          <w:rFonts w:ascii="Times New Roman" w:hAnsi="Times New Roman" w:cs="Times New Roman"/>
          <w:color w:val="1A1718"/>
          <w:sz w:val="18"/>
          <w:szCs w:val="18"/>
        </w:rPr>
        <w:t>p. 113.</w:t>
      </w:r>
    </w:p>
  </w:footnote>
  <w:footnote w:id="65">
    <w:p w14:paraId="45302A5E" w14:textId="30C845A7"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r>
        <w:rPr>
          <w:rFonts w:ascii="Times New Roman" w:hAnsi="Times New Roman" w:cs="Times New Roman"/>
          <w:sz w:val="18"/>
          <w:szCs w:val="18"/>
          <w:lang w:val="en-US"/>
        </w:rPr>
        <w:t xml:space="preserve">  </w:t>
      </w:r>
      <w:r w:rsidRPr="002B0178">
        <w:rPr>
          <w:rFonts w:ascii="Times New Roman" w:hAnsi="Times New Roman" w:cs="Times New Roman"/>
          <w:sz w:val="18"/>
          <w:szCs w:val="18"/>
          <w:lang w:val="en-US"/>
        </w:rPr>
        <w:t xml:space="preserve">ACOSTA ALVARADO, Paola Andrea. The Latin-American Judicial Dialogue: a Two-Way Street Towards Effective Protection. </w:t>
      </w:r>
      <w:r w:rsidRPr="008368CD">
        <w:rPr>
          <w:rFonts w:ascii="Times New Roman" w:hAnsi="Times New Roman" w:cs="Times New Roman"/>
          <w:sz w:val="18"/>
          <w:szCs w:val="18"/>
        </w:rPr>
        <w:t xml:space="preserve">In HAECK, Yves; RUIZ-CHIRIMBOGA, Oswaldo; BURBANO-HERRERA, Clara (ed.). </w:t>
      </w:r>
      <w:r w:rsidRPr="002B0178">
        <w:rPr>
          <w:rFonts w:ascii="Times New Roman" w:hAnsi="Times New Roman" w:cs="Times New Roman"/>
          <w:i/>
          <w:sz w:val="18"/>
          <w:szCs w:val="18"/>
          <w:lang w:val="en-US"/>
        </w:rPr>
        <w:t>The Inter-American Court of Human Rights:</w:t>
      </w:r>
      <w:r w:rsidRPr="002B0178">
        <w:rPr>
          <w:rFonts w:ascii="Times New Roman" w:hAnsi="Times New Roman" w:cs="Times New Roman"/>
          <w:sz w:val="18"/>
          <w:szCs w:val="18"/>
          <w:lang w:val="en-US"/>
        </w:rPr>
        <w:t xml:space="preserve"> Theory and Practice, Present and Future. </w:t>
      </w:r>
      <w:r w:rsidRPr="008368CD">
        <w:rPr>
          <w:rFonts w:ascii="Times New Roman" w:hAnsi="Times New Roman" w:cs="Times New Roman"/>
          <w:sz w:val="18"/>
          <w:szCs w:val="18"/>
        </w:rPr>
        <w:t>Cambridge: Intersencia, 2015. p. 693-711, p. 701.</w:t>
      </w:r>
    </w:p>
  </w:footnote>
  <w:footnote w:id="66">
    <w:p w14:paraId="22ECC164" w14:textId="0E24E6B8"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Nesse sentido, diverge-se da noção de reciprocidade proposta por De VERGOTTINI, Giuseppe. </w:t>
      </w:r>
      <w:r w:rsidRPr="002B0178">
        <w:rPr>
          <w:rFonts w:ascii="Times New Roman" w:hAnsi="Times New Roman" w:cs="Times New Roman"/>
          <w:color w:val="1A1718"/>
          <w:sz w:val="18"/>
          <w:szCs w:val="18"/>
        </w:rPr>
        <w:t xml:space="preserve">El diálogo entre tribunales. Traducción de F. Reviriego Picón. </w:t>
      </w:r>
      <w:r w:rsidRPr="002B0178">
        <w:rPr>
          <w:rFonts w:ascii="Times New Roman" w:hAnsi="Times New Roman" w:cs="Times New Roman"/>
          <w:i/>
          <w:color w:val="1A1718"/>
          <w:sz w:val="18"/>
          <w:szCs w:val="18"/>
        </w:rPr>
        <w:t>Teoría y Realidad Constitucional</w:t>
      </w:r>
      <w:r w:rsidRPr="002B0178">
        <w:rPr>
          <w:rFonts w:ascii="Times New Roman" w:hAnsi="Times New Roman" w:cs="Times New Roman"/>
          <w:color w:val="1A1718"/>
          <w:sz w:val="18"/>
          <w:szCs w:val="18"/>
        </w:rPr>
        <w:t>: Revista Jurídica da UNED, Madrid, n. 28, p. 335-352, 2011. p. 349.</w:t>
      </w:r>
    </w:p>
  </w:footnote>
  <w:footnote w:id="67">
    <w:p w14:paraId="0881C591" w14:textId="38B3EC86"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r>
        <w:rPr>
          <w:rFonts w:ascii="Times New Roman" w:hAnsi="Times New Roman" w:cs="Times New Roman"/>
          <w:sz w:val="18"/>
          <w:szCs w:val="18"/>
          <w:lang w:val="en-US"/>
        </w:rPr>
        <w:t xml:space="preserve">  </w:t>
      </w:r>
      <w:r w:rsidRPr="002B0178">
        <w:rPr>
          <w:rFonts w:ascii="Times New Roman" w:hAnsi="Times New Roman" w:cs="Times New Roman"/>
          <w:sz w:val="18"/>
          <w:szCs w:val="18"/>
          <w:lang w:val="en-US"/>
        </w:rPr>
        <w:t xml:space="preserve">TZANAKOPOULOS, Antonios. </w:t>
      </w:r>
      <w:proofErr w:type="gramStart"/>
      <w:r w:rsidRPr="002B0178">
        <w:rPr>
          <w:rFonts w:ascii="Times New Roman" w:hAnsi="Times New Roman" w:cs="Times New Roman"/>
          <w:sz w:val="18"/>
          <w:szCs w:val="18"/>
          <w:lang w:val="en-US"/>
        </w:rPr>
        <w:t>Judicial Dialogue as a Means of Interpretation.</w:t>
      </w:r>
      <w:proofErr w:type="gramEnd"/>
      <w:r w:rsidRPr="002B0178">
        <w:rPr>
          <w:rFonts w:ascii="Times New Roman" w:hAnsi="Times New Roman" w:cs="Times New Roman"/>
          <w:sz w:val="18"/>
          <w:szCs w:val="18"/>
          <w:lang w:val="en-US"/>
        </w:rPr>
        <w:t xml:space="preserve"> In: AUST, Helmut Phillip</w:t>
      </w:r>
      <w:proofErr w:type="gramStart"/>
      <w:r w:rsidRPr="002B0178">
        <w:rPr>
          <w:rFonts w:ascii="Times New Roman" w:hAnsi="Times New Roman" w:cs="Times New Roman"/>
          <w:sz w:val="18"/>
          <w:szCs w:val="18"/>
          <w:lang w:val="en-US"/>
        </w:rPr>
        <w:t>;</w:t>
      </w:r>
      <w:proofErr w:type="gramEnd"/>
      <w:r w:rsidRPr="002B0178">
        <w:rPr>
          <w:rFonts w:ascii="Times New Roman" w:hAnsi="Times New Roman" w:cs="Times New Roman"/>
          <w:sz w:val="18"/>
          <w:szCs w:val="18"/>
          <w:lang w:val="en-US"/>
        </w:rPr>
        <w:t xml:space="preserve"> NOLTE, Georg (ed.). </w:t>
      </w:r>
      <w:r w:rsidRPr="002B0178">
        <w:rPr>
          <w:rFonts w:ascii="Times New Roman" w:hAnsi="Times New Roman" w:cs="Times New Roman"/>
          <w:i/>
          <w:sz w:val="18"/>
          <w:szCs w:val="18"/>
          <w:lang w:val="en-US"/>
        </w:rPr>
        <w:t>The Interpretation of International Law by Domestic Courts</w:t>
      </w:r>
      <w:r w:rsidRPr="002B0178">
        <w:rPr>
          <w:rFonts w:ascii="Times New Roman" w:hAnsi="Times New Roman" w:cs="Times New Roman"/>
          <w:sz w:val="18"/>
          <w:szCs w:val="18"/>
          <w:lang w:val="en-US"/>
        </w:rPr>
        <w:t xml:space="preserve">: Uniformity, Diversity, </w:t>
      </w:r>
      <w:proofErr w:type="gramStart"/>
      <w:r w:rsidRPr="002B0178">
        <w:rPr>
          <w:rFonts w:ascii="Times New Roman" w:hAnsi="Times New Roman" w:cs="Times New Roman"/>
          <w:sz w:val="18"/>
          <w:szCs w:val="18"/>
          <w:lang w:val="en-US"/>
        </w:rPr>
        <w:t>Convergence</w:t>
      </w:r>
      <w:proofErr w:type="gramEnd"/>
      <w:r w:rsidRPr="002B0178">
        <w:rPr>
          <w:rFonts w:ascii="Times New Roman" w:hAnsi="Times New Roman" w:cs="Times New Roman"/>
          <w:sz w:val="18"/>
          <w:szCs w:val="18"/>
          <w:lang w:val="en-US"/>
        </w:rPr>
        <w:t xml:space="preserve">. </w:t>
      </w:r>
      <w:r w:rsidRPr="008368CD">
        <w:rPr>
          <w:rFonts w:ascii="Times New Roman" w:hAnsi="Times New Roman" w:cs="Times New Roman"/>
          <w:sz w:val="18"/>
          <w:szCs w:val="18"/>
        </w:rPr>
        <w:t>Oxford: Oxford University Press, 2016. p.72-95, p. 75.</w:t>
      </w:r>
    </w:p>
  </w:footnote>
  <w:footnote w:id="68">
    <w:p w14:paraId="67872B8C" w14:textId="44CC65F1"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ROLLA, Giancarlo. Algunas consideraciones sobre la tutela de los derechos y libertades fundamentales ante las jurisdicciones supranacionales. In SAIZ ARNAIZ, Alejandro; SOLANES MULLOR, Joan; ROA ROA, Jorge Ernesto. </w:t>
      </w:r>
      <w:r w:rsidRPr="008368CD">
        <w:rPr>
          <w:rFonts w:ascii="Times New Roman" w:hAnsi="Times New Roman" w:cs="Times New Roman"/>
          <w:i/>
          <w:sz w:val="18"/>
          <w:szCs w:val="18"/>
        </w:rPr>
        <w:t xml:space="preserve">Diálogos Judiciales en el Sistema Interamericano de Derechos Humanos. </w:t>
      </w:r>
      <w:r w:rsidRPr="008368CD">
        <w:rPr>
          <w:rFonts w:ascii="Times New Roman" w:hAnsi="Times New Roman" w:cs="Times New Roman"/>
          <w:sz w:val="18"/>
          <w:szCs w:val="18"/>
        </w:rPr>
        <w:t>Valencia: Tirant lo Blanch, 2017. p. 71-88, p. 71.</w:t>
      </w:r>
    </w:p>
  </w:footnote>
  <w:footnote w:id="69">
    <w:p w14:paraId="479E7619" w14:textId="05C15FD5" w:rsidR="00742149" w:rsidRPr="008368CD" w:rsidRDefault="00742149" w:rsidP="00D71B63">
      <w:pPr>
        <w:widowControl w:val="0"/>
        <w:autoSpaceDE w:val="0"/>
        <w:autoSpaceDN w:val="0"/>
        <w:adjustRightInd w:val="0"/>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Sobre os processos de resistência, contestação e backlasch em relação a decisões da Corte Interamericana de Direitos Humanos, inclusive a denúncia da Venezuela da Convenção Americana sobre Direitos Humanos, ver estudo de SOLEY, Ximena; STEININGER, Silvia. </w:t>
      </w:r>
      <w:r w:rsidRPr="002B0178">
        <w:rPr>
          <w:rFonts w:ascii="Times New Roman" w:hAnsi="Times New Roman" w:cs="Times New Roman"/>
          <w:sz w:val="18"/>
          <w:szCs w:val="18"/>
          <w:lang w:val="en-US"/>
        </w:rPr>
        <w:t xml:space="preserve">Parting ways or lashing back? </w:t>
      </w:r>
      <w:proofErr w:type="gramStart"/>
      <w:r w:rsidRPr="002B0178">
        <w:rPr>
          <w:rFonts w:ascii="Times New Roman" w:hAnsi="Times New Roman" w:cs="Times New Roman"/>
          <w:sz w:val="18"/>
          <w:szCs w:val="18"/>
          <w:lang w:val="en-US"/>
        </w:rPr>
        <w:t>Withdrawals, backlash and the Inter-American Court of Human Rights</w:t>
      </w:r>
      <w:r w:rsidRPr="002B0178">
        <w:rPr>
          <w:rFonts w:ascii="Times New Roman" w:hAnsi="Times New Roman" w:cs="Times New Roman"/>
          <w:i/>
          <w:sz w:val="18"/>
          <w:szCs w:val="18"/>
          <w:lang w:val="en-US"/>
        </w:rPr>
        <w:t>.</w:t>
      </w:r>
      <w:proofErr w:type="gramEnd"/>
      <w:r w:rsidRPr="002B0178">
        <w:rPr>
          <w:rFonts w:ascii="Times New Roman" w:hAnsi="Times New Roman" w:cs="Times New Roman"/>
          <w:sz w:val="18"/>
          <w:szCs w:val="18"/>
          <w:lang w:val="en-US"/>
        </w:rPr>
        <w:t xml:space="preserve"> </w:t>
      </w:r>
      <w:r w:rsidRPr="002B0178">
        <w:rPr>
          <w:rFonts w:ascii="Times New Roman" w:hAnsi="Times New Roman" w:cs="Times New Roman"/>
          <w:i/>
          <w:sz w:val="18"/>
          <w:szCs w:val="18"/>
        </w:rPr>
        <w:t>MPIL Research Paper Series</w:t>
      </w:r>
      <w:r w:rsidRPr="002B0178">
        <w:rPr>
          <w:rFonts w:ascii="Times New Roman" w:hAnsi="Times New Roman" w:cs="Times New Roman"/>
          <w:sz w:val="18"/>
          <w:szCs w:val="18"/>
        </w:rPr>
        <w:t xml:space="preserve"> No. 2018-01. Disponível em: https://ssrn.com/abstract=3103666. </w:t>
      </w:r>
      <w:r w:rsidRPr="008368CD">
        <w:rPr>
          <w:rFonts w:ascii="Times New Roman" w:hAnsi="Times New Roman" w:cs="Times New Roman"/>
          <w:sz w:val="18"/>
          <w:szCs w:val="18"/>
          <w:lang w:val="en-US"/>
        </w:rPr>
        <w:t>Acesso em: 10 dez. 2018.</w:t>
      </w:r>
    </w:p>
  </w:footnote>
  <w:footnote w:id="70">
    <w:p w14:paraId="5AD6A76A" w14:textId="668627D9"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r>
        <w:rPr>
          <w:rFonts w:ascii="Times New Roman" w:hAnsi="Times New Roman" w:cs="Times New Roman"/>
          <w:sz w:val="18"/>
          <w:szCs w:val="18"/>
          <w:lang w:val="en-US"/>
        </w:rPr>
        <w:t xml:space="preserve"> </w:t>
      </w:r>
      <w:proofErr w:type="gramStart"/>
      <w:r w:rsidRPr="008368CD">
        <w:rPr>
          <w:rFonts w:ascii="Times New Roman" w:hAnsi="Times New Roman" w:cs="Times New Roman"/>
          <w:sz w:val="18"/>
          <w:szCs w:val="18"/>
          <w:lang w:val="en-US"/>
        </w:rPr>
        <w:t>SLAUGHTER, Anne-Marie.</w:t>
      </w:r>
      <w:proofErr w:type="gramEnd"/>
      <w:r w:rsidRPr="008368CD">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 Tipology of Transjudicial Communication.</w:t>
      </w:r>
      <w:proofErr w:type="gramEnd"/>
      <w:r w:rsidRPr="002B0178">
        <w:rPr>
          <w:rFonts w:ascii="Times New Roman" w:hAnsi="Times New Roman" w:cs="Times New Roman"/>
          <w:sz w:val="18"/>
          <w:szCs w:val="18"/>
          <w:lang w:val="en-US"/>
        </w:rPr>
        <w:t xml:space="preserve"> </w:t>
      </w:r>
      <w:proofErr w:type="gramStart"/>
      <w:r w:rsidRPr="008368CD">
        <w:rPr>
          <w:rFonts w:ascii="Times New Roman" w:hAnsi="Times New Roman" w:cs="Times New Roman"/>
          <w:i/>
          <w:iCs/>
          <w:sz w:val="18"/>
          <w:szCs w:val="18"/>
          <w:lang w:val="en-US"/>
        </w:rPr>
        <w:t>University of Richmond Law Review</w:t>
      </w:r>
      <w:r w:rsidRPr="008368CD">
        <w:rPr>
          <w:rFonts w:ascii="Times New Roman" w:hAnsi="Times New Roman" w:cs="Times New Roman"/>
          <w:sz w:val="18"/>
          <w:szCs w:val="18"/>
          <w:lang w:val="en-US"/>
        </w:rPr>
        <w:t>, Richmond, n. 29, pp. 99-137, 1994.</w:t>
      </w:r>
      <w:proofErr w:type="gramEnd"/>
      <w:r w:rsidRPr="008368CD">
        <w:rPr>
          <w:rFonts w:ascii="Times New Roman" w:hAnsi="Times New Roman" w:cs="Times New Roman"/>
          <w:sz w:val="18"/>
          <w:szCs w:val="18"/>
          <w:lang w:val="en-US"/>
        </w:rPr>
        <w:t xml:space="preserve"> Disponível em: </w:t>
      </w:r>
      <w:hyperlink r:id="rId9" w:history="1">
        <w:r w:rsidRPr="008368CD">
          <w:rPr>
            <w:rStyle w:val="Hyperlink"/>
            <w:rFonts w:ascii="Times New Roman" w:hAnsi="Times New Roman" w:cs="Times New Roman"/>
            <w:sz w:val="18"/>
            <w:szCs w:val="18"/>
            <w:lang w:val="en-US"/>
          </w:rPr>
          <w:t>http://scholarship.richmond.edu/lawreview/vol29/iss1/6</w:t>
        </w:r>
      </w:hyperlink>
      <w:proofErr w:type="gramStart"/>
      <w:r w:rsidRPr="008368CD">
        <w:rPr>
          <w:rFonts w:ascii="Times New Roman" w:hAnsi="Times New Roman" w:cs="Times New Roman"/>
          <w:sz w:val="18"/>
          <w:szCs w:val="18"/>
          <w:lang w:val="en-US"/>
        </w:rPr>
        <w:t xml:space="preserve"> .</w:t>
      </w:r>
      <w:proofErr w:type="gramEnd"/>
      <w:r w:rsidRPr="008368CD">
        <w:rPr>
          <w:rFonts w:ascii="Times New Roman" w:hAnsi="Times New Roman" w:cs="Times New Roman"/>
          <w:sz w:val="18"/>
          <w:szCs w:val="18"/>
          <w:lang w:val="en-US"/>
        </w:rPr>
        <w:t xml:space="preserve"> Acesso em: 11 fev. 2019. </w:t>
      </w:r>
      <w:proofErr w:type="gramStart"/>
      <w:r w:rsidRPr="008368CD">
        <w:rPr>
          <w:rFonts w:ascii="Times New Roman" w:hAnsi="Times New Roman" w:cs="Times New Roman"/>
          <w:color w:val="1A1718"/>
          <w:sz w:val="18"/>
          <w:szCs w:val="18"/>
          <w:lang w:val="en-US"/>
        </w:rPr>
        <w:t>p</w:t>
      </w:r>
      <w:proofErr w:type="gramEnd"/>
      <w:r w:rsidRPr="008368CD">
        <w:rPr>
          <w:rFonts w:ascii="Times New Roman" w:hAnsi="Times New Roman" w:cs="Times New Roman"/>
          <w:color w:val="1A1718"/>
          <w:sz w:val="18"/>
          <w:szCs w:val="18"/>
          <w:lang w:val="en-US"/>
        </w:rPr>
        <w:t xml:space="preserve">. </w:t>
      </w:r>
      <w:r w:rsidRPr="008368CD">
        <w:rPr>
          <w:rFonts w:ascii="Times New Roman" w:hAnsi="Times New Roman" w:cs="Times New Roman"/>
          <w:sz w:val="18"/>
          <w:szCs w:val="18"/>
          <w:lang w:val="en-US"/>
        </w:rPr>
        <w:t>101-103.</w:t>
      </w:r>
    </w:p>
  </w:footnote>
  <w:footnote w:id="71">
    <w:p w14:paraId="7E2D80C8" w14:textId="43B395E2"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r>
        <w:rPr>
          <w:rFonts w:ascii="Times New Roman" w:hAnsi="Times New Roman" w:cs="Times New Roman"/>
          <w:sz w:val="18"/>
          <w:szCs w:val="18"/>
          <w:lang w:val="en-US"/>
        </w:rPr>
        <w:t xml:space="preserve"> </w:t>
      </w:r>
      <w:r w:rsidRPr="002B0178">
        <w:rPr>
          <w:rFonts w:ascii="Times New Roman" w:hAnsi="Times New Roman" w:cs="Times New Roman"/>
          <w:sz w:val="18"/>
          <w:szCs w:val="18"/>
          <w:lang w:val="en-US"/>
        </w:rPr>
        <w:t>MOHALLEM, Michael Freitas. Horizontal Judicial Dialogue on Human Rights: the Practice of Constitutional Courts in South America. In: MÜLLER, Amrei</w:t>
      </w:r>
      <w:proofErr w:type="gramStart"/>
      <w:r w:rsidRPr="002B0178">
        <w:rPr>
          <w:rFonts w:ascii="Times New Roman" w:hAnsi="Times New Roman" w:cs="Times New Roman"/>
          <w:sz w:val="18"/>
          <w:szCs w:val="18"/>
          <w:lang w:val="en-US"/>
        </w:rPr>
        <w:t>;</w:t>
      </w:r>
      <w:proofErr w:type="gramEnd"/>
      <w:r w:rsidRPr="002B0178">
        <w:rPr>
          <w:rFonts w:ascii="Times New Roman" w:hAnsi="Times New Roman" w:cs="Times New Roman"/>
          <w:sz w:val="18"/>
          <w:szCs w:val="18"/>
          <w:lang w:val="en-US"/>
        </w:rPr>
        <w:t xml:space="preserve"> KJOS, Hege Elisabeth (ed.). </w:t>
      </w:r>
      <w:r w:rsidRPr="002B0178">
        <w:rPr>
          <w:rFonts w:ascii="Times New Roman" w:hAnsi="Times New Roman" w:cs="Times New Roman"/>
          <w:i/>
          <w:sz w:val="18"/>
          <w:szCs w:val="18"/>
          <w:lang w:val="en-US"/>
        </w:rPr>
        <w:t>Judicial Dialogue and Human Rights</w:t>
      </w:r>
      <w:r w:rsidRPr="002B0178">
        <w:rPr>
          <w:rFonts w:ascii="Times New Roman" w:hAnsi="Times New Roman" w:cs="Times New Roman"/>
          <w:sz w:val="18"/>
          <w:szCs w:val="18"/>
          <w:lang w:val="en-US"/>
        </w:rPr>
        <w:t xml:space="preserve">: studies on International Courts and Tribunals. </w:t>
      </w:r>
      <w:r w:rsidRPr="008368CD">
        <w:rPr>
          <w:rFonts w:ascii="Times New Roman" w:hAnsi="Times New Roman" w:cs="Times New Roman"/>
          <w:sz w:val="18"/>
          <w:szCs w:val="18"/>
        </w:rPr>
        <w:t>Cambridge: Cambridge University Press, 2017. p.67-112, p. 85.</w:t>
      </w:r>
    </w:p>
  </w:footnote>
  <w:footnote w:id="72">
    <w:p w14:paraId="32B2806D" w14:textId="29DEC024"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B0178">
        <w:rPr>
          <w:rFonts w:ascii="Times New Roman" w:hAnsi="Times New Roman" w:cs="Times New Roman"/>
          <w:color w:val="000000"/>
          <w:sz w:val="18"/>
          <w:szCs w:val="18"/>
        </w:rPr>
        <w:t xml:space="preserve">GARCÍA ROCA, Javier; NOGUEIRA ALCALÁ, Humberto; BUSTOS GISBERT, Rafael. La comunicación entre ambos sistemas y las características del diálogo. In: GARCÍA ROCA, Javier; et. al. (ed.). </w:t>
      </w:r>
      <w:r w:rsidRPr="002B0178">
        <w:rPr>
          <w:rFonts w:ascii="Times New Roman" w:hAnsi="Times New Roman" w:cs="Times New Roman"/>
          <w:i/>
          <w:color w:val="000000"/>
          <w:sz w:val="18"/>
          <w:szCs w:val="18"/>
        </w:rPr>
        <w:t>El Diálogo entre los Sistemas Europeo y Americano de Derechos Humanos</w:t>
      </w:r>
      <w:r w:rsidRPr="002B0178">
        <w:rPr>
          <w:rFonts w:ascii="Times New Roman" w:hAnsi="Times New Roman" w:cs="Times New Roman"/>
          <w:color w:val="000000"/>
          <w:sz w:val="18"/>
          <w:szCs w:val="18"/>
        </w:rPr>
        <w:t xml:space="preserve">. </w:t>
      </w:r>
      <w:r w:rsidRPr="008368CD">
        <w:rPr>
          <w:rFonts w:ascii="Times New Roman" w:hAnsi="Times New Roman" w:cs="Times New Roman"/>
          <w:color w:val="000000"/>
          <w:sz w:val="18"/>
          <w:szCs w:val="18"/>
          <w:lang w:val="en-US"/>
        </w:rPr>
        <w:t>Pamplona: Thomson Reuters, 2013. p. 65-107, p. 76.</w:t>
      </w:r>
    </w:p>
  </w:footnote>
  <w:footnote w:id="73">
    <w:p w14:paraId="4EA51BAC" w14:textId="5B89E813" w:rsidR="00742149" w:rsidRPr="002B0178" w:rsidRDefault="00742149" w:rsidP="00D71B63">
      <w:pPr>
        <w:pStyle w:val="NormalWeb"/>
        <w:spacing w:before="0" w:beforeAutospacing="0" w:after="0" w:afterAutospacing="0"/>
        <w:jc w:val="both"/>
        <w:rPr>
          <w:sz w:val="18"/>
          <w:szCs w:val="18"/>
          <w:lang w:val="pt-BR"/>
        </w:rPr>
      </w:pPr>
      <w:r w:rsidRPr="008368CD">
        <w:rPr>
          <w:rStyle w:val="FootnoteReference"/>
          <w:sz w:val="18"/>
          <w:szCs w:val="18"/>
        </w:rPr>
        <w:footnoteRef/>
      </w:r>
      <w:r w:rsidRPr="002B0178">
        <w:rPr>
          <w:sz w:val="18"/>
          <w:szCs w:val="18"/>
          <w:lang w:val="pt-BR"/>
        </w:rPr>
        <w:t xml:space="preserve">    </w:t>
      </w:r>
      <w:r>
        <w:rPr>
          <w:sz w:val="18"/>
          <w:szCs w:val="18"/>
          <w:lang w:val="pt-BR"/>
        </w:rPr>
        <w:t xml:space="preserve"> </w:t>
      </w:r>
      <w:r w:rsidRPr="002B0178">
        <w:rPr>
          <w:sz w:val="18"/>
          <w:szCs w:val="18"/>
          <w:lang w:val="pt-BR"/>
        </w:rPr>
        <w:t xml:space="preserve">CORTE INTERAMERICANA DE DERECHOS HUMANOS. </w:t>
      </w:r>
      <w:r w:rsidRPr="002B0178">
        <w:rPr>
          <w:bCs/>
          <w:i/>
          <w:sz w:val="18"/>
          <w:szCs w:val="18"/>
          <w:lang w:val="pt-BR"/>
        </w:rPr>
        <w:t>Caso Almonacid-Arellano y otros</w:t>
      </w:r>
      <w:r w:rsidRPr="002B0178">
        <w:rPr>
          <w:bCs/>
          <w:i/>
          <w:iCs/>
          <w:sz w:val="18"/>
          <w:szCs w:val="18"/>
          <w:lang w:val="pt-BR"/>
        </w:rPr>
        <w:t xml:space="preserve"> vs</w:t>
      </w:r>
      <w:r w:rsidRPr="002B0178">
        <w:rPr>
          <w:bCs/>
          <w:i/>
          <w:sz w:val="18"/>
          <w:szCs w:val="18"/>
          <w:lang w:val="pt-BR"/>
        </w:rPr>
        <w:t>. Chile</w:t>
      </w:r>
      <w:r w:rsidRPr="002B0178">
        <w:rPr>
          <w:b/>
          <w:bCs/>
          <w:sz w:val="18"/>
          <w:szCs w:val="18"/>
          <w:lang w:val="pt-BR"/>
        </w:rPr>
        <w:t xml:space="preserve">. </w:t>
      </w:r>
      <w:r w:rsidRPr="002B0178">
        <w:rPr>
          <w:bCs/>
          <w:sz w:val="18"/>
          <w:szCs w:val="18"/>
          <w:lang w:val="pt-BR"/>
        </w:rPr>
        <w:t xml:space="preserve">Sentencia de 26 de Septiembre, 2006. </w:t>
      </w:r>
      <w:r w:rsidRPr="002B0178">
        <w:rPr>
          <w:bCs/>
          <w:iCs/>
          <w:sz w:val="18"/>
          <w:szCs w:val="18"/>
          <w:lang w:val="pt-BR"/>
        </w:rPr>
        <w:t xml:space="preserve">Excepciones Preliminares, Fondo, Reparaciones y Costas. Párrafos n. 124 y ss. Disponível em: http://www.corteidh.or.cr/docs/casos/articulos/seriec_154_esp.pdf. Acesso em: 20 fev. 2019. </w:t>
      </w:r>
    </w:p>
  </w:footnote>
  <w:footnote w:id="74">
    <w:p w14:paraId="38FE35D0" w14:textId="3DEF5D5A" w:rsidR="00742149" w:rsidRPr="008368CD" w:rsidRDefault="00742149" w:rsidP="00D71B63">
      <w:pPr>
        <w:pStyle w:val="Title"/>
        <w:jc w:val="both"/>
        <w:rPr>
          <w:rFonts w:ascii="Times New Roman" w:hAnsi="Times New Roman"/>
          <w:b w:val="0"/>
          <w:sz w:val="18"/>
          <w:szCs w:val="18"/>
          <w:lang w:val="es-ES_tradnl"/>
        </w:rPr>
      </w:pPr>
      <w:r w:rsidRPr="008368CD">
        <w:rPr>
          <w:rStyle w:val="FootnoteReference"/>
          <w:rFonts w:ascii="Times New Roman" w:hAnsi="Times New Roman"/>
          <w:b w:val="0"/>
          <w:sz w:val="18"/>
          <w:szCs w:val="18"/>
        </w:rPr>
        <w:footnoteRef/>
      </w:r>
      <w:r w:rsidRPr="008368CD">
        <w:rPr>
          <w:rFonts w:ascii="Times New Roman" w:hAnsi="Times New Roman"/>
          <w:b w:val="0"/>
          <w:sz w:val="18"/>
          <w:szCs w:val="18"/>
        </w:rPr>
        <w:t xml:space="preserve"> </w:t>
      </w:r>
      <w:r w:rsidRPr="008368CD">
        <w:rPr>
          <w:rFonts w:ascii="Times New Roman" w:hAnsi="Times New Roman"/>
          <w:b w:val="0"/>
          <w:sz w:val="18"/>
          <w:szCs w:val="18"/>
          <w:lang w:val="es-ES_tradnl"/>
        </w:rPr>
        <w:t xml:space="preserve">CORTE INTERAMERICANA DE DERECHOS HUMANOS. </w:t>
      </w:r>
      <w:r w:rsidRPr="008368CD">
        <w:rPr>
          <w:rFonts w:ascii="Times New Roman" w:hAnsi="Times New Roman"/>
          <w:b w:val="0"/>
          <w:bCs w:val="0"/>
          <w:i/>
          <w:sz w:val="18"/>
          <w:szCs w:val="18"/>
          <w:lang w:val="es-ES_tradnl"/>
        </w:rPr>
        <w:t>Caso Trabajadores Cesados del Congreso (Aguado Alfaro y otros) Vs. Perú</w:t>
      </w:r>
      <w:r w:rsidRPr="008368CD">
        <w:rPr>
          <w:rFonts w:ascii="Times New Roman" w:hAnsi="Times New Roman"/>
          <w:b w:val="0"/>
          <w:bCs w:val="0"/>
          <w:sz w:val="18"/>
          <w:szCs w:val="18"/>
          <w:lang w:val="es-ES_tradnl"/>
        </w:rPr>
        <w:t>. Sentencia de 24 de noviembre de 2006. Excepciones Preliminares, Fondo, Reparaciones y Costas</w:t>
      </w:r>
      <w:r w:rsidRPr="008368CD">
        <w:rPr>
          <w:rFonts w:ascii="Times New Roman" w:hAnsi="Times New Roman"/>
          <w:b w:val="0"/>
          <w:bCs w:val="0"/>
          <w:i/>
          <w:sz w:val="18"/>
          <w:szCs w:val="18"/>
          <w:lang w:val="es-ES_tradnl"/>
        </w:rPr>
        <w:t>.</w:t>
      </w:r>
      <w:r w:rsidRPr="008368CD">
        <w:rPr>
          <w:rFonts w:ascii="Times New Roman" w:hAnsi="Times New Roman"/>
          <w:b w:val="0"/>
          <w:bCs w:val="0"/>
          <w:sz w:val="18"/>
          <w:szCs w:val="18"/>
          <w:lang w:val="es-ES_tradnl"/>
        </w:rPr>
        <w:t xml:space="preserve"> Serie C-158.</w:t>
      </w:r>
      <w:r w:rsidRPr="008368CD">
        <w:rPr>
          <w:rFonts w:ascii="Times New Roman" w:hAnsi="Times New Roman"/>
          <w:b w:val="0"/>
          <w:bCs w:val="0"/>
          <w:i/>
          <w:sz w:val="18"/>
          <w:szCs w:val="18"/>
          <w:lang w:val="es-ES_tradnl"/>
        </w:rPr>
        <w:t xml:space="preserve"> </w:t>
      </w:r>
      <w:r w:rsidRPr="008368CD">
        <w:rPr>
          <w:rFonts w:ascii="Times New Roman" w:hAnsi="Times New Roman"/>
          <w:b w:val="0"/>
          <w:sz w:val="18"/>
          <w:szCs w:val="18"/>
        </w:rPr>
        <w:t>Párrafo 128.</w:t>
      </w:r>
    </w:p>
  </w:footnote>
  <w:footnote w:id="75">
    <w:p w14:paraId="0B633386" w14:textId="35F6ECEB"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FIX-ZAMUNDIO, Héctor. Relaciones entre los Tribunales Constitucionales latino-americanos y la Corte Interamericana de Derechos Humanos. In FERRER MAC-GREGOR, Eduardo; HERRERA GARCÍA, Alfonso (coord.) </w:t>
      </w:r>
      <w:r w:rsidRPr="008368CD">
        <w:rPr>
          <w:rFonts w:ascii="Times New Roman" w:hAnsi="Times New Roman" w:cs="Times New Roman"/>
          <w:i/>
          <w:sz w:val="18"/>
          <w:szCs w:val="18"/>
        </w:rPr>
        <w:t>Diálogo Jurisprudencial en Derechos Humanos</w:t>
      </w:r>
      <w:r w:rsidRPr="008368CD">
        <w:rPr>
          <w:rFonts w:ascii="Times New Roman" w:hAnsi="Times New Roman" w:cs="Times New Roman"/>
          <w:sz w:val="18"/>
          <w:szCs w:val="18"/>
        </w:rPr>
        <w:t>: Entre Tribunales Constitucionales y Cortes Internacionales. Valencia: Tirant lo Blanch, 2013. p. 673-765, p. 675-676; 744.</w:t>
      </w:r>
    </w:p>
  </w:footnote>
  <w:footnote w:id="76">
    <w:p w14:paraId="6F2FE12E" w14:textId="5E03F897"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GÓNGORA-MÉRA, Manuel Eduardo. Interacciones y convergências entre la corte interamericana de derechos humanos y los tribunales constitucionales nacionales: un enfoque coevolutivo. </w:t>
      </w:r>
      <w:proofErr w:type="gramStart"/>
      <w:r w:rsidRPr="002B0178">
        <w:rPr>
          <w:rFonts w:ascii="Times New Roman" w:hAnsi="Times New Roman" w:cs="Times New Roman"/>
          <w:sz w:val="18"/>
          <w:szCs w:val="18"/>
          <w:lang w:val="en-US"/>
        </w:rPr>
        <w:t>In VON BOGDANDY, Armin; PIOVESAN, Flávia; MORALES ANTONIAZZI, Mariela (coord.).</w:t>
      </w:r>
      <w:proofErr w:type="gramEnd"/>
      <w:r w:rsidRPr="002B0178">
        <w:rPr>
          <w:rFonts w:ascii="Times New Roman" w:hAnsi="Times New Roman" w:cs="Times New Roman"/>
          <w:sz w:val="18"/>
          <w:szCs w:val="18"/>
          <w:lang w:val="en-US"/>
        </w:rPr>
        <w:t xml:space="preserve"> </w:t>
      </w:r>
      <w:r w:rsidRPr="008368CD">
        <w:rPr>
          <w:rFonts w:ascii="Times New Roman" w:hAnsi="Times New Roman" w:cs="Times New Roman"/>
          <w:i/>
          <w:sz w:val="18"/>
          <w:szCs w:val="18"/>
        </w:rPr>
        <w:t>Estudos Avançados de Direitos Humanos</w:t>
      </w:r>
      <w:r w:rsidRPr="008368CD">
        <w:rPr>
          <w:rFonts w:ascii="Times New Roman" w:hAnsi="Times New Roman" w:cs="Times New Roman"/>
          <w:sz w:val="18"/>
          <w:szCs w:val="18"/>
        </w:rPr>
        <w:t>. Democracia e Integração Jurídica: Emergência de um Novo Direito Público. Rio de Janeiro: Elsevier, 2013. p. 312-337, p. 314-315.</w:t>
      </w:r>
    </w:p>
  </w:footnote>
  <w:footnote w:id="77">
    <w:p w14:paraId="0998450D" w14:textId="01F7ECDE" w:rsidR="00742149" w:rsidRPr="008368CD" w:rsidRDefault="00742149" w:rsidP="00D71B63">
      <w:pPr>
        <w:jc w:val="both"/>
        <w:rPr>
          <w:rFonts w:ascii="Times New Roman" w:hAnsi="Times New Roman" w:cs="Times New Roman"/>
          <w:sz w:val="18"/>
          <w:szCs w:val="18"/>
          <w:lang w:val="es-ES_tradnl"/>
        </w:rPr>
      </w:pPr>
      <w:r w:rsidRPr="008368CD">
        <w:rPr>
          <w:rStyle w:val="FootnoteReference"/>
          <w:rFonts w:ascii="Times New Roman" w:hAnsi="Times New Roman" w:cs="Times New Roman"/>
          <w:sz w:val="18"/>
          <w:szCs w:val="18"/>
          <w:lang w:val="es-ES_tradnl"/>
        </w:rPr>
        <w:footnoteRef/>
      </w:r>
      <w:r>
        <w:rPr>
          <w:rFonts w:ascii="Times New Roman" w:hAnsi="Times New Roman" w:cs="Times New Roman"/>
          <w:sz w:val="18"/>
          <w:szCs w:val="18"/>
          <w:lang w:val="es-ES_tradnl"/>
        </w:rPr>
        <w:t xml:space="preserve">   </w:t>
      </w:r>
      <w:r w:rsidRPr="008368CD">
        <w:rPr>
          <w:rFonts w:ascii="Times New Roman" w:hAnsi="Times New Roman" w:cs="Times New Roman"/>
          <w:sz w:val="18"/>
          <w:szCs w:val="18"/>
          <w:lang w:val="es-ES_tradnl"/>
        </w:rPr>
        <w:t xml:space="preserve">GÓNGORA-MERA, Manuel Eduardo. Diálogo coevolutivo. In: FERRER MAC-GREGOR, Eduardo; MARTÍNEZ RAMÍREZ, Fabiola; FIGUEROA MEJÍA, Giovanni A (coord.) </w:t>
      </w:r>
      <w:r w:rsidRPr="008368CD">
        <w:rPr>
          <w:rFonts w:ascii="Times New Roman" w:hAnsi="Times New Roman" w:cs="Times New Roman"/>
          <w:i/>
          <w:sz w:val="18"/>
          <w:szCs w:val="18"/>
          <w:lang w:val="es-ES_tradnl"/>
        </w:rPr>
        <w:t>Diccionario de derecho procesal, constitucional y convencional.</w:t>
      </w:r>
      <w:r w:rsidRPr="008368CD">
        <w:rPr>
          <w:rFonts w:ascii="Times New Roman" w:hAnsi="Times New Roman" w:cs="Times New Roman"/>
          <w:sz w:val="18"/>
          <w:szCs w:val="18"/>
          <w:lang w:val="es-ES_tradnl"/>
        </w:rPr>
        <w:t xml:space="preserve"> 2 ed. México: Universidad Nacional Autónoma de México, 2014. p. 590.</w:t>
      </w:r>
    </w:p>
  </w:footnote>
  <w:footnote w:id="78">
    <w:p w14:paraId="319DA73D" w14:textId="750631FB"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8368CD">
        <w:rPr>
          <w:rFonts w:ascii="Times New Roman" w:hAnsi="Times New Roman" w:cs="Times New Roman"/>
          <w:sz w:val="18"/>
          <w:szCs w:val="18"/>
          <w:lang w:val="es-ES_tradnl"/>
        </w:rPr>
        <w:t xml:space="preserve">GÓNGORA-MERA, Manuel Eduardo. Diálogo coevolutivo. In: FERRER MAC-GREGOR, Eduardo; MARTÍNEZ RAMÍREZ, Fabiola; FIGUEROA MEJÍA, Giovanni A (coord.) </w:t>
      </w:r>
      <w:r w:rsidRPr="008368CD">
        <w:rPr>
          <w:rFonts w:ascii="Times New Roman" w:hAnsi="Times New Roman" w:cs="Times New Roman"/>
          <w:i/>
          <w:sz w:val="18"/>
          <w:szCs w:val="18"/>
          <w:lang w:val="es-ES_tradnl"/>
        </w:rPr>
        <w:t>Diccionario de derecho procesal, constitucional y convencional.</w:t>
      </w:r>
      <w:r w:rsidRPr="008368CD">
        <w:rPr>
          <w:rFonts w:ascii="Times New Roman" w:hAnsi="Times New Roman" w:cs="Times New Roman"/>
          <w:sz w:val="18"/>
          <w:szCs w:val="18"/>
          <w:lang w:val="es-ES_tradnl"/>
        </w:rPr>
        <w:t xml:space="preserve"> 2 ed. México: Universidad Nacional Autónoma de México, 2014. p. 591.</w:t>
      </w:r>
    </w:p>
  </w:footnote>
  <w:footnote w:id="79">
    <w:p w14:paraId="0825ACC0" w14:textId="7FA5CE70"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GÓNGORA-MÉRA, Manuel Eduardo. </w:t>
      </w:r>
      <w:r w:rsidRPr="008368CD">
        <w:rPr>
          <w:rFonts w:ascii="Times New Roman" w:hAnsi="Times New Roman" w:cs="Times New Roman"/>
          <w:i/>
          <w:sz w:val="18"/>
          <w:szCs w:val="18"/>
        </w:rPr>
        <w:t>Interacciones y convergências entre la corte interamericana de derechos humanos y los tribunales constitucionales nacionales: un enfoque coevolutivo</w:t>
      </w:r>
      <w:r w:rsidRPr="008368CD">
        <w:rPr>
          <w:rFonts w:ascii="Times New Roman" w:hAnsi="Times New Roman" w:cs="Times New Roman"/>
          <w:sz w:val="18"/>
          <w:szCs w:val="18"/>
        </w:rPr>
        <w:t>. In VON BOGDANDY, Armin; PIOVESAN, Flávia; MORALES ANTONIAZZI, Mariela. Estudos Avançados de Direitos Humanos. Democracia e Integração Jurídica: Emergência de um Novo Direito Público. Rio de Janeiro: Elsevier, 2013, pp. 312-337, p. 332-333.</w:t>
      </w:r>
      <w:r w:rsidRPr="008368CD">
        <w:rPr>
          <w:rFonts w:ascii="Times New Roman" w:hAnsi="Times New Roman" w:cs="Times New Roman"/>
          <w:color w:val="E36C0A" w:themeColor="accent6" w:themeShade="BF"/>
          <w:sz w:val="18"/>
          <w:szCs w:val="18"/>
        </w:rPr>
        <w:t xml:space="preserve"> </w:t>
      </w:r>
    </w:p>
  </w:footnote>
  <w:footnote w:id="80">
    <w:p w14:paraId="6DD0590E" w14:textId="331B17FD"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AGUILAR CAVALLO, Gonzalo. El diálogo judicial multinível. In: MEZZETTI, Luca; CONCI, Luiz Guilherme Arcaro (coord.). </w:t>
      </w:r>
      <w:r w:rsidRPr="008368CD">
        <w:rPr>
          <w:rFonts w:ascii="Times New Roman" w:hAnsi="Times New Roman" w:cs="Times New Roman"/>
          <w:i/>
          <w:sz w:val="18"/>
          <w:szCs w:val="18"/>
        </w:rPr>
        <w:t>Diálogo entre cortes</w:t>
      </w:r>
      <w:r w:rsidRPr="008368CD">
        <w:rPr>
          <w:rFonts w:ascii="Times New Roman" w:hAnsi="Times New Roman" w:cs="Times New Roman"/>
          <w:sz w:val="18"/>
          <w:szCs w:val="18"/>
        </w:rPr>
        <w:t>: a jurisprudência nacional e internacional como fator de aproximação de ordens jurídicas em um mundo cosmopolita. Brasília: OAB, Conselho Federal, 2015. p. 153.</w:t>
      </w:r>
    </w:p>
  </w:footnote>
  <w:footnote w:id="81">
    <w:p w14:paraId="621A4DC4" w14:textId="289C7E91"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von BOGDANDY, Armin; VENSKE, Ingo. </w:t>
      </w:r>
      <w:r w:rsidRPr="002B0178">
        <w:rPr>
          <w:rFonts w:ascii="Times New Roman" w:hAnsi="Times New Roman" w:cs="Times New Roman"/>
          <w:i/>
          <w:sz w:val="18"/>
          <w:szCs w:val="18"/>
          <w:lang w:val="en-US"/>
        </w:rPr>
        <w:t xml:space="preserve">In </w:t>
      </w:r>
      <w:proofErr w:type="gramStart"/>
      <w:r w:rsidRPr="002B0178">
        <w:rPr>
          <w:rFonts w:ascii="Times New Roman" w:hAnsi="Times New Roman" w:cs="Times New Roman"/>
          <w:i/>
          <w:sz w:val="18"/>
          <w:szCs w:val="18"/>
          <w:lang w:val="en-US"/>
        </w:rPr>
        <w:t>Whose</w:t>
      </w:r>
      <w:proofErr w:type="gramEnd"/>
      <w:r w:rsidRPr="002B0178">
        <w:rPr>
          <w:rFonts w:ascii="Times New Roman" w:hAnsi="Times New Roman" w:cs="Times New Roman"/>
          <w:i/>
          <w:sz w:val="18"/>
          <w:szCs w:val="18"/>
          <w:lang w:val="en-US"/>
        </w:rPr>
        <w:t xml:space="preserve"> Name? </w:t>
      </w:r>
      <w:proofErr w:type="gramStart"/>
      <w:r w:rsidRPr="002B0178">
        <w:rPr>
          <w:rFonts w:ascii="Times New Roman" w:hAnsi="Times New Roman" w:cs="Times New Roman"/>
          <w:sz w:val="18"/>
          <w:szCs w:val="18"/>
          <w:lang w:val="en-US"/>
        </w:rPr>
        <w:t>A Public Law Theory of International Adjudication.</w:t>
      </w:r>
      <w:proofErr w:type="gramEnd"/>
      <w:r w:rsidRPr="002B0178">
        <w:rPr>
          <w:rFonts w:ascii="Times New Roman" w:hAnsi="Times New Roman" w:cs="Times New Roman"/>
          <w:sz w:val="18"/>
          <w:szCs w:val="18"/>
          <w:lang w:val="en-US"/>
        </w:rPr>
        <w:t xml:space="preserve"> </w:t>
      </w:r>
      <w:r w:rsidRPr="008368CD">
        <w:rPr>
          <w:rFonts w:ascii="Times New Roman" w:hAnsi="Times New Roman" w:cs="Times New Roman"/>
          <w:sz w:val="18"/>
          <w:szCs w:val="18"/>
        </w:rPr>
        <w:t>Oxford: Oxford University Press, 2014, p. 115.</w:t>
      </w:r>
    </w:p>
  </w:footnote>
  <w:footnote w:id="82">
    <w:p w14:paraId="330BC5E4" w14:textId="0337920A" w:rsidR="00742149" w:rsidRPr="002B0178" w:rsidRDefault="00742149" w:rsidP="00D71B63">
      <w:pPr>
        <w:pStyle w:val="FootnoteText"/>
        <w:jc w:val="both"/>
        <w:rPr>
          <w:rFonts w:ascii="Times New Roman" w:hAnsi="Times New Roman" w:cs="Times New Roman"/>
          <w:sz w:val="18"/>
          <w:szCs w:val="18"/>
          <w:lang w:val="en-US"/>
        </w:rPr>
      </w:pPr>
      <w:r w:rsidRPr="008368CD">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No sistema interamericano, nem a Corte nem a Comissão podem revisar decisões judiciais proferidas por cortes domésticas no exercício de sua competência e em respeito ao devido processo legal. Trata-se da fórmula da quarta instância que previne mecanismos de mera revisão processual, a evitar que a Corte Interamericana se torne uma instância recursal para as partes que se sentiram prejudicadas pelas decisões proferidas pela jurisdição doméstica. </w:t>
      </w:r>
      <w:r w:rsidRPr="002B0178">
        <w:rPr>
          <w:rFonts w:ascii="Times New Roman" w:hAnsi="Times New Roman" w:cs="Times New Roman"/>
          <w:sz w:val="18"/>
          <w:szCs w:val="18"/>
          <w:lang w:val="en-US"/>
        </w:rPr>
        <w:t xml:space="preserve">RODRÍGUEZ PINZÓN, Diego. The “victim” requirement, the fourth instance formula and the notion of “person” in the individual complaint procedure of the Inter-American Human Rights System. </w:t>
      </w:r>
      <w:r w:rsidRPr="002B0178">
        <w:rPr>
          <w:rFonts w:ascii="Times New Roman" w:hAnsi="Times New Roman" w:cs="Times New Roman"/>
          <w:i/>
          <w:sz w:val="18"/>
          <w:szCs w:val="18"/>
          <w:lang w:val="en-US"/>
        </w:rPr>
        <w:t>ILSA Journal of International &amp; Comparative Law</w:t>
      </w:r>
      <w:r w:rsidRPr="002B0178">
        <w:rPr>
          <w:rFonts w:ascii="Times New Roman" w:hAnsi="Times New Roman" w:cs="Times New Roman"/>
          <w:sz w:val="18"/>
          <w:szCs w:val="18"/>
          <w:lang w:val="en-US"/>
        </w:rPr>
        <w:t xml:space="preserve">, Chicago, v. 7, p. 369-383, mar. 2001. </w:t>
      </w:r>
      <w:proofErr w:type="gramStart"/>
      <w:r w:rsidRPr="002B0178">
        <w:rPr>
          <w:rFonts w:ascii="Times New Roman" w:hAnsi="Times New Roman" w:cs="Times New Roman"/>
          <w:sz w:val="18"/>
          <w:szCs w:val="18"/>
          <w:lang w:val="en-US"/>
        </w:rPr>
        <w:t>p</w:t>
      </w:r>
      <w:proofErr w:type="gramEnd"/>
      <w:r w:rsidRPr="002B0178">
        <w:rPr>
          <w:rFonts w:ascii="Times New Roman" w:hAnsi="Times New Roman" w:cs="Times New Roman"/>
          <w:sz w:val="18"/>
          <w:szCs w:val="18"/>
          <w:lang w:val="en-US"/>
        </w:rPr>
        <w:t>. 379.</w:t>
      </w:r>
    </w:p>
  </w:footnote>
  <w:footnote w:id="83">
    <w:p w14:paraId="0862D429" w14:textId="059913F6"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AGUILAR CAVALLO, Gonzalo. El diálogo judicial multinível. In: MEZZETTI, Luca; CONCI, Luiz Guilherme Arcaro (coord.). </w:t>
      </w:r>
      <w:r w:rsidRPr="008368CD">
        <w:rPr>
          <w:rFonts w:ascii="Times New Roman" w:hAnsi="Times New Roman" w:cs="Times New Roman"/>
          <w:i/>
          <w:sz w:val="18"/>
          <w:szCs w:val="18"/>
        </w:rPr>
        <w:t>Diálogo entre cortes</w:t>
      </w:r>
      <w:r w:rsidRPr="008368CD">
        <w:rPr>
          <w:rFonts w:ascii="Times New Roman" w:hAnsi="Times New Roman" w:cs="Times New Roman"/>
          <w:sz w:val="18"/>
          <w:szCs w:val="18"/>
        </w:rPr>
        <w:t>: a jurisprudência nacional e internacional como fator de aproximação de ordens jurídicas em um mundo cosmopolita. Brasília: OAB, Conselho Federal, 2015. p. 159-160.</w:t>
      </w:r>
    </w:p>
  </w:footnote>
  <w:footnote w:id="84">
    <w:p w14:paraId="4A9E2CDC" w14:textId="6F9F2E4E"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SAIZ ARNAIZ, Alejandro. </w:t>
      </w:r>
      <w:r w:rsidRPr="008368CD">
        <w:rPr>
          <w:rFonts w:ascii="Times New Roman" w:hAnsi="Times New Roman" w:cs="Times New Roman"/>
          <w:i/>
          <w:sz w:val="18"/>
          <w:szCs w:val="18"/>
        </w:rPr>
        <w:t>Tribunal Constitucional y Tribunal Europeo de Derechos Humanos: las razones para el diálogo</w:t>
      </w:r>
      <w:r w:rsidRPr="008368CD">
        <w:rPr>
          <w:rFonts w:ascii="Times New Roman" w:hAnsi="Times New Roman" w:cs="Times New Roman"/>
          <w:sz w:val="18"/>
          <w:szCs w:val="18"/>
        </w:rPr>
        <w:t xml:space="preserve">. </w:t>
      </w:r>
      <w:r w:rsidRPr="008368CD">
        <w:rPr>
          <w:rStyle w:val="Strong"/>
          <w:rFonts w:ascii="Times New Roman" w:eastAsia="Times New Roman" w:hAnsi="Times New Roman" w:cs="Times New Roman"/>
          <w:b w:val="0"/>
          <w:sz w:val="18"/>
          <w:szCs w:val="18"/>
          <w:bdr w:val="none" w:sz="0" w:space="0" w:color="auto" w:frame="1"/>
        </w:rPr>
        <w:t>In:</w:t>
      </w:r>
      <w:r w:rsidRPr="008368CD">
        <w:rPr>
          <w:rStyle w:val="titulo"/>
          <w:rFonts w:ascii="Times New Roman" w:eastAsia="Times New Roman" w:hAnsi="Times New Roman" w:cs="Times New Roman"/>
          <w:sz w:val="18"/>
          <w:szCs w:val="18"/>
          <w:bdr w:val="none" w:sz="0" w:space="0" w:color="auto" w:frame="1"/>
        </w:rPr>
        <w:t xml:space="preserve"> CENTRO DE ESTUDIOS POLÍTICOS Y CONSTITUCIONALES (ed.). </w:t>
      </w:r>
      <w:hyperlink r:id="rId10" w:history="1">
        <w:r w:rsidRPr="008368CD">
          <w:rPr>
            <w:rStyle w:val="Hyperlink"/>
            <w:rFonts w:ascii="Times New Roman" w:eastAsia="Times New Roman" w:hAnsi="Times New Roman" w:cs="Times New Roman"/>
            <w:color w:val="auto"/>
            <w:sz w:val="18"/>
            <w:szCs w:val="18"/>
            <w:u w:val="none"/>
            <w:bdr w:val="none" w:sz="0" w:space="0" w:color="auto" w:frame="1"/>
          </w:rPr>
          <w:t>Tribunal Constitucional y diálogo entre tribunales : XVIII Jornadas de la Asociación de Letrados del Tribunal Constitucional</w:t>
        </w:r>
      </w:hyperlink>
      <w:r w:rsidRPr="008368CD">
        <w:rPr>
          <w:rFonts w:ascii="Times New Roman" w:eastAsia="Times New Roman" w:hAnsi="Times New Roman" w:cs="Times New Roman"/>
          <w:sz w:val="18"/>
          <w:szCs w:val="18"/>
          <w:bdr w:val="none" w:sz="0" w:space="0" w:color="auto" w:frame="1"/>
        </w:rPr>
        <w:t xml:space="preserve">, </w:t>
      </w:r>
      <w:r w:rsidRPr="008368CD">
        <w:rPr>
          <w:rStyle w:val="HTMLAcronym"/>
          <w:rFonts w:ascii="Times New Roman" w:eastAsia="Times New Roman" w:hAnsi="Times New Roman" w:cs="Times New Roman"/>
          <w:sz w:val="18"/>
          <w:szCs w:val="18"/>
          <w:bdr w:val="none" w:sz="0" w:space="0" w:color="auto" w:frame="1"/>
        </w:rPr>
        <w:t>p</w:t>
      </w:r>
      <w:r w:rsidRPr="008368CD">
        <w:rPr>
          <w:rFonts w:ascii="Times New Roman" w:eastAsia="Times New Roman" w:hAnsi="Times New Roman" w:cs="Times New Roman"/>
          <w:sz w:val="18"/>
          <w:szCs w:val="18"/>
          <w:bdr w:val="none" w:sz="0" w:space="0" w:color="auto" w:frame="1"/>
        </w:rPr>
        <w:t>.</w:t>
      </w:r>
      <w:r w:rsidRPr="008368CD">
        <w:rPr>
          <w:rStyle w:val="apple-converted-space"/>
          <w:rFonts w:ascii="Times New Roman" w:eastAsia="Times New Roman" w:hAnsi="Times New Roman" w:cs="Times New Roman"/>
          <w:sz w:val="18"/>
          <w:szCs w:val="18"/>
          <w:bdr w:val="none" w:sz="0" w:space="0" w:color="auto" w:frame="1"/>
        </w:rPr>
        <w:t> </w:t>
      </w:r>
      <w:r w:rsidRPr="008368CD">
        <w:rPr>
          <w:rFonts w:ascii="Times New Roman" w:eastAsia="Times New Roman" w:hAnsi="Times New Roman" w:cs="Times New Roman"/>
          <w:sz w:val="18"/>
          <w:szCs w:val="18"/>
          <w:bdr w:val="none" w:sz="0" w:space="0" w:color="auto" w:frame="1"/>
        </w:rPr>
        <w:t>131-160, 2013</w:t>
      </w:r>
      <w:r w:rsidRPr="008368CD">
        <w:rPr>
          <w:rFonts w:ascii="Times New Roman" w:eastAsia="Times New Roman" w:hAnsi="Times New Roman" w:cs="Times New Roman"/>
          <w:bCs/>
          <w:color w:val="000000"/>
          <w:sz w:val="18"/>
          <w:szCs w:val="18"/>
        </w:rPr>
        <w:t>. p. 158-159.</w:t>
      </w:r>
    </w:p>
  </w:footnote>
  <w:footnote w:id="85">
    <w:p w14:paraId="312BD6AE" w14:textId="46D4BB66"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Como salienta García Roca, o debate entre as cortes constitucionais e supranacionais é um debate aberto, em que não há uma interpretação única, razão pela qual exige um esforço argumentativo. </w:t>
      </w:r>
      <w:r w:rsidRPr="008368CD">
        <w:rPr>
          <w:rFonts w:ascii="Times New Roman" w:eastAsia="Times New Roman" w:hAnsi="Times New Roman" w:cs="Times New Roman"/>
          <w:bCs/>
          <w:color w:val="000000"/>
          <w:sz w:val="18"/>
          <w:szCs w:val="18"/>
        </w:rPr>
        <w:t xml:space="preserve">GARCÍA ROCA, Javier. El diálogo entre el Tribunal Europeo de Derechos Humanos y los tribunales constitucionales en la construcción de un orden público europeo. </w:t>
      </w:r>
      <w:r w:rsidRPr="002B0178">
        <w:rPr>
          <w:rFonts w:ascii="Times New Roman" w:hAnsi="Times New Roman" w:cs="Times New Roman"/>
          <w:i/>
          <w:color w:val="1A1718"/>
          <w:sz w:val="18"/>
          <w:szCs w:val="18"/>
        </w:rPr>
        <w:t>Teoría y Realidad Constitucional</w:t>
      </w:r>
      <w:r w:rsidRPr="002B0178">
        <w:rPr>
          <w:rFonts w:ascii="Times New Roman" w:hAnsi="Times New Roman" w:cs="Times New Roman"/>
          <w:color w:val="1A1718"/>
          <w:sz w:val="18"/>
          <w:szCs w:val="18"/>
        </w:rPr>
        <w:t xml:space="preserve">: Revista Jurídica da UNED, Madrid, </w:t>
      </w:r>
      <w:r w:rsidRPr="008368CD">
        <w:rPr>
          <w:rFonts w:ascii="Times New Roman" w:eastAsia="Times New Roman" w:hAnsi="Times New Roman" w:cs="Times New Roman"/>
          <w:bCs/>
          <w:color w:val="000000"/>
          <w:sz w:val="18"/>
          <w:szCs w:val="18"/>
        </w:rPr>
        <w:t xml:space="preserve">n. 30, </w:t>
      </w:r>
      <w:r w:rsidRPr="002B0178">
        <w:rPr>
          <w:rFonts w:ascii="Times New Roman" w:hAnsi="Times New Roman" w:cs="Times New Roman"/>
          <w:color w:val="000000"/>
          <w:sz w:val="18"/>
          <w:szCs w:val="18"/>
        </w:rPr>
        <w:t>p. 183-224, 2012.</w:t>
      </w:r>
      <w:r w:rsidRPr="008368CD">
        <w:rPr>
          <w:rFonts w:ascii="Times New Roman" w:eastAsia="Times New Roman" w:hAnsi="Times New Roman" w:cs="Times New Roman"/>
          <w:bCs/>
          <w:color w:val="000000"/>
          <w:sz w:val="18"/>
          <w:szCs w:val="18"/>
        </w:rPr>
        <w:t xml:space="preserve"> </w:t>
      </w:r>
      <w:r w:rsidRPr="002B0178">
        <w:rPr>
          <w:rFonts w:ascii="Times New Roman" w:hAnsi="Times New Roman" w:cs="Times New Roman"/>
          <w:color w:val="000000"/>
          <w:sz w:val="18"/>
          <w:szCs w:val="18"/>
        </w:rPr>
        <w:t xml:space="preserve">Disponível em: </w:t>
      </w:r>
      <w:hyperlink r:id="rId11" w:history="1">
        <w:r w:rsidRPr="00256308">
          <w:rPr>
            <w:rStyle w:val="Hyperlink"/>
            <w:rFonts w:ascii="Times New Roman" w:hAnsi="Times New Roman" w:cs="Times New Roman"/>
            <w:sz w:val="18"/>
            <w:szCs w:val="18"/>
          </w:rPr>
          <w:t>http://revistas.uned.es/index.php/TRC/article/view/7005</w:t>
        </w:r>
      </w:hyperlink>
      <w:r>
        <w:t xml:space="preserve"> </w:t>
      </w:r>
      <w:r w:rsidRPr="002B0178">
        <w:rPr>
          <w:rFonts w:ascii="Times New Roman" w:eastAsia="Times New Roman" w:hAnsi="Times New Roman" w:cs="Times New Roman"/>
          <w:sz w:val="18"/>
          <w:szCs w:val="18"/>
        </w:rPr>
        <w:t>. Acesso em: 19 fev. 2019.</w:t>
      </w:r>
      <w:r w:rsidRPr="008368CD">
        <w:rPr>
          <w:rFonts w:ascii="Times New Roman" w:eastAsia="Times New Roman" w:hAnsi="Times New Roman" w:cs="Times New Roman"/>
          <w:bCs/>
          <w:color w:val="000000"/>
          <w:sz w:val="18"/>
          <w:szCs w:val="18"/>
        </w:rPr>
        <w:t xml:space="preserve"> p. 198-199.</w:t>
      </w:r>
    </w:p>
  </w:footnote>
  <w:footnote w:id="86">
    <w:p w14:paraId="79D7941E" w14:textId="5F307FA7" w:rsidR="00742149" w:rsidRPr="008368CD" w:rsidRDefault="00742149" w:rsidP="00D71B63">
      <w:pPr>
        <w:pStyle w:val="FootnoteText"/>
        <w:jc w:val="both"/>
        <w:rPr>
          <w:rFonts w:ascii="Times New Roman" w:hAnsi="Times New Roman" w:cs="Times New Roman"/>
          <w:b/>
          <w:sz w:val="18"/>
          <w:szCs w:val="18"/>
        </w:rPr>
      </w:pPr>
      <w:r w:rsidRPr="008368CD">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SAIZ ARNAIZ, Alejandro. </w:t>
      </w:r>
      <w:r w:rsidRPr="008368CD">
        <w:rPr>
          <w:rFonts w:ascii="Times New Roman" w:hAnsi="Times New Roman" w:cs="Times New Roman"/>
          <w:i/>
          <w:sz w:val="18"/>
          <w:szCs w:val="18"/>
        </w:rPr>
        <w:t>Tribunal Constitucional y Tribunal Europeo de Derechos Humanos: las razones para el diálogo</w:t>
      </w:r>
      <w:r w:rsidRPr="008368CD">
        <w:rPr>
          <w:rFonts w:ascii="Times New Roman" w:hAnsi="Times New Roman" w:cs="Times New Roman"/>
          <w:sz w:val="18"/>
          <w:szCs w:val="18"/>
        </w:rPr>
        <w:t xml:space="preserve">. </w:t>
      </w:r>
      <w:r w:rsidRPr="008368CD">
        <w:rPr>
          <w:rStyle w:val="Strong"/>
          <w:rFonts w:ascii="Times New Roman" w:eastAsia="Times New Roman" w:hAnsi="Times New Roman" w:cs="Times New Roman"/>
          <w:b w:val="0"/>
          <w:sz w:val="18"/>
          <w:szCs w:val="18"/>
          <w:bdr w:val="none" w:sz="0" w:space="0" w:color="auto" w:frame="1"/>
        </w:rPr>
        <w:t>In:</w:t>
      </w:r>
      <w:r w:rsidRPr="008368CD">
        <w:rPr>
          <w:rStyle w:val="titulo"/>
          <w:rFonts w:ascii="Times New Roman" w:eastAsia="Times New Roman" w:hAnsi="Times New Roman" w:cs="Times New Roman"/>
          <w:sz w:val="18"/>
          <w:szCs w:val="18"/>
          <w:bdr w:val="none" w:sz="0" w:space="0" w:color="auto" w:frame="1"/>
        </w:rPr>
        <w:t xml:space="preserve"> CENTRO DE ESTUDIOS POLÍTICOS Y CONSTITUCIONALES (ed.). </w:t>
      </w:r>
      <w:hyperlink r:id="rId12" w:history="1">
        <w:r w:rsidRPr="008368CD">
          <w:rPr>
            <w:rStyle w:val="Hyperlink"/>
            <w:rFonts w:ascii="Times New Roman" w:eastAsia="Times New Roman" w:hAnsi="Times New Roman" w:cs="Times New Roman"/>
            <w:color w:val="auto"/>
            <w:sz w:val="18"/>
            <w:szCs w:val="18"/>
            <w:u w:val="none"/>
            <w:bdr w:val="none" w:sz="0" w:space="0" w:color="auto" w:frame="1"/>
          </w:rPr>
          <w:t>Tribunal Constitucional y diálogo entre tribunales : XVIII Jornadas de la Asociación de Letrados del Tribunal Constitucional</w:t>
        </w:r>
      </w:hyperlink>
      <w:r w:rsidRPr="008368CD">
        <w:rPr>
          <w:rFonts w:ascii="Times New Roman" w:eastAsia="Times New Roman" w:hAnsi="Times New Roman" w:cs="Times New Roman"/>
          <w:sz w:val="18"/>
          <w:szCs w:val="18"/>
          <w:bdr w:val="none" w:sz="0" w:space="0" w:color="auto" w:frame="1"/>
        </w:rPr>
        <w:t xml:space="preserve">, </w:t>
      </w:r>
      <w:r w:rsidRPr="008368CD">
        <w:rPr>
          <w:rStyle w:val="HTMLAcronym"/>
          <w:rFonts w:ascii="Times New Roman" w:eastAsia="Times New Roman" w:hAnsi="Times New Roman" w:cs="Times New Roman"/>
          <w:sz w:val="18"/>
          <w:szCs w:val="18"/>
          <w:bdr w:val="none" w:sz="0" w:space="0" w:color="auto" w:frame="1"/>
        </w:rPr>
        <w:t>p</w:t>
      </w:r>
      <w:r w:rsidRPr="008368CD">
        <w:rPr>
          <w:rFonts w:ascii="Times New Roman" w:eastAsia="Times New Roman" w:hAnsi="Times New Roman" w:cs="Times New Roman"/>
          <w:sz w:val="18"/>
          <w:szCs w:val="18"/>
          <w:bdr w:val="none" w:sz="0" w:space="0" w:color="auto" w:frame="1"/>
        </w:rPr>
        <w:t>.</w:t>
      </w:r>
      <w:r w:rsidRPr="008368CD">
        <w:rPr>
          <w:rStyle w:val="apple-converted-space"/>
          <w:rFonts w:ascii="Times New Roman" w:eastAsia="Times New Roman" w:hAnsi="Times New Roman" w:cs="Times New Roman"/>
          <w:sz w:val="18"/>
          <w:szCs w:val="18"/>
          <w:bdr w:val="none" w:sz="0" w:space="0" w:color="auto" w:frame="1"/>
        </w:rPr>
        <w:t> </w:t>
      </w:r>
      <w:r w:rsidRPr="008368CD">
        <w:rPr>
          <w:rFonts w:ascii="Times New Roman" w:eastAsia="Times New Roman" w:hAnsi="Times New Roman" w:cs="Times New Roman"/>
          <w:sz w:val="18"/>
          <w:szCs w:val="18"/>
          <w:bdr w:val="none" w:sz="0" w:space="0" w:color="auto" w:frame="1"/>
        </w:rPr>
        <w:t>131-160, 2013</w:t>
      </w:r>
      <w:r w:rsidRPr="008368CD">
        <w:rPr>
          <w:rFonts w:ascii="Times New Roman" w:eastAsia="Times New Roman" w:hAnsi="Times New Roman" w:cs="Times New Roman"/>
          <w:bCs/>
          <w:color w:val="000000"/>
          <w:sz w:val="18"/>
          <w:szCs w:val="18"/>
        </w:rPr>
        <w:t>.</w:t>
      </w:r>
      <w:r w:rsidRPr="008368CD">
        <w:rPr>
          <w:rFonts w:ascii="Times New Roman" w:hAnsi="Times New Roman" w:cs="Times New Roman"/>
          <w:sz w:val="18"/>
          <w:szCs w:val="18"/>
        </w:rPr>
        <w:t xml:space="preserve"> p. 158-159.</w:t>
      </w:r>
    </w:p>
  </w:footnote>
  <w:footnote w:id="87">
    <w:p w14:paraId="37EE785C" w14:textId="229E8703" w:rsidR="00742149" w:rsidRPr="008368CD" w:rsidRDefault="00742149" w:rsidP="00D71B63">
      <w:pPr>
        <w:pStyle w:val="FootnoteText"/>
        <w:tabs>
          <w:tab w:val="left" w:pos="142"/>
        </w:tabs>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sidRPr="002B0178">
        <w:rPr>
          <w:rFonts w:ascii="Times New Roman" w:hAnsi="Times New Roman" w:cs="Times New Roman"/>
          <w:sz w:val="18"/>
          <w:szCs w:val="18"/>
        </w:rPr>
        <w:t xml:space="preserve">GARCÍA RAMIREZ, Sérgio. La “navegación americana” de los derechos humanos: hacia un </w:t>
      </w:r>
      <w:r w:rsidRPr="002B0178">
        <w:rPr>
          <w:rFonts w:ascii="Times New Roman" w:hAnsi="Times New Roman" w:cs="Times New Roman"/>
          <w:i/>
          <w:iCs/>
          <w:sz w:val="18"/>
          <w:szCs w:val="18"/>
        </w:rPr>
        <w:t>Ius Commune</w:t>
      </w:r>
      <w:r w:rsidRPr="002B0178">
        <w:rPr>
          <w:rFonts w:ascii="Times New Roman" w:hAnsi="Times New Roman" w:cs="Times New Roman"/>
          <w:iCs/>
          <w:sz w:val="18"/>
          <w:szCs w:val="18"/>
        </w:rPr>
        <w:t xml:space="preserve">. In: von BOGDANDY, Armin; MORALES ANTONIAZZI, Mariela; FERRER MAC-GREGOR, Eduardo (coord.). Ius Constitutionale Commune en América Latina: textos básicos para su comprensión. México: </w:t>
      </w:r>
      <w:r w:rsidRPr="002B0178">
        <w:rPr>
          <w:rFonts w:ascii="Times New Roman" w:hAnsi="Times New Roman" w:cs="Times New Roman"/>
          <w:sz w:val="18"/>
          <w:szCs w:val="18"/>
        </w:rPr>
        <w:t>Instituto de Estudios Constitucionales del Estado de Querétaro, Max Planck Institute for Comparative Public Law and International Law, 2017. p. 78-79.</w:t>
      </w:r>
    </w:p>
  </w:footnote>
  <w:footnote w:id="88">
    <w:p w14:paraId="3C2A6FC5" w14:textId="6890D806"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B0178">
        <w:rPr>
          <w:rFonts w:ascii="Times New Roman" w:hAnsi="Times New Roman" w:cs="Times New Roman"/>
          <w:sz w:val="18"/>
          <w:szCs w:val="18"/>
        </w:rPr>
        <w:t xml:space="preserve">GARCÍA RAMIREZ, Sérgio. La “navegación americana” de los derechos humanos: hacia un </w:t>
      </w:r>
      <w:r w:rsidRPr="002B0178">
        <w:rPr>
          <w:rFonts w:ascii="Times New Roman" w:hAnsi="Times New Roman" w:cs="Times New Roman"/>
          <w:i/>
          <w:iCs/>
          <w:sz w:val="18"/>
          <w:szCs w:val="18"/>
        </w:rPr>
        <w:t>Ius Commune</w:t>
      </w:r>
      <w:r w:rsidRPr="002B0178">
        <w:rPr>
          <w:rFonts w:ascii="Times New Roman" w:hAnsi="Times New Roman" w:cs="Times New Roman"/>
          <w:iCs/>
          <w:sz w:val="18"/>
          <w:szCs w:val="18"/>
        </w:rPr>
        <w:t xml:space="preserve">. In: von BOGDANDY, Armin; MORALES ANTONIAZZI, Mariela; FERRER MAC-GREGOR, Eduardo (coord.). Ius Constitutionale Commune en América Latina: textos básicos para su comprensión. México: </w:t>
      </w:r>
      <w:r w:rsidRPr="002B0178">
        <w:rPr>
          <w:rFonts w:ascii="Times New Roman" w:hAnsi="Times New Roman" w:cs="Times New Roman"/>
          <w:sz w:val="18"/>
          <w:szCs w:val="18"/>
        </w:rPr>
        <w:t>Instituto de Estudios Constitucionales del Estado de Querétaro, Max Planck Institute for Comparative Public Law and International Law, 2017. p. 86.</w:t>
      </w:r>
    </w:p>
  </w:footnote>
  <w:footnote w:id="89">
    <w:p w14:paraId="00095CFB" w14:textId="2D433C6B"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2B0178">
        <w:rPr>
          <w:rFonts w:ascii="Times New Roman" w:hAnsi="Times New Roman" w:cs="Times New Roman"/>
          <w:sz w:val="18"/>
          <w:szCs w:val="18"/>
        </w:rPr>
        <w:t xml:space="preserve">GARCÍA RAMIREZ, Sérgio. La “navegación americana” de los derechos humanos: hacia un </w:t>
      </w:r>
      <w:r w:rsidRPr="002B0178">
        <w:rPr>
          <w:rFonts w:ascii="Times New Roman" w:hAnsi="Times New Roman" w:cs="Times New Roman"/>
          <w:i/>
          <w:iCs/>
          <w:sz w:val="18"/>
          <w:szCs w:val="18"/>
        </w:rPr>
        <w:t>Ius Commune</w:t>
      </w:r>
      <w:r w:rsidRPr="002B0178">
        <w:rPr>
          <w:rFonts w:ascii="Times New Roman" w:hAnsi="Times New Roman" w:cs="Times New Roman"/>
          <w:iCs/>
          <w:sz w:val="18"/>
          <w:szCs w:val="18"/>
        </w:rPr>
        <w:t xml:space="preserve">. In: von BOGDANDY, Armin; MORALES ANTONIAZZI, Mariela; FERRER MAC-GREGOR, Eduardo (coord.). </w:t>
      </w:r>
      <w:r w:rsidRPr="002B0178">
        <w:rPr>
          <w:rFonts w:ascii="Times New Roman" w:hAnsi="Times New Roman" w:cs="Times New Roman"/>
          <w:i/>
          <w:iCs/>
          <w:sz w:val="18"/>
          <w:szCs w:val="18"/>
        </w:rPr>
        <w:t>Ius Constitutionale Commune en América Latina</w:t>
      </w:r>
      <w:r w:rsidRPr="002B0178">
        <w:rPr>
          <w:rFonts w:ascii="Times New Roman" w:hAnsi="Times New Roman" w:cs="Times New Roman"/>
          <w:iCs/>
          <w:sz w:val="18"/>
          <w:szCs w:val="18"/>
        </w:rPr>
        <w:t xml:space="preserve">: textos básicos para su comprensión. México: </w:t>
      </w:r>
      <w:r w:rsidRPr="002B0178">
        <w:rPr>
          <w:rFonts w:ascii="Times New Roman" w:hAnsi="Times New Roman" w:cs="Times New Roman"/>
          <w:sz w:val="18"/>
          <w:szCs w:val="18"/>
        </w:rPr>
        <w:t>Instituto de Estudios Constitucionales del Estado de Querétaro,  Max Planck Institute for Comparative Public Law and International Law, 2017. p. 63.</w:t>
      </w:r>
    </w:p>
  </w:footnote>
  <w:footnote w:id="90">
    <w:p w14:paraId="6D5D7245" w14:textId="0771A652"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368CD">
        <w:rPr>
          <w:rFonts w:ascii="Times New Roman" w:hAnsi="Times New Roman" w:cs="Times New Roman"/>
          <w:sz w:val="18"/>
          <w:szCs w:val="18"/>
        </w:rPr>
        <w:t xml:space="preserve">CORTE INTERAMERICANA DE DIREITOS HUMANOS. </w:t>
      </w:r>
      <w:r w:rsidRPr="008368CD">
        <w:rPr>
          <w:rFonts w:ascii="Times New Roman" w:hAnsi="Times New Roman" w:cs="Times New Roman"/>
          <w:i/>
          <w:sz w:val="18"/>
          <w:szCs w:val="18"/>
        </w:rPr>
        <w:t>Relatório Anual de 2018</w:t>
      </w:r>
      <w:r w:rsidRPr="008368CD">
        <w:rPr>
          <w:rFonts w:ascii="Times New Roman" w:hAnsi="Times New Roman" w:cs="Times New Roman"/>
          <w:sz w:val="18"/>
          <w:szCs w:val="18"/>
        </w:rPr>
        <w:t xml:space="preserve">. Disponível em: </w:t>
      </w:r>
      <w:hyperlink r:id="rId13" w:history="1">
        <w:r w:rsidRPr="008368CD">
          <w:rPr>
            <w:rStyle w:val="Hyperlink"/>
            <w:rFonts w:ascii="Times New Roman" w:hAnsi="Times New Roman" w:cs="Times New Roman"/>
            <w:sz w:val="18"/>
            <w:szCs w:val="18"/>
          </w:rPr>
          <w:t>http://www.corteidh.or.cr/tablas/informe2018/portugues.pdf</w:t>
        </w:r>
      </w:hyperlink>
      <w:r w:rsidRPr="008368CD">
        <w:rPr>
          <w:rFonts w:ascii="Times New Roman" w:hAnsi="Times New Roman" w:cs="Times New Roman"/>
          <w:sz w:val="18"/>
          <w:szCs w:val="18"/>
        </w:rPr>
        <w:t>. Acesso em: 11 abr. 2019. p. 10.</w:t>
      </w:r>
    </w:p>
  </w:footnote>
  <w:footnote w:id="91">
    <w:p w14:paraId="34F5C35E" w14:textId="375AE6B8"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B0178">
        <w:rPr>
          <w:rFonts w:ascii="Times New Roman" w:hAnsi="Times New Roman" w:cs="Times New Roman"/>
          <w:sz w:val="18"/>
          <w:szCs w:val="18"/>
        </w:rPr>
        <w:t xml:space="preserve">GARCÍA RAMIREZ, Sérgio. La “navegación americana” de los derechos humanos: hacia un </w:t>
      </w:r>
      <w:r w:rsidRPr="002B0178">
        <w:rPr>
          <w:rFonts w:ascii="Times New Roman" w:hAnsi="Times New Roman" w:cs="Times New Roman"/>
          <w:i/>
          <w:iCs/>
          <w:sz w:val="18"/>
          <w:szCs w:val="18"/>
        </w:rPr>
        <w:t>Ius Commune</w:t>
      </w:r>
      <w:r w:rsidRPr="002B0178">
        <w:rPr>
          <w:rFonts w:ascii="Times New Roman" w:hAnsi="Times New Roman" w:cs="Times New Roman"/>
          <w:iCs/>
          <w:sz w:val="18"/>
          <w:szCs w:val="18"/>
        </w:rPr>
        <w:t xml:space="preserve">. In: von BOGDANDY, Armin; MORALES ANTONIAZZI, Mariela; FERRER MAC-GREGOR, Eduardo (coord.). </w:t>
      </w:r>
      <w:r w:rsidRPr="002B0178">
        <w:rPr>
          <w:rFonts w:ascii="Times New Roman" w:hAnsi="Times New Roman" w:cs="Times New Roman"/>
          <w:i/>
          <w:iCs/>
          <w:sz w:val="18"/>
          <w:szCs w:val="18"/>
        </w:rPr>
        <w:t>Ius Constitutionale Commune en América Latina</w:t>
      </w:r>
      <w:r w:rsidRPr="002B0178">
        <w:rPr>
          <w:rFonts w:ascii="Times New Roman" w:hAnsi="Times New Roman" w:cs="Times New Roman"/>
          <w:iCs/>
          <w:sz w:val="18"/>
          <w:szCs w:val="18"/>
        </w:rPr>
        <w:t xml:space="preserve">: textos básicos para su comprensión. México: </w:t>
      </w:r>
      <w:r w:rsidRPr="002B0178">
        <w:rPr>
          <w:rFonts w:ascii="Times New Roman" w:hAnsi="Times New Roman" w:cs="Times New Roman"/>
          <w:sz w:val="18"/>
          <w:szCs w:val="18"/>
        </w:rPr>
        <w:t>Instituto de Estudios Constitucionales del Estado de Querétaro, Max Planck Institute for Comparative Public Law and International Law, 2017. p. 69.</w:t>
      </w:r>
    </w:p>
  </w:footnote>
  <w:footnote w:id="92">
    <w:p w14:paraId="7BDF951E" w14:textId="4CD0F1F5"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2B0178">
        <w:rPr>
          <w:rFonts w:ascii="Times New Roman" w:hAnsi="Times New Roman" w:cs="Times New Roman"/>
          <w:sz w:val="18"/>
          <w:szCs w:val="18"/>
        </w:rPr>
        <w:t xml:space="preserve">GARCÍA RAMIREZ, Sérgio. La “navegación americana” de los derechos humanos: hacia un </w:t>
      </w:r>
      <w:r w:rsidRPr="002B0178">
        <w:rPr>
          <w:rFonts w:ascii="Times New Roman" w:hAnsi="Times New Roman" w:cs="Times New Roman"/>
          <w:i/>
          <w:iCs/>
          <w:sz w:val="18"/>
          <w:szCs w:val="18"/>
        </w:rPr>
        <w:t>Ius Commune</w:t>
      </w:r>
      <w:r w:rsidRPr="002B0178">
        <w:rPr>
          <w:rFonts w:ascii="Times New Roman" w:hAnsi="Times New Roman" w:cs="Times New Roman"/>
          <w:iCs/>
          <w:sz w:val="18"/>
          <w:szCs w:val="18"/>
        </w:rPr>
        <w:t xml:space="preserve">. In: von BOGDANDY, Armin; MORALES ANTONIAZZI, Mariela; FERRER MAC-GREGOR, Eduardo (coord.). </w:t>
      </w:r>
      <w:r w:rsidRPr="002B0178">
        <w:rPr>
          <w:rFonts w:ascii="Times New Roman" w:hAnsi="Times New Roman" w:cs="Times New Roman"/>
          <w:i/>
          <w:iCs/>
          <w:sz w:val="18"/>
          <w:szCs w:val="18"/>
        </w:rPr>
        <w:t>Ius Constitutionale Commune en América Latina</w:t>
      </w:r>
      <w:r w:rsidRPr="002B0178">
        <w:rPr>
          <w:rFonts w:ascii="Times New Roman" w:hAnsi="Times New Roman" w:cs="Times New Roman"/>
          <w:iCs/>
          <w:sz w:val="18"/>
          <w:szCs w:val="18"/>
        </w:rPr>
        <w:t xml:space="preserve">: textos básicos para su comprensión. México: </w:t>
      </w:r>
      <w:r w:rsidRPr="002B0178">
        <w:rPr>
          <w:rFonts w:ascii="Times New Roman" w:hAnsi="Times New Roman" w:cs="Times New Roman"/>
          <w:sz w:val="18"/>
          <w:szCs w:val="18"/>
        </w:rPr>
        <w:t>Instituto de Estudios Constitucionales del Estado de Querétaro,  Max Planck Institute for Comparative Public Law and International Law, 2017. p. 68-69.</w:t>
      </w:r>
      <w:r w:rsidRPr="008368CD">
        <w:rPr>
          <w:rFonts w:ascii="Times New Roman" w:hAnsi="Times New Roman" w:cs="Times New Roman"/>
          <w:sz w:val="18"/>
          <w:szCs w:val="18"/>
        </w:rPr>
        <w:t xml:space="preserve"> </w:t>
      </w:r>
    </w:p>
  </w:footnote>
  <w:footnote w:id="93">
    <w:p w14:paraId="421C7754" w14:textId="421EEB17"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Von BOGDANDY, Armin; VENZKE, Ingo.</w:t>
      </w:r>
      <w:proofErr w:type="gramEnd"/>
      <w:r w:rsidRPr="002B0178">
        <w:rPr>
          <w:rFonts w:ascii="Times New Roman" w:hAnsi="Times New Roman" w:cs="Times New Roman"/>
          <w:sz w:val="18"/>
          <w:szCs w:val="18"/>
          <w:lang w:val="en-US"/>
        </w:rPr>
        <w:t xml:space="preserve"> </w:t>
      </w:r>
      <w:r w:rsidRPr="00E040B8">
        <w:rPr>
          <w:rFonts w:ascii="Times New Roman" w:hAnsi="Times New Roman" w:cs="Times New Roman"/>
          <w:i/>
          <w:sz w:val="18"/>
          <w:szCs w:val="18"/>
        </w:rPr>
        <w:t>En nombre de quién?</w:t>
      </w:r>
      <w:r w:rsidRPr="008368CD">
        <w:rPr>
          <w:rFonts w:ascii="Times New Roman" w:hAnsi="Times New Roman" w:cs="Times New Roman"/>
          <w:sz w:val="18"/>
          <w:szCs w:val="18"/>
        </w:rPr>
        <w:t xml:space="preserve"> Una teoría de derecho público sobre la actividad judicial internacional. Traducción Paola Andrea Acosta Alvarado; revisión Pedro Villarreal. Bogota: Universidad Externado de Colombia, 2016. p. 168.</w:t>
      </w:r>
    </w:p>
  </w:footnote>
  <w:footnote w:id="94">
    <w:p w14:paraId="11C6AF93" w14:textId="6DC871F0"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Von BOGDANDY, Armin; VENZKE, Ingo.</w:t>
      </w:r>
      <w:proofErr w:type="gramEnd"/>
      <w:r w:rsidRPr="002B0178">
        <w:rPr>
          <w:rFonts w:ascii="Times New Roman" w:hAnsi="Times New Roman" w:cs="Times New Roman"/>
          <w:sz w:val="18"/>
          <w:szCs w:val="18"/>
          <w:lang w:val="en-US"/>
        </w:rPr>
        <w:t xml:space="preserve"> </w:t>
      </w:r>
      <w:r w:rsidRPr="00E040B8">
        <w:rPr>
          <w:rFonts w:ascii="Times New Roman" w:hAnsi="Times New Roman" w:cs="Times New Roman"/>
          <w:i/>
          <w:sz w:val="18"/>
          <w:szCs w:val="18"/>
        </w:rPr>
        <w:t>En nombre de quién?</w:t>
      </w:r>
      <w:r w:rsidRPr="008368CD">
        <w:rPr>
          <w:rFonts w:ascii="Times New Roman" w:hAnsi="Times New Roman" w:cs="Times New Roman"/>
          <w:sz w:val="18"/>
          <w:szCs w:val="18"/>
        </w:rPr>
        <w:t xml:space="preserve"> Una teoría de derecho público sobre la actividad judicial internacional. Traducción Paola Andrea Acosta Alvarado; revisión Pedro Villarreal. Bogota: Universidad Externado de Colombia, 2016. p. 166.</w:t>
      </w:r>
    </w:p>
  </w:footnote>
  <w:footnote w:id="95">
    <w:p w14:paraId="050A879A" w14:textId="3ADF1EC9"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Von BOGDANDY, Armin; VENZKE, Ingo.</w:t>
      </w:r>
      <w:proofErr w:type="gramEnd"/>
      <w:r w:rsidRPr="002B0178">
        <w:rPr>
          <w:rFonts w:ascii="Times New Roman" w:hAnsi="Times New Roman" w:cs="Times New Roman"/>
          <w:sz w:val="18"/>
          <w:szCs w:val="18"/>
          <w:lang w:val="en-US"/>
        </w:rPr>
        <w:t xml:space="preserve"> </w:t>
      </w:r>
      <w:r w:rsidRPr="00E040B8">
        <w:rPr>
          <w:rFonts w:ascii="Times New Roman" w:hAnsi="Times New Roman" w:cs="Times New Roman"/>
          <w:i/>
          <w:sz w:val="18"/>
          <w:szCs w:val="18"/>
        </w:rPr>
        <w:t>En nombre de quién?</w:t>
      </w:r>
      <w:r w:rsidRPr="008368CD">
        <w:rPr>
          <w:rFonts w:ascii="Times New Roman" w:hAnsi="Times New Roman" w:cs="Times New Roman"/>
          <w:sz w:val="18"/>
          <w:szCs w:val="18"/>
        </w:rPr>
        <w:t xml:space="preserve"> Una teoría de derecho público sobre la actividad judicial internacional. Traducción Paola Andrea Acosta Alvarado; revisión Pedro Villarreal. Bogota: Universidad Externado de Colombia, 2016. p. 174.</w:t>
      </w:r>
    </w:p>
  </w:footnote>
  <w:footnote w:id="96">
    <w:p w14:paraId="05B82329" w14:textId="5DBDBDF6" w:rsidR="00742149" w:rsidRPr="008368CD" w:rsidRDefault="00742149" w:rsidP="00D71B63">
      <w:pPr>
        <w:pStyle w:val="FootnoteText"/>
        <w:jc w:val="both"/>
        <w:rPr>
          <w:rFonts w:ascii="Times New Roman" w:hAnsi="Times New Roman" w:cs="Times New Roman"/>
          <w:sz w:val="18"/>
          <w:szCs w:val="18"/>
        </w:rPr>
      </w:pPr>
      <w:r w:rsidRPr="008368CD">
        <w:rPr>
          <w:rStyle w:val="FootnoteReference"/>
          <w:rFonts w:ascii="Times New Roman" w:hAnsi="Times New Roman" w:cs="Times New Roman"/>
          <w:sz w:val="18"/>
          <w:szCs w:val="18"/>
        </w:rPr>
        <w:footnoteRef/>
      </w:r>
      <w:r w:rsidRPr="008368CD">
        <w:rPr>
          <w:rFonts w:ascii="Times New Roman" w:hAnsi="Times New Roman" w:cs="Times New Roman"/>
          <w:sz w:val="18"/>
          <w:szCs w:val="18"/>
        </w:rPr>
        <w:t xml:space="preserve"> </w:t>
      </w:r>
      <w:r>
        <w:rPr>
          <w:rFonts w:ascii="Times New Roman" w:hAnsi="Times New Roman" w:cs="Times New Roman"/>
          <w:sz w:val="18"/>
          <w:szCs w:val="18"/>
        </w:rPr>
        <w:t xml:space="preserve">  A</w:t>
      </w:r>
      <w:r w:rsidRPr="008368CD">
        <w:rPr>
          <w:rFonts w:ascii="Times New Roman" w:hAnsi="Times New Roman" w:cs="Times New Roman"/>
          <w:sz w:val="18"/>
          <w:szCs w:val="18"/>
        </w:rPr>
        <w:t xml:space="preserve"> primeira decisão proferida pela Corte Interamericana, na década de 80, cuidou de definir o desaparecimento forçado como um ato violador de direitos humanos, muito antes da criação de diplomas jurídicos internacionais sobre a matéria.</w:t>
      </w:r>
      <w:r w:rsidRPr="002B0178">
        <w:rPr>
          <w:rFonts w:ascii="Times New Roman" w:hAnsi="Times New Roman" w:cs="Times New Roman"/>
          <w:sz w:val="18"/>
          <w:szCs w:val="18"/>
        </w:rPr>
        <w:t xml:space="preserve"> GARCÍA RAMIREZ, Sérgio. La “navegación americana” de los derechos humanos: hacia un </w:t>
      </w:r>
      <w:r w:rsidRPr="002B0178">
        <w:rPr>
          <w:rFonts w:ascii="Times New Roman" w:hAnsi="Times New Roman" w:cs="Times New Roman"/>
          <w:i/>
          <w:iCs/>
          <w:sz w:val="18"/>
          <w:szCs w:val="18"/>
        </w:rPr>
        <w:t>Ius Commune</w:t>
      </w:r>
      <w:r w:rsidRPr="002B0178">
        <w:rPr>
          <w:rFonts w:ascii="Times New Roman" w:hAnsi="Times New Roman" w:cs="Times New Roman"/>
          <w:iCs/>
          <w:sz w:val="18"/>
          <w:szCs w:val="18"/>
        </w:rPr>
        <w:t xml:space="preserve">. In: Von BOGDANDY, Armin; MORALES ANTONIAZZI, Mariela; FERRER MAC-GREGOR, Eduardo (coord.). </w:t>
      </w:r>
      <w:r w:rsidRPr="002B0178">
        <w:rPr>
          <w:rFonts w:ascii="Times New Roman" w:hAnsi="Times New Roman" w:cs="Times New Roman"/>
          <w:i/>
          <w:iCs/>
          <w:sz w:val="18"/>
          <w:szCs w:val="18"/>
        </w:rPr>
        <w:t>Ius Constitutionale Commune en América Latina</w:t>
      </w:r>
      <w:r w:rsidRPr="002B0178">
        <w:rPr>
          <w:rFonts w:ascii="Times New Roman" w:hAnsi="Times New Roman" w:cs="Times New Roman"/>
          <w:iCs/>
          <w:sz w:val="18"/>
          <w:szCs w:val="18"/>
        </w:rPr>
        <w:t xml:space="preserve">: textos básicos para su comprensión. México: </w:t>
      </w:r>
      <w:r w:rsidRPr="002B0178">
        <w:rPr>
          <w:rFonts w:ascii="Times New Roman" w:hAnsi="Times New Roman" w:cs="Times New Roman"/>
          <w:sz w:val="18"/>
          <w:szCs w:val="18"/>
        </w:rPr>
        <w:t>Instituto de Estudios Constitucionales del Estado de Querétaro, Max Planck Institute for Comparative Public Law and International Law, 2017. p. 64.</w:t>
      </w:r>
    </w:p>
  </w:footnote>
  <w:footnote w:id="97">
    <w:p w14:paraId="3E608F7D" w14:textId="126E3949" w:rsidR="00742149" w:rsidRPr="00921B1B" w:rsidRDefault="00742149" w:rsidP="00D71B63">
      <w:pPr>
        <w:pStyle w:val="FootnoteText"/>
        <w:jc w:val="both"/>
        <w:rPr>
          <w:rFonts w:ascii="Times New Roman" w:hAnsi="Times New Roman" w:cs="Times New Roman"/>
          <w:sz w:val="18"/>
          <w:szCs w:val="18"/>
        </w:rPr>
      </w:pPr>
      <w:r w:rsidRPr="00921B1B">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Von BOGDANDY, Armin. Ius Constitutionale Commune en América Latina: observations on Transformative Constitutionalism.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 xml:space="preserve">. </w:t>
      </w:r>
      <w:r w:rsidRPr="008368CD">
        <w:rPr>
          <w:rFonts w:ascii="Times New Roman" w:hAnsi="Times New Roman" w:cs="Times New Roman"/>
          <w:sz w:val="18"/>
          <w:szCs w:val="18"/>
        </w:rPr>
        <w:t xml:space="preserve">Oxford: Oxford University Press, 2017. p. 27-48, </w:t>
      </w:r>
      <w:r w:rsidRPr="002B0178">
        <w:rPr>
          <w:rFonts w:ascii="Times New Roman" w:hAnsi="Times New Roman" w:cs="Times New Roman"/>
          <w:sz w:val="18"/>
          <w:szCs w:val="18"/>
        </w:rPr>
        <w:t>p. 43.</w:t>
      </w:r>
    </w:p>
  </w:footnote>
  <w:footnote w:id="98">
    <w:p w14:paraId="7E242C50" w14:textId="177F38B6" w:rsidR="00742149" w:rsidRDefault="00742149" w:rsidP="00D71B63">
      <w:pPr>
        <w:pStyle w:val="FootnoteText"/>
      </w:pPr>
      <w:r w:rsidRPr="00FF1F5B">
        <w:rPr>
          <w:rStyle w:val="FootnoteReference"/>
          <w:rFonts w:ascii="Times New Roman" w:hAnsi="Times New Roman" w:cs="Times New Roman"/>
          <w:sz w:val="18"/>
          <w:szCs w:val="18"/>
        </w:rPr>
        <w:footnoteRef/>
      </w:r>
      <w:r w:rsidRPr="00FF1F5B">
        <w:rPr>
          <w:rFonts w:ascii="Times New Roman" w:hAnsi="Times New Roman" w:cs="Times New Roman"/>
          <w:sz w:val="18"/>
          <w:szCs w:val="18"/>
        </w:rPr>
        <w:t xml:space="preserve"> </w:t>
      </w:r>
      <w:r>
        <w:rPr>
          <w:rFonts w:ascii="Times New Roman" w:hAnsi="Times New Roman" w:cs="Times New Roman"/>
          <w:sz w:val="18"/>
          <w:szCs w:val="18"/>
        </w:rPr>
        <w:t xml:space="preserve">   </w:t>
      </w:r>
      <w:r w:rsidRPr="00FF1F5B">
        <w:rPr>
          <w:rFonts w:ascii="Times New Roman" w:hAnsi="Times New Roman" w:cs="Times New Roman"/>
          <w:sz w:val="18"/>
          <w:szCs w:val="18"/>
        </w:rPr>
        <w:t xml:space="preserve">CALDERÓN GAMBOA, Jorge F. </w:t>
      </w:r>
      <w:r w:rsidRPr="00FF1F5B">
        <w:rPr>
          <w:rFonts w:ascii="Times New Roman" w:hAnsi="Times New Roman" w:cs="Times New Roman"/>
          <w:i/>
          <w:sz w:val="18"/>
          <w:szCs w:val="18"/>
        </w:rPr>
        <w:t>La reparación integral en la jurisprudencia de la Corte Interamericana de Derechos</w:t>
      </w:r>
      <w:r w:rsidRPr="00C04F45">
        <w:rPr>
          <w:rFonts w:ascii="Times New Roman" w:hAnsi="Times New Roman" w:cs="Times New Roman"/>
          <w:i/>
          <w:sz w:val="18"/>
          <w:szCs w:val="18"/>
        </w:rPr>
        <w:t xml:space="preserve"> Humanos</w:t>
      </w:r>
      <w:r w:rsidRPr="00C04F45">
        <w:rPr>
          <w:rFonts w:ascii="Times New Roman" w:hAnsi="Times New Roman" w:cs="Times New Roman"/>
          <w:sz w:val="18"/>
          <w:szCs w:val="18"/>
        </w:rPr>
        <w:t>: estándares aplicables al nuevo paradigma mexicano. Mexico: Instituto de Investigaciones Jurídicas, Suprema Corte de la Nación, 2013. p. 146-219</w:t>
      </w:r>
      <w:r>
        <w:rPr>
          <w:rFonts w:ascii="Times New Roman" w:hAnsi="Times New Roman" w:cs="Times New Roman"/>
          <w:sz w:val="18"/>
          <w:szCs w:val="18"/>
        </w:rPr>
        <w:t xml:space="preserve">. Disponível em: </w:t>
      </w:r>
      <w:hyperlink r:id="rId14" w:history="1">
        <w:r w:rsidRPr="00256308">
          <w:rPr>
            <w:rStyle w:val="Hyperlink"/>
            <w:rFonts w:ascii="Times New Roman" w:hAnsi="Times New Roman" w:cs="Times New Roman"/>
            <w:sz w:val="18"/>
            <w:szCs w:val="18"/>
          </w:rPr>
          <w:t>http://www.corteidh.or.cr/tablas/r33008.pdf</w:t>
        </w:r>
      </w:hyperlink>
      <w:r>
        <w:rPr>
          <w:rFonts w:ascii="Times New Roman" w:hAnsi="Times New Roman" w:cs="Times New Roman"/>
          <w:sz w:val="18"/>
          <w:szCs w:val="18"/>
        </w:rPr>
        <w:t xml:space="preserve"> . Acesso em: 20 abr. 2019. p. 157.</w:t>
      </w:r>
    </w:p>
  </w:footnote>
  <w:footnote w:id="99">
    <w:p w14:paraId="2A7B83EE" w14:textId="1AAB19F3" w:rsidR="00742149" w:rsidRPr="005B6D33" w:rsidRDefault="00742149" w:rsidP="00D71B63">
      <w:pPr>
        <w:pStyle w:val="Heading1"/>
        <w:spacing w:before="0"/>
        <w:jc w:val="both"/>
        <w:rPr>
          <w:rFonts w:ascii="Times New Roman" w:eastAsia="Times New Roman" w:hAnsi="Times New Roman" w:cs="Times New Roman"/>
          <w:b w:val="0"/>
          <w:color w:val="auto"/>
          <w:sz w:val="18"/>
          <w:szCs w:val="18"/>
        </w:rPr>
      </w:pPr>
      <w:r w:rsidRPr="005A5662">
        <w:rPr>
          <w:rStyle w:val="FootnoteReference"/>
          <w:rFonts w:ascii="Times New Roman" w:hAnsi="Times New Roman" w:cs="Times New Roman"/>
          <w:b w:val="0"/>
          <w:color w:val="auto"/>
          <w:sz w:val="18"/>
          <w:szCs w:val="18"/>
        </w:rPr>
        <w:footnoteRef/>
      </w:r>
      <w:r w:rsidRPr="002B0178">
        <w:rPr>
          <w:rFonts w:ascii="Times New Roman" w:hAnsi="Times New Roman" w:cs="Times New Roman"/>
          <w:b w:val="0"/>
          <w:color w:val="auto"/>
          <w:sz w:val="18"/>
          <w:szCs w:val="18"/>
          <w:lang w:val="en-US"/>
        </w:rPr>
        <w:t xml:space="preserve">    </w:t>
      </w:r>
      <w:proofErr w:type="gramStart"/>
      <w:r w:rsidRPr="005B6D33">
        <w:rPr>
          <w:rFonts w:ascii="Times New Roman" w:hAnsi="Times New Roman" w:cs="Times New Roman"/>
          <w:b w:val="0"/>
          <w:color w:val="auto"/>
          <w:sz w:val="18"/>
          <w:szCs w:val="18"/>
          <w:lang w:val="en-US"/>
        </w:rPr>
        <w:t>DELMAS-MARTY, Mireille.</w:t>
      </w:r>
      <w:proofErr w:type="gramEnd"/>
      <w:r w:rsidRPr="005B6D33">
        <w:rPr>
          <w:rFonts w:ascii="Times New Roman" w:hAnsi="Times New Roman" w:cs="Times New Roman"/>
          <w:b w:val="0"/>
          <w:color w:val="auto"/>
          <w:sz w:val="18"/>
          <w:szCs w:val="18"/>
          <w:lang w:val="en-US"/>
        </w:rPr>
        <w:t xml:space="preserve"> </w:t>
      </w:r>
      <w:r w:rsidRPr="002B0178">
        <w:rPr>
          <w:rFonts w:ascii="Times New Roman" w:eastAsia="Times New Roman" w:hAnsi="Times New Roman" w:cs="Times New Roman"/>
          <w:b w:val="0"/>
          <w:i/>
          <w:color w:val="auto"/>
          <w:sz w:val="18"/>
          <w:szCs w:val="18"/>
          <w:lang w:val="en-US"/>
        </w:rPr>
        <w:t>Les Forces imaginantes du droit,</w:t>
      </w:r>
      <w:r w:rsidRPr="002B0178">
        <w:rPr>
          <w:rFonts w:ascii="Times New Roman" w:eastAsia="Times New Roman" w:hAnsi="Times New Roman" w:cs="Times New Roman"/>
          <w:b w:val="0"/>
          <w:color w:val="auto"/>
          <w:sz w:val="18"/>
          <w:szCs w:val="18"/>
          <w:lang w:val="en-US"/>
        </w:rPr>
        <w:t xml:space="preserve"> volume 2.</w:t>
      </w:r>
      <w:r w:rsidRPr="002B0178">
        <w:rPr>
          <w:rFonts w:ascii="Times New Roman" w:eastAsia="Times New Roman" w:hAnsi="Times New Roman" w:cs="Times New Roman"/>
          <w:color w:val="auto"/>
          <w:sz w:val="18"/>
          <w:szCs w:val="18"/>
          <w:lang w:val="en-US"/>
        </w:rPr>
        <w:t xml:space="preserve"> </w:t>
      </w:r>
      <w:r w:rsidRPr="005B6D33">
        <w:rPr>
          <w:rFonts w:ascii="Times New Roman" w:eastAsia="Times New Roman" w:hAnsi="Times New Roman" w:cs="Times New Roman"/>
          <w:b w:val="0"/>
          <w:color w:val="auto"/>
          <w:sz w:val="18"/>
          <w:szCs w:val="18"/>
        </w:rPr>
        <w:t>Le Pluralisme ordonné. Paris: Seuil, 2006. p. 70 e ss.</w:t>
      </w:r>
    </w:p>
  </w:footnote>
  <w:footnote w:id="100">
    <w:p w14:paraId="5744F995" w14:textId="5674BF37" w:rsidR="00742149" w:rsidRPr="002B0178" w:rsidRDefault="00742149" w:rsidP="00D71B63">
      <w:pPr>
        <w:pStyle w:val="FootnoteText"/>
        <w:jc w:val="both"/>
        <w:rPr>
          <w:rFonts w:ascii="Times New Roman" w:hAnsi="Times New Roman" w:cs="Times New Roman"/>
          <w:sz w:val="18"/>
          <w:szCs w:val="18"/>
          <w:lang w:val="en-US"/>
        </w:rPr>
      </w:pPr>
      <w:r w:rsidRPr="005B6D33">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DELMAS-MARTY, Mireille.</w:t>
      </w:r>
      <w:proofErr w:type="gramEnd"/>
      <w:r w:rsidRPr="002B0178">
        <w:rPr>
          <w:rFonts w:ascii="Times New Roman" w:hAnsi="Times New Roman" w:cs="Times New Roman"/>
          <w:sz w:val="18"/>
          <w:szCs w:val="18"/>
          <w:lang w:val="en-US"/>
        </w:rPr>
        <w:t xml:space="preserve"> </w:t>
      </w:r>
      <w:r w:rsidRPr="005B6D33">
        <w:rPr>
          <w:rFonts w:ascii="Times New Roman" w:hAnsi="Times New Roman" w:cs="Times New Roman"/>
          <w:sz w:val="18"/>
          <w:szCs w:val="18"/>
          <w:lang w:val="en-US"/>
        </w:rPr>
        <w:t xml:space="preserve">Ordering Pluralism. </w:t>
      </w:r>
      <w:proofErr w:type="gramStart"/>
      <w:r w:rsidRPr="005B6D33">
        <w:rPr>
          <w:rFonts w:ascii="Times New Roman" w:hAnsi="Times New Roman" w:cs="Times New Roman"/>
          <w:i/>
          <w:sz w:val="18"/>
          <w:szCs w:val="18"/>
          <w:lang w:val="en-US"/>
        </w:rPr>
        <w:t>Max Weber Lecture Series</w:t>
      </w:r>
      <w:r w:rsidRPr="005B6D33">
        <w:rPr>
          <w:rFonts w:ascii="Times New Roman" w:hAnsi="Times New Roman" w:cs="Times New Roman"/>
          <w:sz w:val="18"/>
          <w:szCs w:val="18"/>
          <w:lang w:val="en-US"/>
        </w:rPr>
        <w:t xml:space="preserve"> 2009/06.</w:t>
      </w:r>
      <w:proofErr w:type="gramEnd"/>
      <w:r w:rsidRPr="005B6D33">
        <w:rPr>
          <w:rFonts w:ascii="Times New Roman" w:hAnsi="Times New Roman" w:cs="Times New Roman"/>
          <w:sz w:val="18"/>
          <w:szCs w:val="18"/>
          <w:lang w:val="en-US"/>
        </w:rPr>
        <w:t xml:space="preserve"> European University Institute, Florence, p. 3.</w:t>
      </w:r>
    </w:p>
  </w:footnote>
  <w:footnote w:id="101">
    <w:p w14:paraId="59E18D47" w14:textId="2A5F1442" w:rsidR="00742149" w:rsidRPr="002B0178" w:rsidRDefault="00742149" w:rsidP="00D71B63">
      <w:pPr>
        <w:pStyle w:val="FootnoteText"/>
        <w:jc w:val="both"/>
        <w:rPr>
          <w:rFonts w:ascii="Times New Roman" w:hAnsi="Times New Roman" w:cs="Times New Roman"/>
          <w:sz w:val="18"/>
          <w:szCs w:val="18"/>
          <w:lang w:val="en-US"/>
        </w:rPr>
      </w:pPr>
      <w:r w:rsidRPr="005B6D33">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5B6D33">
        <w:rPr>
          <w:rFonts w:ascii="Times New Roman" w:hAnsi="Times New Roman" w:cs="Times New Roman"/>
          <w:sz w:val="18"/>
          <w:szCs w:val="18"/>
          <w:lang w:val="en-US"/>
        </w:rPr>
        <w:t>DELMAS-MARTY, Mireille.</w:t>
      </w:r>
      <w:proofErr w:type="gramEnd"/>
      <w:r w:rsidRPr="005B6D33">
        <w:rPr>
          <w:rFonts w:ascii="Times New Roman" w:hAnsi="Times New Roman" w:cs="Times New Roman"/>
          <w:sz w:val="18"/>
          <w:szCs w:val="18"/>
          <w:lang w:val="en-US"/>
        </w:rPr>
        <w:t xml:space="preserve"> </w:t>
      </w:r>
      <w:r w:rsidRPr="002B0178">
        <w:rPr>
          <w:rFonts w:ascii="Times New Roman" w:eastAsia="Times New Roman" w:hAnsi="Times New Roman" w:cs="Times New Roman"/>
          <w:i/>
          <w:sz w:val="18"/>
          <w:szCs w:val="18"/>
          <w:lang w:val="en-US"/>
        </w:rPr>
        <w:t>Les Forces imaginantes du droit,</w:t>
      </w:r>
      <w:r w:rsidRPr="002B0178">
        <w:rPr>
          <w:rFonts w:ascii="Times New Roman" w:eastAsia="Times New Roman" w:hAnsi="Times New Roman" w:cs="Times New Roman"/>
          <w:sz w:val="18"/>
          <w:szCs w:val="18"/>
          <w:lang w:val="en-US"/>
        </w:rPr>
        <w:t xml:space="preserve"> volume 2. </w:t>
      </w:r>
      <w:proofErr w:type="gramStart"/>
      <w:r w:rsidRPr="002B0178">
        <w:rPr>
          <w:rFonts w:ascii="Times New Roman" w:eastAsia="Times New Roman" w:hAnsi="Times New Roman" w:cs="Times New Roman"/>
          <w:sz w:val="18"/>
          <w:szCs w:val="18"/>
          <w:lang w:val="en-US"/>
        </w:rPr>
        <w:t>Le Pluralisme ordonné.</w:t>
      </w:r>
      <w:proofErr w:type="gramEnd"/>
      <w:r w:rsidRPr="002B0178">
        <w:rPr>
          <w:rFonts w:ascii="Times New Roman" w:eastAsia="Times New Roman" w:hAnsi="Times New Roman" w:cs="Times New Roman"/>
          <w:sz w:val="18"/>
          <w:szCs w:val="18"/>
          <w:lang w:val="en-US"/>
        </w:rPr>
        <w:t xml:space="preserve"> Paris: Seuil, 2006.</w:t>
      </w:r>
      <w:r w:rsidRPr="002B0178">
        <w:rPr>
          <w:rFonts w:ascii="Times New Roman" w:hAnsi="Times New Roman" w:cs="Times New Roman"/>
          <w:sz w:val="18"/>
          <w:szCs w:val="18"/>
          <w:lang w:val="en-US"/>
        </w:rPr>
        <w:t xml:space="preserve"> p. 104-107.</w:t>
      </w:r>
    </w:p>
  </w:footnote>
  <w:footnote w:id="102">
    <w:p w14:paraId="0524B95C" w14:textId="34F5DFF4" w:rsidR="00742149" w:rsidRPr="002B0178" w:rsidRDefault="00742149" w:rsidP="00D71B63">
      <w:pPr>
        <w:pStyle w:val="FootnoteText"/>
        <w:jc w:val="both"/>
        <w:rPr>
          <w:rFonts w:ascii="Times New Roman" w:hAnsi="Times New Roman" w:cs="Times New Roman"/>
          <w:sz w:val="18"/>
          <w:szCs w:val="18"/>
          <w:lang w:val="en-US"/>
        </w:rPr>
      </w:pPr>
      <w:r w:rsidRPr="005B6D33">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5B6D33">
        <w:rPr>
          <w:rFonts w:ascii="Times New Roman" w:hAnsi="Times New Roman" w:cs="Times New Roman"/>
          <w:sz w:val="18"/>
          <w:szCs w:val="18"/>
          <w:lang w:val="en-US"/>
        </w:rPr>
        <w:t>DELMAS-MARTY, Mireille.</w:t>
      </w:r>
      <w:proofErr w:type="gramEnd"/>
      <w:r w:rsidRPr="005B6D33">
        <w:rPr>
          <w:rFonts w:ascii="Times New Roman" w:hAnsi="Times New Roman" w:cs="Times New Roman"/>
          <w:sz w:val="18"/>
          <w:szCs w:val="18"/>
          <w:lang w:val="en-US"/>
        </w:rPr>
        <w:t xml:space="preserve"> </w:t>
      </w:r>
      <w:r w:rsidRPr="002B0178">
        <w:rPr>
          <w:rFonts w:ascii="Times New Roman" w:eastAsia="Times New Roman" w:hAnsi="Times New Roman" w:cs="Times New Roman"/>
          <w:i/>
          <w:sz w:val="18"/>
          <w:szCs w:val="18"/>
          <w:lang w:val="en-US"/>
        </w:rPr>
        <w:t>Les Forces imaginantes du droit,</w:t>
      </w:r>
      <w:r w:rsidRPr="002B0178">
        <w:rPr>
          <w:rFonts w:ascii="Times New Roman" w:eastAsia="Times New Roman" w:hAnsi="Times New Roman" w:cs="Times New Roman"/>
          <w:sz w:val="18"/>
          <w:szCs w:val="18"/>
          <w:lang w:val="en-US"/>
        </w:rPr>
        <w:t xml:space="preserve"> volume 2. </w:t>
      </w:r>
      <w:proofErr w:type="gramStart"/>
      <w:r w:rsidRPr="002B0178">
        <w:rPr>
          <w:rFonts w:ascii="Times New Roman" w:eastAsia="Times New Roman" w:hAnsi="Times New Roman" w:cs="Times New Roman"/>
          <w:sz w:val="18"/>
          <w:szCs w:val="18"/>
          <w:lang w:val="en-US"/>
        </w:rPr>
        <w:t>Le Pluralisme ordonné.</w:t>
      </w:r>
      <w:proofErr w:type="gramEnd"/>
      <w:r w:rsidRPr="002B0178">
        <w:rPr>
          <w:rFonts w:ascii="Times New Roman" w:eastAsia="Times New Roman" w:hAnsi="Times New Roman" w:cs="Times New Roman"/>
          <w:sz w:val="18"/>
          <w:szCs w:val="18"/>
          <w:lang w:val="en-US"/>
        </w:rPr>
        <w:t xml:space="preserve"> Paris: Seuil, 2006.</w:t>
      </w:r>
      <w:r w:rsidRPr="002B0178">
        <w:rPr>
          <w:rFonts w:ascii="Times New Roman" w:hAnsi="Times New Roman" w:cs="Times New Roman"/>
          <w:sz w:val="18"/>
          <w:szCs w:val="18"/>
          <w:lang w:val="en-US"/>
        </w:rPr>
        <w:t xml:space="preserve"> p. 71-72.</w:t>
      </w:r>
    </w:p>
  </w:footnote>
  <w:footnote w:id="103">
    <w:p w14:paraId="424251DC" w14:textId="4A561DB2" w:rsidR="00742149" w:rsidRPr="002B0178" w:rsidRDefault="00742149" w:rsidP="00D71B63">
      <w:pPr>
        <w:jc w:val="both"/>
        <w:rPr>
          <w:rFonts w:ascii="Times New Roman" w:hAnsi="Times New Roman" w:cs="Times New Roman"/>
          <w:sz w:val="18"/>
          <w:szCs w:val="18"/>
          <w:lang w:val="en-US"/>
        </w:rPr>
      </w:pPr>
      <w:r w:rsidRPr="005B590D">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5B590D">
        <w:rPr>
          <w:rFonts w:ascii="Times New Roman" w:hAnsi="Times New Roman" w:cs="Times New Roman"/>
          <w:sz w:val="18"/>
          <w:szCs w:val="18"/>
        </w:rPr>
        <w:t xml:space="preserve">GARCÍA ROCA, Javier. </w:t>
      </w:r>
      <w:r w:rsidRPr="00110AB8">
        <w:rPr>
          <w:rFonts w:ascii="Times New Roman" w:hAnsi="Times New Roman" w:cs="Times New Roman"/>
          <w:i/>
          <w:sz w:val="18"/>
          <w:szCs w:val="18"/>
        </w:rPr>
        <w:t>El margen de apreciación nacional en la interpretación del Convenio Europeo de Derechos Humanos:</w:t>
      </w:r>
      <w:r w:rsidRPr="005B590D">
        <w:rPr>
          <w:rFonts w:ascii="Times New Roman" w:hAnsi="Times New Roman" w:cs="Times New Roman"/>
          <w:sz w:val="18"/>
          <w:szCs w:val="18"/>
        </w:rPr>
        <w:t xml:space="preserve"> soberania e integración. </w:t>
      </w:r>
      <w:proofErr w:type="gramStart"/>
      <w:r w:rsidRPr="002B0178">
        <w:rPr>
          <w:rFonts w:ascii="Times New Roman" w:hAnsi="Times New Roman" w:cs="Times New Roman"/>
          <w:sz w:val="18"/>
          <w:szCs w:val="18"/>
          <w:lang w:val="en-US"/>
        </w:rPr>
        <w:t>1 ed. Cuadernos Civitas.</w:t>
      </w:r>
      <w:proofErr w:type="gramEnd"/>
      <w:r w:rsidRPr="002B0178">
        <w:rPr>
          <w:rFonts w:ascii="Times New Roman" w:hAnsi="Times New Roman" w:cs="Times New Roman"/>
          <w:sz w:val="18"/>
          <w:szCs w:val="18"/>
          <w:lang w:val="en-US"/>
        </w:rPr>
        <w:t xml:space="preserve"> Thomson Reuters, 2010, p. 216.</w:t>
      </w:r>
    </w:p>
  </w:footnote>
  <w:footnote w:id="104">
    <w:p w14:paraId="054B4762" w14:textId="6B656E06" w:rsidR="00742149" w:rsidRPr="002B0178" w:rsidRDefault="00742149" w:rsidP="00D71B63">
      <w:pPr>
        <w:pStyle w:val="FootnoteText"/>
        <w:jc w:val="both"/>
        <w:rPr>
          <w:rFonts w:ascii="Times New Roman" w:hAnsi="Times New Roman" w:cs="Times New Roman"/>
          <w:sz w:val="18"/>
          <w:szCs w:val="18"/>
          <w:lang w:val="en-US"/>
        </w:rPr>
      </w:pPr>
      <w:r w:rsidRPr="005B590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DELMAS-MARTY, Mireille.</w:t>
      </w:r>
      <w:proofErr w:type="gramEnd"/>
      <w:r w:rsidRPr="002B0178">
        <w:rPr>
          <w:rFonts w:ascii="Times New Roman" w:hAnsi="Times New Roman" w:cs="Times New Roman"/>
          <w:sz w:val="18"/>
          <w:szCs w:val="18"/>
          <w:lang w:val="en-US"/>
        </w:rPr>
        <w:t xml:space="preserve"> </w:t>
      </w:r>
      <w:r w:rsidRPr="002B0178">
        <w:rPr>
          <w:rFonts w:ascii="Times New Roman" w:eastAsia="Times New Roman" w:hAnsi="Times New Roman" w:cs="Times New Roman"/>
          <w:i/>
          <w:sz w:val="18"/>
          <w:szCs w:val="18"/>
          <w:lang w:val="en-US"/>
        </w:rPr>
        <w:t>Les Forces imaginantes du droit,</w:t>
      </w:r>
      <w:r w:rsidRPr="002B0178">
        <w:rPr>
          <w:rFonts w:ascii="Times New Roman" w:eastAsia="Times New Roman" w:hAnsi="Times New Roman" w:cs="Times New Roman"/>
          <w:sz w:val="18"/>
          <w:szCs w:val="18"/>
          <w:lang w:val="en-US"/>
        </w:rPr>
        <w:t xml:space="preserve"> volume 2. </w:t>
      </w:r>
      <w:proofErr w:type="gramStart"/>
      <w:r w:rsidRPr="002B0178">
        <w:rPr>
          <w:rFonts w:ascii="Times New Roman" w:eastAsia="Times New Roman" w:hAnsi="Times New Roman" w:cs="Times New Roman"/>
          <w:sz w:val="18"/>
          <w:szCs w:val="18"/>
          <w:lang w:val="en-US"/>
        </w:rPr>
        <w:t>Le Pluralisme ordonné.</w:t>
      </w:r>
      <w:proofErr w:type="gramEnd"/>
      <w:r w:rsidRPr="002B0178">
        <w:rPr>
          <w:rFonts w:ascii="Times New Roman" w:eastAsia="Times New Roman" w:hAnsi="Times New Roman" w:cs="Times New Roman"/>
          <w:sz w:val="18"/>
          <w:szCs w:val="18"/>
          <w:lang w:val="en-US"/>
        </w:rPr>
        <w:t xml:space="preserve"> Paris: Seuil, 2006.</w:t>
      </w:r>
      <w:r w:rsidRPr="002B0178">
        <w:rPr>
          <w:rFonts w:ascii="Times New Roman" w:hAnsi="Times New Roman" w:cs="Times New Roman"/>
          <w:sz w:val="18"/>
          <w:szCs w:val="18"/>
          <w:lang w:val="en-US"/>
        </w:rPr>
        <w:t xml:space="preserve"> p. </w:t>
      </w:r>
      <w:proofErr w:type="gramStart"/>
      <w:r w:rsidRPr="002B0178">
        <w:rPr>
          <w:rFonts w:ascii="Times New Roman" w:hAnsi="Times New Roman" w:cs="Times New Roman"/>
          <w:sz w:val="18"/>
          <w:szCs w:val="18"/>
          <w:lang w:val="en-US"/>
        </w:rPr>
        <w:t>p</w:t>
      </w:r>
      <w:proofErr w:type="gramEnd"/>
      <w:r w:rsidRPr="002B0178">
        <w:rPr>
          <w:rFonts w:ascii="Times New Roman" w:hAnsi="Times New Roman" w:cs="Times New Roman"/>
          <w:sz w:val="18"/>
          <w:szCs w:val="18"/>
          <w:lang w:val="en-US"/>
        </w:rPr>
        <w:t>. 80.</w:t>
      </w:r>
    </w:p>
  </w:footnote>
  <w:footnote w:id="105">
    <w:p w14:paraId="73438D46" w14:textId="2D3AC66E" w:rsidR="00742149" w:rsidRPr="002B0178" w:rsidRDefault="00742149" w:rsidP="00D71B63">
      <w:pPr>
        <w:pStyle w:val="FootnoteText"/>
        <w:jc w:val="both"/>
        <w:rPr>
          <w:lang w:val="en-US"/>
        </w:rPr>
      </w:pPr>
      <w:r w:rsidRPr="00B117F5">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Von BOGDANDY, Armin. Ius Constitutionale Commune en América Latina: observations on Transformative Constitutionalism.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 Oxford: Oxford University Press, 2017. p. 27-48, p. 45.</w:t>
      </w:r>
    </w:p>
  </w:footnote>
  <w:footnote w:id="106">
    <w:p w14:paraId="25D717C6" w14:textId="2D4B657D" w:rsidR="00742149" w:rsidRDefault="00742149" w:rsidP="00D71B63">
      <w:pPr>
        <w:pStyle w:val="FootnoteText"/>
        <w:jc w:val="both"/>
      </w:pPr>
      <w:r w:rsidRPr="00A63367">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Von BOGDANDY, Armin. Ius Constitutionale Commune en América Latina: observations on Transformative Constitutionalism.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 xml:space="preserve">. </w:t>
      </w:r>
      <w:r w:rsidRPr="008368CD">
        <w:rPr>
          <w:rFonts w:ascii="Times New Roman" w:hAnsi="Times New Roman" w:cs="Times New Roman"/>
          <w:sz w:val="18"/>
          <w:szCs w:val="18"/>
        </w:rPr>
        <w:t>Oxford: Oxford University Press, 2017. p. 27-48</w:t>
      </w:r>
      <w:r>
        <w:rPr>
          <w:rFonts w:ascii="Times New Roman" w:hAnsi="Times New Roman" w:cs="Times New Roman"/>
          <w:sz w:val="18"/>
          <w:szCs w:val="18"/>
        </w:rPr>
        <w:t>, p. 45.</w:t>
      </w:r>
    </w:p>
  </w:footnote>
  <w:footnote w:id="107">
    <w:p w14:paraId="0D34BB6B" w14:textId="5194E07D" w:rsidR="00742149" w:rsidRPr="00496C1B" w:rsidRDefault="00742149" w:rsidP="00D71B63">
      <w:pPr>
        <w:jc w:val="both"/>
        <w:rPr>
          <w:rFonts w:ascii="Times New Roman" w:eastAsia="Times New Roman" w:hAnsi="Times New Roman" w:cs="Times New Roman"/>
          <w:sz w:val="18"/>
          <w:szCs w:val="18"/>
          <w:lang w:val="en-US"/>
        </w:rPr>
      </w:pPr>
      <w:r w:rsidRPr="00496C1B">
        <w:rPr>
          <w:rStyle w:val="FootnoteReference"/>
          <w:rFonts w:ascii="Times New Roman" w:hAnsi="Times New Roman" w:cs="Times New Roman"/>
          <w:sz w:val="18"/>
          <w:szCs w:val="18"/>
        </w:rPr>
        <w:footnoteRef/>
      </w:r>
      <w:r w:rsidRPr="00496C1B">
        <w:rPr>
          <w:rFonts w:ascii="Times New Roman" w:hAnsi="Times New Roman" w:cs="Times New Roman"/>
          <w:sz w:val="18"/>
          <w:szCs w:val="18"/>
        </w:rPr>
        <w:t xml:space="preserve"> </w:t>
      </w:r>
      <w:r>
        <w:rPr>
          <w:rFonts w:ascii="Times New Roman" w:hAnsi="Times New Roman" w:cs="Times New Roman"/>
          <w:sz w:val="18"/>
          <w:szCs w:val="18"/>
        </w:rPr>
        <w:t xml:space="preserve">  </w:t>
      </w:r>
      <w:r w:rsidRPr="00496C1B">
        <w:rPr>
          <w:rFonts w:ascii="Times New Roman" w:hAnsi="Times New Roman" w:cs="Times New Roman"/>
          <w:sz w:val="18"/>
          <w:szCs w:val="18"/>
        </w:rPr>
        <w:t xml:space="preserve">CORTE INTERAMERICANA DE DERECHOS HUMANOS. </w:t>
      </w:r>
      <w:r w:rsidRPr="002B0178">
        <w:rPr>
          <w:rFonts w:ascii="Times New Roman" w:eastAsia="Times New Roman" w:hAnsi="Times New Roman" w:cs="Times New Roman"/>
          <w:bCs/>
          <w:i/>
          <w:color w:val="000000"/>
          <w:sz w:val="18"/>
          <w:szCs w:val="18"/>
        </w:rPr>
        <w:t xml:space="preserve">Caso Pueblo Indígena Xucuru y sus miembros Vs. </w:t>
      </w:r>
      <w:r w:rsidRPr="00496C1B">
        <w:rPr>
          <w:rFonts w:ascii="Times New Roman" w:eastAsia="Times New Roman" w:hAnsi="Times New Roman" w:cs="Times New Roman"/>
          <w:bCs/>
          <w:i/>
          <w:color w:val="000000"/>
          <w:sz w:val="18"/>
          <w:szCs w:val="18"/>
          <w:lang w:val="en-US"/>
        </w:rPr>
        <w:t>Brasil</w:t>
      </w:r>
      <w:r w:rsidRPr="00496C1B">
        <w:rPr>
          <w:rFonts w:ascii="Times New Roman" w:eastAsia="Times New Roman" w:hAnsi="Times New Roman" w:cs="Times New Roman"/>
          <w:bCs/>
          <w:color w:val="000000"/>
          <w:sz w:val="18"/>
          <w:szCs w:val="18"/>
          <w:lang w:val="en-US"/>
        </w:rPr>
        <w:t xml:space="preserve">. </w:t>
      </w:r>
      <w:r w:rsidRPr="002B0178">
        <w:rPr>
          <w:rFonts w:ascii="Times New Roman" w:eastAsia="Times New Roman" w:hAnsi="Times New Roman" w:cs="Times New Roman"/>
          <w:bCs/>
          <w:color w:val="000000"/>
          <w:sz w:val="18"/>
          <w:szCs w:val="18"/>
        </w:rPr>
        <w:t xml:space="preserve">Excepciones Preliminares, Fondo, Reparaciones y Costas. Sentencia de 5 de febrero de 2018. </w:t>
      </w:r>
      <w:r w:rsidRPr="00496C1B">
        <w:rPr>
          <w:rFonts w:ascii="Times New Roman" w:eastAsia="Times New Roman" w:hAnsi="Times New Roman" w:cs="Times New Roman"/>
          <w:bCs/>
          <w:color w:val="000000"/>
          <w:sz w:val="18"/>
          <w:szCs w:val="18"/>
          <w:lang w:val="en-US"/>
        </w:rPr>
        <w:t xml:space="preserve">Serie C No. 346. </w:t>
      </w:r>
      <w:proofErr w:type="gramStart"/>
      <w:r w:rsidRPr="00496C1B">
        <w:rPr>
          <w:rFonts w:ascii="Times New Roman" w:eastAsia="Times New Roman" w:hAnsi="Times New Roman" w:cs="Times New Roman"/>
          <w:bCs/>
          <w:color w:val="000000"/>
          <w:sz w:val="18"/>
          <w:szCs w:val="18"/>
          <w:lang w:val="en-US"/>
        </w:rPr>
        <w:t>Párrafo n. 115.</w:t>
      </w:r>
      <w:proofErr w:type="gramEnd"/>
    </w:p>
  </w:footnote>
  <w:footnote w:id="108">
    <w:p w14:paraId="6B2F4243" w14:textId="4033046B" w:rsidR="00742149" w:rsidRPr="002B0178" w:rsidRDefault="00742149" w:rsidP="00D71B63">
      <w:pPr>
        <w:pStyle w:val="FootnoteText"/>
        <w:jc w:val="both"/>
        <w:rPr>
          <w:rFonts w:ascii="Times New Roman" w:hAnsi="Times New Roman" w:cs="Times New Roman"/>
          <w:sz w:val="18"/>
          <w:szCs w:val="18"/>
          <w:lang w:val="en-US"/>
        </w:rPr>
      </w:pPr>
      <w:r w:rsidRPr="00B57961">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FERRER MAC-GREGOR, Eduardo.</w:t>
      </w:r>
      <w:proofErr w:type="gramEnd"/>
      <w:r w:rsidRPr="002B0178">
        <w:rPr>
          <w:rFonts w:ascii="Times New Roman" w:hAnsi="Times New Roman" w:cs="Times New Roman"/>
          <w:sz w:val="18"/>
          <w:szCs w:val="18"/>
          <w:lang w:val="en-US"/>
        </w:rPr>
        <w:t xml:space="preserve"> What Do We Mean When We Talk About Judicial Dialogue? </w:t>
      </w:r>
      <w:proofErr w:type="gramStart"/>
      <w:r w:rsidRPr="002B0178">
        <w:rPr>
          <w:rFonts w:ascii="Times New Roman" w:hAnsi="Times New Roman" w:cs="Times New Roman"/>
          <w:sz w:val="18"/>
          <w:szCs w:val="18"/>
          <w:lang w:val="en-US"/>
        </w:rPr>
        <w:t>Reflections of a Judge of the Inter-American Court of Human Rights.</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i/>
          <w:sz w:val="18"/>
          <w:szCs w:val="18"/>
          <w:lang w:val="en-US"/>
        </w:rPr>
        <w:t>Harvard Human Rights Journal</w:t>
      </w:r>
      <w:r w:rsidRPr="002B0178">
        <w:rPr>
          <w:rFonts w:ascii="Times New Roman" w:hAnsi="Times New Roman" w:cs="Times New Roman"/>
          <w:sz w:val="18"/>
          <w:szCs w:val="18"/>
          <w:lang w:val="en-US"/>
        </w:rPr>
        <w:t>, Cambridge, v. 30, p. 89-127, 2017.</w:t>
      </w:r>
      <w:proofErr w:type="gramEnd"/>
      <w:r w:rsidRPr="002B0178">
        <w:rPr>
          <w:rFonts w:ascii="Times New Roman" w:hAnsi="Times New Roman" w:cs="Times New Roman"/>
          <w:sz w:val="18"/>
          <w:szCs w:val="18"/>
          <w:lang w:val="en-US"/>
        </w:rPr>
        <w:t xml:space="preserve"> p. 107-109.</w:t>
      </w:r>
    </w:p>
  </w:footnote>
  <w:footnote w:id="109">
    <w:p w14:paraId="52916076" w14:textId="4B42E0A7" w:rsidR="00742149" w:rsidRDefault="00742149" w:rsidP="00D71B63">
      <w:pPr>
        <w:pStyle w:val="FootnoteText"/>
        <w:jc w:val="both"/>
      </w:pPr>
      <w:r w:rsidRPr="00920751">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FERRER MAC-GREGOR, Eduardo.</w:t>
      </w:r>
      <w:proofErr w:type="gramEnd"/>
      <w:r w:rsidRPr="002B0178">
        <w:rPr>
          <w:rFonts w:ascii="Times New Roman" w:hAnsi="Times New Roman" w:cs="Times New Roman"/>
          <w:sz w:val="18"/>
          <w:szCs w:val="18"/>
          <w:lang w:val="en-US"/>
        </w:rPr>
        <w:t xml:space="preserve"> What Do We Mean When We Talk About Judicial Dialogue? </w:t>
      </w:r>
      <w:proofErr w:type="gramStart"/>
      <w:r w:rsidRPr="002B0178">
        <w:rPr>
          <w:rFonts w:ascii="Times New Roman" w:hAnsi="Times New Roman" w:cs="Times New Roman"/>
          <w:sz w:val="18"/>
          <w:szCs w:val="18"/>
          <w:lang w:val="en-US"/>
        </w:rPr>
        <w:t>Reflections of a Judge of the Inter-American Court of Human Rights.</w:t>
      </w:r>
      <w:proofErr w:type="gramEnd"/>
      <w:r w:rsidRPr="002B0178">
        <w:rPr>
          <w:rFonts w:ascii="Times New Roman" w:hAnsi="Times New Roman" w:cs="Times New Roman"/>
          <w:sz w:val="18"/>
          <w:szCs w:val="18"/>
          <w:lang w:val="en-US"/>
        </w:rPr>
        <w:t xml:space="preserve"> </w:t>
      </w:r>
      <w:r w:rsidRPr="00B57961">
        <w:rPr>
          <w:rFonts w:ascii="Times New Roman" w:hAnsi="Times New Roman" w:cs="Times New Roman"/>
          <w:i/>
          <w:sz w:val="18"/>
          <w:szCs w:val="18"/>
        </w:rPr>
        <w:t>Harvard Human Rights Journal</w:t>
      </w:r>
      <w:r w:rsidRPr="00B57961">
        <w:rPr>
          <w:rFonts w:ascii="Times New Roman" w:hAnsi="Times New Roman" w:cs="Times New Roman"/>
          <w:sz w:val="18"/>
          <w:szCs w:val="18"/>
        </w:rPr>
        <w:t>, Cambridge, v. 30, p. 89-127, 2017. p.</w:t>
      </w:r>
      <w:r>
        <w:rPr>
          <w:rFonts w:ascii="Times New Roman" w:hAnsi="Times New Roman" w:cs="Times New Roman"/>
          <w:sz w:val="18"/>
          <w:szCs w:val="18"/>
        </w:rPr>
        <w:t xml:space="preserve"> 113.</w:t>
      </w:r>
    </w:p>
  </w:footnote>
  <w:footnote w:id="110">
    <w:p w14:paraId="2185D85E" w14:textId="5FB140F5" w:rsidR="00742149" w:rsidRPr="000912FA" w:rsidRDefault="00742149" w:rsidP="00D71B63">
      <w:pPr>
        <w:pStyle w:val="FootnoteText"/>
        <w:jc w:val="both"/>
        <w:rPr>
          <w:rFonts w:ascii="Times New Roman" w:hAnsi="Times New Roman" w:cs="Times New Roman"/>
          <w:sz w:val="18"/>
          <w:szCs w:val="18"/>
        </w:rPr>
      </w:pPr>
      <w:r w:rsidRPr="000912FA">
        <w:rPr>
          <w:rStyle w:val="FootnoteReference"/>
          <w:rFonts w:ascii="Times New Roman" w:hAnsi="Times New Roman" w:cs="Times New Roman"/>
          <w:sz w:val="18"/>
          <w:szCs w:val="18"/>
        </w:rPr>
        <w:footnoteRef/>
      </w:r>
      <w:r w:rsidRPr="000912F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0912FA">
        <w:rPr>
          <w:rFonts w:ascii="Times New Roman" w:hAnsi="Times New Roman" w:cs="Times New Roman"/>
          <w:sz w:val="18"/>
          <w:szCs w:val="18"/>
        </w:rPr>
        <w:t xml:space="preserve">CORTE INTERAMERICANA DE DERECHOS HUMANOS. </w:t>
      </w:r>
      <w:r w:rsidRPr="000912FA">
        <w:rPr>
          <w:rFonts w:ascii="Times New Roman" w:hAnsi="Times New Roman" w:cs="Times New Roman"/>
          <w:i/>
          <w:sz w:val="18"/>
          <w:szCs w:val="18"/>
        </w:rPr>
        <w:t>Caso Almonacid Arellano v. Chile</w:t>
      </w:r>
      <w:r w:rsidRPr="000912FA">
        <w:rPr>
          <w:rFonts w:ascii="Times New Roman" w:hAnsi="Times New Roman" w:cs="Times New Roman"/>
          <w:sz w:val="18"/>
          <w:szCs w:val="18"/>
        </w:rPr>
        <w:t>. Sentencia de 26 de Septiembre de 2006. Excepciones Preliminares, Fondo, Reparaciones e Costas. Serie C-154.</w:t>
      </w:r>
    </w:p>
  </w:footnote>
  <w:footnote w:id="111">
    <w:p w14:paraId="3F18BF61" w14:textId="76A33D19" w:rsidR="00742149" w:rsidRPr="000912FA" w:rsidRDefault="00742149" w:rsidP="00D71B63">
      <w:pPr>
        <w:pStyle w:val="FootnoteText"/>
        <w:jc w:val="both"/>
        <w:rPr>
          <w:rFonts w:ascii="Times New Roman" w:hAnsi="Times New Roman" w:cs="Times New Roman"/>
          <w:sz w:val="18"/>
          <w:szCs w:val="18"/>
        </w:rPr>
      </w:pPr>
      <w:r w:rsidRPr="000912FA">
        <w:rPr>
          <w:rStyle w:val="FootnoteReference"/>
          <w:rFonts w:ascii="Times New Roman" w:hAnsi="Times New Roman" w:cs="Times New Roman"/>
          <w:sz w:val="18"/>
          <w:szCs w:val="18"/>
        </w:rPr>
        <w:footnoteRef/>
      </w:r>
      <w:r w:rsidRPr="000912F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0912FA">
        <w:rPr>
          <w:rFonts w:ascii="Times New Roman" w:hAnsi="Times New Roman" w:cs="Times New Roman"/>
          <w:sz w:val="18"/>
          <w:szCs w:val="18"/>
        </w:rPr>
        <w:t xml:space="preserve">CORTE INTERAMERICANA DE DERECHOS HUMANOS. </w:t>
      </w:r>
      <w:r w:rsidRPr="000912FA">
        <w:rPr>
          <w:rFonts w:ascii="Times New Roman" w:hAnsi="Times New Roman" w:cs="Times New Roman"/>
          <w:i/>
          <w:sz w:val="18"/>
          <w:szCs w:val="18"/>
        </w:rPr>
        <w:t>Caso Trabajadores Cesados del Congreso v. Peru</w:t>
      </w:r>
      <w:r w:rsidRPr="000912FA">
        <w:rPr>
          <w:rFonts w:ascii="Times New Roman" w:hAnsi="Times New Roman" w:cs="Times New Roman"/>
          <w:sz w:val="18"/>
          <w:szCs w:val="18"/>
        </w:rPr>
        <w:t>. Sentencia de 24 de Noviembre de 2006. Excepciones Preliminares, Fondo, Reparaciones e Costas. Serie C-158.</w:t>
      </w:r>
    </w:p>
  </w:footnote>
  <w:footnote w:id="112">
    <w:p w14:paraId="0B71739A" w14:textId="6F6BDA1A" w:rsidR="00742149" w:rsidRPr="000912FA" w:rsidRDefault="00742149" w:rsidP="00D71B63">
      <w:pPr>
        <w:pStyle w:val="FootnoteText"/>
        <w:jc w:val="both"/>
        <w:rPr>
          <w:rFonts w:ascii="Times New Roman" w:hAnsi="Times New Roman" w:cs="Times New Roman"/>
          <w:sz w:val="18"/>
          <w:szCs w:val="18"/>
        </w:rPr>
      </w:pPr>
      <w:r w:rsidRPr="000912FA">
        <w:rPr>
          <w:rStyle w:val="FootnoteReference"/>
          <w:rFonts w:ascii="Times New Roman" w:hAnsi="Times New Roman" w:cs="Times New Roman"/>
          <w:sz w:val="18"/>
          <w:szCs w:val="18"/>
        </w:rPr>
        <w:footnoteRef/>
      </w:r>
      <w:r w:rsidRPr="000912F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0912FA">
        <w:rPr>
          <w:rFonts w:ascii="Times New Roman" w:hAnsi="Times New Roman" w:cs="Times New Roman"/>
          <w:sz w:val="18"/>
          <w:szCs w:val="18"/>
        </w:rPr>
        <w:t xml:space="preserve">CORTE INTERAMERICANA DE DERECHOS HUMANOS. </w:t>
      </w:r>
      <w:r w:rsidRPr="000912FA">
        <w:rPr>
          <w:rFonts w:ascii="Times New Roman" w:hAnsi="Times New Roman" w:cs="Times New Roman"/>
          <w:i/>
          <w:sz w:val="18"/>
          <w:szCs w:val="18"/>
        </w:rPr>
        <w:t>Caso Cabrera García y Motiel Flores v. Mexico</w:t>
      </w:r>
      <w:r w:rsidRPr="000912FA">
        <w:rPr>
          <w:rFonts w:ascii="Times New Roman" w:hAnsi="Times New Roman" w:cs="Times New Roman"/>
          <w:sz w:val="18"/>
          <w:szCs w:val="18"/>
        </w:rPr>
        <w:t>. Sentencia de 26 de Noviembre de 2010. Excepciones Preliminares, Fondo, Reparaciones e Costas. Serie C-220.</w:t>
      </w:r>
    </w:p>
  </w:footnote>
  <w:footnote w:id="113">
    <w:p w14:paraId="22301BC9" w14:textId="179B0AC3" w:rsidR="00742149" w:rsidRPr="000912FA" w:rsidRDefault="00742149" w:rsidP="00D71B63">
      <w:pPr>
        <w:pStyle w:val="FootnoteText"/>
        <w:jc w:val="both"/>
        <w:rPr>
          <w:rFonts w:ascii="Times New Roman" w:hAnsi="Times New Roman" w:cs="Times New Roman"/>
          <w:sz w:val="18"/>
          <w:szCs w:val="18"/>
        </w:rPr>
      </w:pPr>
      <w:r w:rsidRPr="000912FA">
        <w:rPr>
          <w:rStyle w:val="FootnoteReference"/>
          <w:rFonts w:ascii="Times New Roman" w:hAnsi="Times New Roman" w:cs="Times New Roman"/>
          <w:sz w:val="18"/>
          <w:szCs w:val="18"/>
        </w:rPr>
        <w:footnoteRef/>
      </w:r>
      <w:r w:rsidRPr="000912F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0912FA">
        <w:rPr>
          <w:rFonts w:ascii="Times New Roman" w:hAnsi="Times New Roman" w:cs="Times New Roman"/>
          <w:sz w:val="18"/>
          <w:szCs w:val="18"/>
        </w:rPr>
        <w:t xml:space="preserve">CORTE INTERAMERICANA DE DERECHOS HUMANOS. </w:t>
      </w:r>
      <w:r w:rsidRPr="000912FA">
        <w:rPr>
          <w:rFonts w:ascii="Times New Roman" w:hAnsi="Times New Roman" w:cs="Times New Roman"/>
          <w:i/>
          <w:sz w:val="18"/>
          <w:szCs w:val="18"/>
        </w:rPr>
        <w:t>Caso Juan Gelman v. Uruguai</w:t>
      </w:r>
      <w:r w:rsidRPr="000912FA">
        <w:rPr>
          <w:rFonts w:ascii="Times New Roman" w:hAnsi="Times New Roman" w:cs="Times New Roman"/>
          <w:sz w:val="18"/>
          <w:szCs w:val="18"/>
        </w:rPr>
        <w:t>. Sentencia de 20 de Marzo de 2013. Supervisión de Cumplimiento.</w:t>
      </w:r>
    </w:p>
  </w:footnote>
  <w:footnote w:id="114">
    <w:p w14:paraId="44F2CAEB" w14:textId="7380E8DB" w:rsidR="00742149" w:rsidRPr="002B0178" w:rsidRDefault="00742149" w:rsidP="00D71B63">
      <w:pPr>
        <w:pStyle w:val="FootnoteText"/>
        <w:jc w:val="both"/>
        <w:rPr>
          <w:rFonts w:ascii="Times New Roman" w:hAnsi="Times New Roman" w:cs="Times New Roman"/>
          <w:sz w:val="18"/>
          <w:szCs w:val="18"/>
          <w:lang w:val="en-US"/>
        </w:rPr>
      </w:pPr>
      <w:r w:rsidRPr="000912FA">
        <w:rPr>
          <w:rStyle w:val="FootnoteReference"/>
          <w:rFonts w:ascii="Times New Roman" w:hAnsi="Times New Roman" w:cs="Times New Roman"/>
          <w:sz w:val="18"/>
          <w:szCs w:val="18"/>
        </w:rPr>
        <w:footnoteRef/>
      </w:r>
      <w:r w:rsidRPr="000912F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0912FA">
        <w:rPr>
          <w:rFonts w:ascii="Times New Roman" w:hAnsi="Times New Roman" w:cs="Times New Roman"/>
          <w:sz w:val="18"/>
          <w:szCs w:val="18"/>
        </w:rPr>
        <w:t xml:space="preserve">CORTE INTERAMERICANA DE DERECHOS HUMANOS. </w:t>
      </w:r>
      <w:r w:rsidRPr="000912FA">
        <w:rPr>
          <w:rFonts w:ascii="Times New Roman" w:hAnsi="Times New Roman" w:cs="Times New Roman"/>
          <w:i/>
          <w:sz w:val="18"/>
          <w:szCs w:val="18"/>
        </w:rPr>
        <w:t>Opinión Consultiva n. 21</w:t>
      </w:r>
      <w:r w:rsidRPr="000912FA">
        <w:rPr>
          <w:rFonts w:ascii="Times New Roman" w:hAnsi="Times New Roman" w:cs="Times New Roman"/>
          <w:sz w:val="18"/>
          <w:szCs w:val="18"/>
        </w:rPr>
        <w:t xml:space="preserve"> de 19 de Agosto de 2014. Derechos y Garatías de Niñas y Niños en el Contexto de la Migración y/o en Necesidad de Protección Internacional. </w:t>
      </w:r>
      <w:r w:rsidRPr="002B0178">
        <w:rPr>
          <w:rFonts w:ascii="Times New Roman" w:hAnsi="Times New Roman" w:cs="Times New Roman"/>
          <w:sz w:val="18"/>
          <w:szCs w:val="18"/>
          <w:lang w:val="en-US"/>
        </w:rPr>
        <w:t>Série A-21.</w:t>
      </w:r>
    </w:p>
  </w:footnote>
  <w:footnote w:id="115">
    <w:p w14:paraId="08FADF1D" w14:textId="2A9D66E3" w:rsidR="00742149" w:rsidRDefault="00742149" w:rsidP="00D71B63">
      <w:pPr>
        <w:pStyle w:val="FootnoteText"/>
        <w:jc w:val="both"/>
      </w:pPr>
      <w:r w:rsidRPr="00BB718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FERRER MAC-GREGOR, Eduardo.</w:t>
      </w:r>
      <w:proofErr w:type="gramEnd"/>
      <w:r w:rsidRPr="002B0178">
        <w:rPr>
          <w:rFonts w:ascii="Times New Roman" w:hAnsi="Times New Roman" w:cs="Times New Roman"/>
          <w:sz w:val="18"/>
          <w:szCs w:val="18"/>
          <w:lang w:val="en-US"/>
        </w:rPr>
        <w:t xml:space="preserve"> What Do We Mean When We Talk About Judicial Dialogue? </w:t>
      </w:r>
      <w:proofErr w:type="gramStart"/>
      <w:r w:rsidRPr="002B0178">
        <w:rPr>
          <w:rFonts w:ascii="Times New Roman" w:hAnsi="Times New Roman" w:cs="Times New Roman"/>
          <w:sz w:val="18"/>
          <w:szCs w:val="18"/>
          <w:lang w:val="en-US"/>
        </w:rPr>
        <w:t>Reflections of a Judge of the Inter-American Court of Human Rights.</w:t>
      </w:r>
      <w:proofErr w:type="gramEnd"/>
      <w:r w:rsidRPr="002B0178">
        <w:rPr>
          <w:rFonts w:ascii="Times New Roman" w:hAnsi="Times New Roman" w:cs="Times New Roman"/>
          <w:sz w:val="18"/>
          <w:szCs w:val="18"/>
          <w:lang w:val="en-US"/>
        </w:rPr>
        <w:t xml:space="preserve"> </w:t>
      </w:r>
      <w:r w:rsidRPr="00B57961">
        <w:rPr>
          <w:rFonts w:ascii="Times New Roman" w:hAnsi="Times New Roman" w:cs="Times New Roman"/>
          <w:i/>
          <w:sz w:val="18"/>
          <w:szCs w:val="18"/>
        </w:rPr>
        <w:t>Harvard Human Rights Journal</w:t>
      </w:r>
      <w:r w:rsidRPr="00B57961">
        <w:rPr>
          <w:rFonts w:ascii="Times New Roman" w:hAnsi="Times New Roman" w:cs="Times New Roman"/>
          <w:sz w:val="18"/>
          <w:szCs w:val="18"/>
        </w:rPr>
        <w:t>, Cambridge</w:t>
      </w:r>
      <w:r>
        <w:rPr>
          <w:rFonts w:ascii="Times New Roman" w:hAnsi="Times New Roman" w:cs="Times New Roman"/>
          <w:sz w:val="18"/>
          <w:szCs w:val="18"/>
        </w:rPr>
        <w:t>, v. 30, p. 89-127, 2017. p. 119.</w:t>
      </w:r>
    </w:p>
  </w:footnote>
  <w:footnote w:id="116">
    <w:p w14:paraId="5DE4C84A" w14:textId="1B81E968" w:rsidR="00742149" w:rsidRPr="002B0178" w:rsidRDefault="00742149" w:rsidP="00D71B63">
      <w:pPr>
        <w:pStyle w:val="FootnoteText"/>
        <w:jc w:val="both"/>
        <w:rPr>
          <w:rFonts w:ascii="Times New Roman" w:hAnsi="Times New Roman" w:cs="Times New Roman"/>
          <w:sz w:val="18"/>
          <w:szCs w:val="18"/>
          <w:lang w:val="en-US"/>
        </w:rPr>
      </w:pPr>
      <w:r w:rsidRPr="00C01B6C">
        <w:rPr>
          <w:rStyle w:val="FootnoteReference"/>
          <w:rFonts w:ascii="Times New Roman" w:hAnsi="Times New Roman" w:cs="Times New Roman"/>
          <w:sz w:val="18"/>
          <w:szCs w:val="18"/>
        </w:rPr>
        <w:footnoteRef/>
      </w:r>
      <w:r w:rsidRPr="00C01B6C">
        <w:rPr>
          <w:rFonts w:ascii="Times New Roman" w:hAnsi="Times New Roman" w:cs="Times New Roman"/>
          <w:sz w:val="18"/>
          <w:szCs w:val="18"/>
        </w:rPr>
        <w:t xml:space="preserve"> </w:t>
      </w:r>
      <w:r>
        <w:rPr>
          <w:rFonts w:ascii="Times New Roman" w:hAnsi="Times New Roman" w:cs="Times New Roman"/>
          <w:sz w:val="18"/>
          <w:szCs w:val="18"/>
        </w:rPr>
        <w:t xml:space="preserve">  C</w:t>
      </w:r>
      <w:r w:rsidRPr="00C01B6C">
        <w:rPr>
          <w:rFonts w:ascii="Times New Roman" w:hAnsi="Times New Roman" w:cs="Times New Roman"/>
          <w:sz w:val="18"/>
          <w:szCs w:val="18"/>
        </w:rPr>
        <w:t xml:space="preserve">ORTE INTERAMERICANA DE DERECHOS HUMANOS. </w:t>
      </w:r>
      <w:r w:rsidRPr="00084989">
        <w:rPr>
          <w:rFonts w:ascii="Times New Roman" w:hAnsi="Times New Roman" w:cs="Times New Roman"/>
          <w:i/>
          <w:sz w:val="18"/>
          <w:szCs w:val="18"/>
        </w:rPr>
        <w:t>Castañeda Gutman vs. Estados Unidos Mexicanos</w:t>
      </w:r>
      <w:r w:rsidRPr="00C01B6C">
        <w:rPr>
          <w:rFonts w:ascii="Times New Roman" w:hAnsi="Times New Roman" w:cs="Times New Roman"/>
          <w:sz w:val="18"/>
          <w:szCs w:val="18"/>
        </w:rPr>
        <w:t xml:space="preserve">. Sentencia de 6 de Agosto de 2008. Excepciones preliminares, Fondo, Reparaciones y Costas. </w:t>
      </w:r>
      <w:proofErr w:type="gramStart"/>
      <w:r w:rsidRPr="002B0178">
        <w:rPr>
          <w:rFonts w:ascii="Times New Roman" w:hAnsi="Times New Roman" w:cs="Times New Roman"/>
          <w:sz w:val="18"/>
          <w:szCs w:val="18"/>
          <w:lang w:val="en-US"/>
        </w:rPr>
        <w:t>Serie C n. 184.</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Párrafos n. 149; 155-159.</w:t>
      </w:r>
      <w:proofErr w:type="gramEnd"/>
    </w:p>
  </w:footnote>
  <w:footnote w:id="117">
    <w:p w14:paraId="486740CD" w14:textId="0234F4C3" w:rsidR="00742149" w:rsidRPr="002B0178" w:rsidRDefault="00742149" w:rsidP="00D71B63">
      <w:pPr>
        <w:pStyle w:val="FootnoteText"/>
        <w:jc w:val="both"/>
        <w:rPr>
          <w:lang w:val="en-US"/>
        </w:rPr>
      </w:pPr>
      <w:r w:rsidRPr="00A80CF1">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SALAZAR UGARTE, Pedro.</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The Struggle for Rights.</w:t>
      </w:r>
      <w:proofErr w:type="gramEnd"/>
      <w:r w:rsidRPr="002B0178">
        <w:rPr>
          <w:rFonts w:ascii="Times New Roman" w:hAnsi="Times New Roman" w:cs="Times New Roman"/>
          <w:sz w:val="18"/>
          <w:szCs w:val="18"/>
          <w:lang w:val="en-US"/>
        </w:rPr>
        <w:t xml:space="preserve">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 Oxford: Oxford University Press, 2017. p. 67-82, p. 71.</w:t>
      </w:r>
    </w:p>
  </w:footnote>
  <w:footnote w:id="118">
    <w:p w14:paraId="0E3D4A23" w14:textId="146A17BC" w:rsidR="00742149" w:rsidRPr="002B0178" w:rsidRDefault="00742149" w:rsidP="00D71B63">
      <w:pPr>
        <w:jc w:val="both"/>
        <w:rPr>
          <w:rFonts w:ascii="Times New Roman" w:hAnsi="Times New Roman" w:cs="Times New Roman"/>
          <w:sz w:val="18"/>
          <w:szCs w:val="18"/>
          <w:lang w:val="en-US"/>
        </w:rPr>
      </w:pPr>
      <w:r w:rsidRPr="00413815">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w:t>
      </w:r>
      <w:r w:rsidRPr="002B0178">
        <w:rPr>
          <w:rFonts w:ascii="Times New Roman" w:hAnsi="Times New Roman" w:cs="Times New Roman"/>
          <w:i/>
          <w:sz w:val="18"/>
          <w:szCs w:val="18"/>
          <w:lang w:val="en-US"/>
        </w:rPr>
        <w:t>Ius Constitutionale Commune</w:t>
      </w:r>
      <w:r w:rsidRPr="002B0178">
        <w:rPr>
          <w:rFonts w:ascii="Times New Roman" w:hAnsi="Times New Roman" w:cs="Times New Roman"/>
          <w:sz w:val="18"/>
          <w:szCs w:val="18"/>
          <w:lang w:val="en-US"/>
        </w:rPr>
        <w:t xml:space="preserve"> en América Latina: A Regional Approach to Transformative Constitutionalism.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proofErr w:type="gramStart"/>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w:t>
      </w:r>
      <w:proofErr w:type="gramEnd"/>
      <w:r w:rsidRPr="002B0178">
        <w:rPr>
          <w:rFonts w:ascii="Times New Roman" w:hAnsi="Times New Roman" w:cs="Times New Roman"/>
          <w:sz w:val="18"/>
          <w:szCs w:val="18"/>
          <w:lang w:val="en-US"/>
        </w:rPr>
        <w:t xml:space="preserve"> Oxford: Oxford University Press, 2017. p. 3-23, p. 19.</w:t>
      </w:r>
    </w:p>
  </w:footnote>
  <w:footnote w:id="119">
    <w:p w14:paraId="2A49AB74" w14:textId="4419BEF5" w:rsidR="00742149" w:rsidRPr="002B0178" w:rsidRDefault="00742149" w:rsidP="00D71B63">
      <w:pPr>
        <w:pStyle w:val="FootnoteText"/>
        <w:rPr>
          <w:rFonts w:ascii="Times New Roman" w:hAnsi="Times New Roman" w:cs="Times New Roman"/>
          <w:sz w:val="18"/>
          <w:szCs w:val="18"/>
          <w:lang w:val="en-US"/>
        </w:rPr>
      </w:pPr>
      <w:r w:rsidRPr="004449EF">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SOLEY, Ximena.</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The transformative dimension of the Inter-American jurisprudence.</w:t>
      </w:r>
      <w:proofErr w:type="gramEnd"/>
      <w:r w:rsidRPr="002B0178">
        <w:rPr>
          <w:rFonts w:ascii="Times New Roman" w:hAnsi="Times New Roman" w:cs="Times New Roman"/>
          <w:sz w:val="18"/>
          <w:szCs w:val="18"/>
          <w:lang w:val="en-US"/>
        </w:rPr>
        <w:t xml:space="preserve">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proofErr w:type="gramStart"/>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w:t>
      </w:r>
      <w:proofErr w:type="gramEnd"/>
      <w:r w:rsidRPr="002B0178">
        <w:rPr>
          <w:rFonts w:ascii="Times New Roman" w:hAnsi="Times New Roman" w:cs="Times New Roman"/>
          <w:sz w:val="18"/>
          <w:szCs w:val="18"/>
          <w:lang w:val="en-US"/>
        </w:rPr>
        <w:t xml:space="preserve"> Oxford: Oxford University Press, 2017. p. 337-356. p. 340. </w:t>
      </w:r>
    </w:p>
  </w:footnote>
  <w:footnote w:id="120">
    <w:p w14:paraId="37340711" w14:textId="10EE4675" w:rsidR="00742149" w:rsidRPr="002B0178" w:rsidRDefault="00742149" w:rsidP="00D71B63">
      <w:pPr>
        <w:pStyle w:val="FootnoteText"/>
        <w:jc w:val="both"/>
        <w:rPr>
          <w:rFonts w:ascii="Times New Roman" w:hAnsi="Times New Roman" w:cs="Times New Roman"/>
          <w:sz w:val="18"/>
          <w:szCs w:val="18"/>
          <w:lang w:val="en-US"/>
        </w:rPr>
      </w:pPr>
      <w:r w:rsidRPr="000D29ED">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SALAZAR UGARTE, Pedro.</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The Struggle for Rights.</w:t>
      </w:r>
      <w:proofErr w:type="gramEnd"/>
      <w:r w:rsidRPr="002B0178">
        <w:rPr>
          <w:rFonts w:ascii="Times New Roman" w:hAnsi="Times New Roman" w:cs="Times New Roman"/>
          <w:sz w:val="18"/>
          <w:szCs w:val="18"/>
          <w:lang w:val="en-US"/>
        </w:rPr>
        <w:t xml:space="preserve">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 Oxford: Oxford University Press, 2017. p. 67-82, p. 72-73.</w:t>
      </w:r>
    </w:p>
  </w:footnote>
  <w:footnote w:id="121">
    <w:p w14:paraId="1AB282A6" w14:textId="61C107B2" w:rsidR="00742149" w:rsidRDefault="00742149" w:rsidP="00D71B63">
      <w:pPr>
        <w:pStyle w:val="FootnoteText"/>
        <w:jc w:val="both"/>
      </w:pPr>
      <w:r w:rsidRPr="00F36D71">
        <w:rPr>
          <w:rStyle w:val="FootnoteReference"/>
          <w:rFonts w:ascii="Times New Roman" w:hAnsi="Times New Roman" w:cs="Times New Roman"/>
          <w:sz w:val="18"/>
          <w:szCs w:val="18"/>
        </w:rPr>
        <w:footnoteRef/>
      </w:r>
      <w:r w:rsidRPr="00F36D71">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B0178">
        <w:rPr>
          <w:rFonts w:ascii="Times New Roman" w:hAnsi="Times New Roman" w:cs="Times New Roman"/>
          <w:sz w:val="18"/>
          <w:szCs w:val="18"/>
        </w:rPr>
        <w:t xml:space="preserve">GARCÍA RAMIREZ, Sérgio. La “navegación americana” de los derechos humanos: hacia un </w:t>
      </w:r>
      <w:r w:rsidRPr="002B0178">
        <w:rPr>
          <w:rFonts w:ascii="Times New Roman" w:hAnsi="Times New Roman" w:cs="Times New Roman"/>
          <w:i/>
          <w:iCs/>
          <w:sz w:val="18"/>
          <w:szCs w:val="18"/>
        </w:rPr>
        <w:t>Ius Commune</w:t>
      </w:r>
      <w:r w:rsidRPr="002B0178">
        <w:rPr>
          <w:rFonts w:ascii="Times New Roman" w:hAnsi="Times New Roman" w:cs="Times New Roman"/>
          <w:iCs/>
          <w:sz w:val="18"/>
          <w:szCs w:val="18"/>
        </w:rPr>
        <w:t xml:space="preserve">. In von BOGDANDY, Armin; MORALES ANTONIAZZI, Mariela; FERRER MAC-GREGOR, Eduardo (coord.). </w:t>
      </w:r>
      <w:r w:rsidRPr="002B0178">
        <w:rPr>
          <w:rFonts w:ascii="Times New Roman" w:hAnsi="Times New Roman" w:cs="Times New Roman"/>
          <w:i/>
          <w:iCs/>
          <w:sz w:val="18"/>
          <w:szCs w:val="18"/>
        </w:rPr>
        <w:t>Ius Constitutionale Commune en América Latina</w:t>
      </w:r>
      <w:r w:rsidRPr="002B0178">
        <w:rPr>
          <w:rFonts w:ascii="Times New Roman" w:hAnsi="Times New Roman" w:cs="Times New Roman"/>
          <w:iCs/>
          <w:sz w:val="18"/>
          <w:szCs w:val="18"/>
        </w:rPr>
        <w:t xml:space="preserve">: textos básicos para su comprensión. México: </w:t>
      </w:r>
      <w:r w:rsidRPr="002B0178">
        <w:rPr>
          <w:rFonts w:ascii="Times New Roman" w:hAnsi="Times New Roman" w:cs="Times New Roman"/>
          <w:sz w:val="18"/>
          <w:szCs w:val="18"/>
        </w:rPr>
        <w:t>Instituto de Estudios Constitucionales del Estado de Querétaro, Max Planck Institute for Comparative Public Law and International Law, 2017. p. 68-69.</w:t>
      </w:r>
    </w:p>
  </w:footnote>
  <w:footnote w:id="122">
    <w:p w14:paraId="39A57E1C" w14:textId="57381890" w:rsidR="00742149" w:rsidRPr="002B0178" w:rsidRDefault="00742149" w:rsidP="00D71B63">
      <w:pPr>
        <w:widowControl w:val="0"/>
        <w:autoSpaceDE w:val="0"/>
        <w:autoSpaceDN w:val="0"/>
        <w:adjustRightInd w:val="0"/>
        <w:jc w:val="both"/>
        <w:rPr>
          <w:rFonts w:ascii="Times New Roman" w:hAnsi="Times New Roman" w:cs="Times New Roman"/>
          <w:color w:val="000000"/>
          <w:sz w:val="18"/>
          <w:szCs w:val="18"/>
        </w:rPr>
      </w:pPr>
      <w:r w:rsidRPr="00D31ADB">
        <w:rPr>
          <w:rStyle w:val="FootnoteReference"/>
          <w:rFonts w:ascii="Times New Roman" w:hAnsi="Times New Roman" w:cs="Times New Roman"/>
          <w:sz w:val="18"/>
          <w:szCs w:val="18"/>
        </w:rPr>
        <w:footnoteRef/>
      </w:r>
      <w:r w:rsidRPr="00D31ADB">
        <w:rPr>
          <w:rFonts w:ascii="Times New Roman" w:hAnsi="Times New Roman" w:cs="Times New Roman"/>
          <w:sz w:val="18"/>
          <w:szCs w:val="18"/>
        </w:rPr>
        <w:t xml:space="preserve"> </w:t>
      </w:r>
      <w:r>
        <w:rPr>
          <w:rFonts w:ascii="Times New Roman" w:hAnsi="Times New Roman" w:cs="Times New Roman"/>
          <w:sz w:val="18"/>
          <w:szCs w:val="18"/>
        </w:rPr>
        <w:t xml:space="preserve">  </w:t>
      </w:r>
      <w:r w:rsidRPr="00D31ADB">
        <w:rPr>
          <w:rFonts w:ascii="Times New Roman" w:hAnsi="Times New Roman" w:cs="Times New Roman"/>
          <w:sz w:val="18"/>
          <w:szCs w:val="18"/>
        </w:rPr>
        <w:t xml:space="preserve">MELLO, Patrícia Perrone Campos de. </w:t>
      </w:r>
      <w:r w:rsidRPr="002B0178">
        <w:rPr>
          <w:rFonts w:ascii="Times New Roman" w:hAnsi="Times New Roman" w:cs="Times New Roman"/>
          <w:color w:val="000000"/>
          <w:sz w:val="18"/>
          <w:szCs w:val="18"/>
        </w:rPr>
        <w:t xml:space="preserve">“A vida como ela é”: comportamento estratégico nas cortes. </w:t>
      </w:r>
      <w:r w:rsidRPr="002B0178">
        <w:rPr>
          <w:rFonts w:ascii="Times New Roman" w:hAnsi="Times New Roman" w:cs="Times New Roman"/>
          <w:i/>
          <w:color w:val="000000"/>
          <w:sz w:val="18"/>
          <w:szCs w:val="18"/>
        </w:rPr>
        <w:t>Revista Brasileira de Políticas Públicas</w:t>
      </w:r>
      <w:r w:rsidRPr="002B0178">
        <w:rPr>
          <w:rFonts w:ascii="Times New Roman" w:hAnsi="Times New Roman" w:cs="Times New Roman"/>
          <w:color w:val="000000"/>
          <w:sz w:val="18"/>
          <w:szCs w:val="18"/>
        </w:rPr>
        <w:t xml:space="preserve">, Brasília, v. 8, no 2, p. 688-718, 2018. p. 690-691.  </w:t>
      </w:r>
    </w:p>
  </w:footnote>
  <w:footnote w:id="123">
    <w:p w14:paraId="65676DB3" w14:textId="5FB13794" w:rsidR="00742149" w:rsidRDefault="00742149" w:rsidP="00D71B63">
      <w:pPr>
        <w:pStyle w:val="FootnoteText"/>
        <w:jc w:val="both"/>
      </w:pPr>
      <w:r w:rsidRPr="00A3451B">
        <w:rPr>
          <w:rStyle w:val="FootnoteReference"/>
          <w:rFonts w:ascii="Times New Roman" w:hAnsi="Times New Roman" w:cs="Times New Roman"/>
          <w:sz w:val="18"/>
          <w:szCs w:val="18"/>
        </w:rPr>
        <w:footnoteRef/>
      </w:r>
      <w:r w:rsidRPr="00A3451B">
        <w:rPr>
          <w:rFonts w:ascii="Times New Roman" w:hAnsi="Times New Roman" w:cs="Times New Roman"/>
          <w:sz w:val="18"/>
          <w:szCs w:val="18"/>
        </w:rPr>
        <w:t xml:space="preserve"> </w:t>
      </w:r>
      <w:r>
        <w:rPr>
          <w:rFonts w:ascii="Times New Roman" w:hAnsi="Times New Roman" w:cs="Times New Roman"/>
          <w:sz w:val="18"/>
          <w:szCs w:val="18"/>
        </w:rPr>
        <w:t xml:space="preserve">  </w:t>
      </w:r>
      <w:r w:rsidRPr="00D31ADB">
        <w:rPr>
          <w:rFonts w:ascii="Times New Roman" w:hAnsi="Times New Roman" w:cs="Times New Roman"/>
          <w:sz w:val="18"/>
          <w:szCs w:val="18"/>
        </w:rPr>
        <w:t xml:space="preserve">MELLO, Patrícia Perrone Campos de. </w:t>
      </w:r>
      <w:r w:rsidRPr="002B0178">
        <w:rPr>
          <w:rFonts w:ascii="Times New Roman" w:hAnsi="Times New Roman" w:cs="Times New Roman"/>
          <w:color w:val="000000"/>
          <w:sz w:val="18"/>
          <w:szCs w:val="18"/>
        </w:rPr>
        <w:t xml:space="preserve">“A vida como ela é”: comportamento estratégico nas cortes. </w:t>
      </w:r>
      <w:r w:rsidRPr="002B0178">
        <w:rPr>
          <w:rFonts w:ascii="Times New Roman" w:hAnsi="Times New Roman" w:cs="Times New Roman"/>
          <w:i/>
          <w:color w:val="000000"/>
          <w:sz w:val="18"/>
          <w:szCs w:val="18"/>
        </w:rPr>
        <w:t>Revista Brasileira de Políticas Públicas</w:t>
      </w:r>
      <w:r w:rsidRPr="002B0178">
        <w:rPr>
          <w:rFonts w:ascii="Times New Roman" w:hAnsi="Times New Roman" w:cs="Times New Roman"/>
          <w:color w:val="000000"/>
          <w:sz w:val="18"/>
          <w:szCs w:val="18"/>
        </w:rPr>
        <w:t>, Brasília, v. 8, no 2, p. 688-718, 2018. p. 696-697.</w:t>
      </w:r>
    </w:p>
  </w:footnote>
  <w:footnote w:id="124">
    <w:p w14:paraId="03B5951E" w14:textId="2F1912C5" w:rsidR="00742149" w:rsidRPr="002B0178" w:rsidRDefault="00742149" w:rsidP="00D71B63">
      <w:pPr>
        <w:widowControl w:val="0"/>
        <w:autoSpaceDE w:val="0"/>
        <w:autoSpaceDN w:val="0"/>
        <w:adjustRightInd w:val="0"/>
        <w:jc w:val="both"/>
        <w:rPr>
          <w:rFonts w:ascii="Times New Roman" w:hAnsi="Times New Roman" w:cs="Times New Roman"/>
          <w:color w:val="000000"/>
          <w:sz w:val="18"/>
          <w:szCs w:val="18"/>
        </w:rPr>
      </w:pPr>
      <w:r w:rsidRPr="00896CDF">
        <w:rPr>
          <w:rStyle w:val="FootnoteReference"/>
          <w:rFonts w:ascii="Times New Roman" w:hAnsi="Times New Roman" w:cs="Times New Roman"/>
          <w:sz w:val="18"/>
          <w:szCs w:val="18"/>
        </w:rPr>
        <w:footnoteRef/>
      </w:r>
      <w:r w:rsidRPr="00896CDF">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96CDF">
        <w:rPr>
          <w:rFonts w:ascii="Times New Roman" w:hAnsi="Times New Roman" w:cs="Times New Roman"/>
          <w:sz w:val="18"/>
          <w:szCs w:val="18"/>
        </w:rPr>
        <w:t>CANÇADO TRINDADE, Antônio Augusto.</w:t>
      </w:r>
      <w:r>
        <w:rPr>
          <w:rFonts w:ascii="Times New Roman" w:hAnsi="Times New Roman" w:cs="Times New Roman"/>
          <w:sz w:val="18"/>
          <w:szCs w:val="18"/>
        </w:rPr>
        <w:t xml:space="preserve"> Memorial em prol de uma mentalidade quanto à proteção dos direitos humanos nos planos internacional e nacional</w:t>
      </w:r>
      <w:r w:rsidRPr="002B0178">
        <w:rPr>
          <w:rFonts w:ascii="Times New Roman" w:hAnsi="Times New Roman" w:cs="Times New Roman"/>
          <w:i/>
          <w:iCs/>
          <w:color w:val="000000"/>
          <w:sz w:val="18"/>
          <w:szCs w:val="18"/>
        </w:rPr>
        <w:t>. Revista do Instituto Brasileiro de Direitos Humanos</w:t>
      </w:r>
      <w:r w:rsidRPr="002B0178">
        <w:rPr>
          <w:rFonts w:ascii="Times New Roman" w:hAnsi="Times New Roman" w:cs="Times New Roman"/>
          <w:iCs/>
          <w:color w:val="000000"/>
          <w:sz w:val="18"/>
          <w:szCs w:val="18"/>
        </w:rPr>
        <w:t>, v. 2, n. 2, p. 13-39, 2001.</w:t>
      </w:r>
      <w:r w:rsidRPr="002B0178">
        <w:rPr>
          <w:rFonts w:ascii="Times New Roman" w:hAnsi="Times New Roman" w:cs="Times New Roman"/>
          <w:i/>
          <w:iCs/>
          <w:color w:val="000000"/>
          <w:sz w:val="18"/>
          <w:szCs w:val="18"/>
        </w:rPr>
        <w:t xml:space="preserve"> </w:t>
      </w:r>
    </w:p>
  </w:footnote>
  <w:footnote w:id="125">
    <w:p w14:paraId="7B71C6F8" w14:textId="2D8F768C" w:rsidR="00742149" w:rsidRDefault="00742149" w:rsidP="00D71B63">
      <w:pPr>
        <w:pStyle w:val="FootnoteText"/>
        <w:jc w:val="both"/>
      </w:pPr>
      <w:r w:rsidRPr="00A85BC6">
        <w:rPr>
          <w:rStyle w:val="FootnoteReference"/>
          <w:rFonts w:ascii="Times New Roman" w:hAnsi="Times New Roman" w:cs="Times New Roman"/>
          <w:sz w:val="18"/>
          <w:szCs w:val="18"/>
        </w:rPr>
        <w:footnoteRef/>
      </w:r>
      <w:r w:rsidRPr="00A85BC6">
        <w:rPr>
          <w:rFonts w:ascii="Times New Roman" w:hAnsi="Times New Roman" w:cs="Times New Roman"/>
          <w:sz w:val="18"/>
          <w:szCs w:val="18"/>
        </w:rPr>
        <w:t xml:space="preserve"> </w:t>
      </w:r>
      <w:r>
        <w:rPr>
          <w:rFonts w:ascii="Times New Roman" w:hAnsi="Times New Roman" w:cs="Times New Roman"/>
          <w:sz w:val="18"/>
          <w:szCs w:val="18"/>
        </w:rPr>
        <w:t xml:space="preserve">   </w:t>
      </w:r>
      <w:r w:rsidRPr="00A85BC6">
        <w:rPr>
          <w:rFonts w:ascii="Times New Roman" w:hAnsi="Times New Roman" w:cs="Times New Roman"/>
          <w:sz w:val="18"/>
          <w:szCs w:val="18"/>
        </w:rPr>
        <w:t xml:space="preserve">MELLO, Patrícia Perrone Campos de. </w:t>
      </w:r>
      <w:r w:rsidRPr="002B0178">
        <w:rPr>
          <w:rFonts w:ascii="Times New Roman" w:hAnsi="Times New Roman" w:cs="Times New Roman"/>
          <w:color w:val="000000"/>
          <w:sz w:val="18"/>
          <w:szCs w:val="18"/>
        </w:rPr>
        <w:t xml:space="preserve">“A vida como ela é”: comportamento estratégico nas cortes. </w:t>
      </w:r>
      <w:r w:rsidRPr="002B0178">
        <w:rPr>
          <w:rFonts w:ascii="Times New Roman" w:hAnsi="Times New Roman" w:cs="Times New Roman"/>
          <w:i/>
          <w:color w:val="000000"/>
          <w:sz w:val="18"/>
          <w:szCs w:val="18"/>
        </w:rPr>
        <w:t>Revista Brasileira de Políticas Públicas</w:t>
      </w:r>
      <w:r w:rsidRPr="002B0178">
        <w:rPr>
          <w:rFonts w:ascii="Times New Roman" w:hAnsi="Times New Roman" w:cs="Times New Roman"/>
          <w:color w:val="000000"/>
          <w:sz w:val="18"/>
          <w:szCs w:val="18"/>
        </w:rPr>
        <w:t>, Brasília, v. 8, no 2, p. 688-718, 2018. p. 699-700; 701.</w:t>
      </w:r>
    </w:p>
  </w:footnote>
  <w:footnote w:id="126">
    <w:p w14:paraId="1F9F449E" w14:textId="5C8AEEB2" w:rsidR="00742149" w:rsidRDefault="00742149" w:rsidP="00D71B63">
      <w:pPr>
        <w:pStyle w:val="FootnoteText"/>
        <w:jc w:val="both"/>
      </w:pPr>
      <w:r w:rsidRPr="000C1746">
        <w:rPr>
          <w:rStyle w:val="FootnoteReference"/>
          <w:rFonts w:ascii="Times New Roman" w:hAnsi="Times New Roman" w:cs="Times New Roman"/>
          <w:sz w:val="18"/>
          <w:szCs w:val="18"/>
        </w:rPr>
        <w:footnoteRef/>
      </w:r>
      <w:r w:rsidRPr="000C1746">
        <w:rPr>
          <w:rFonts w:ascii="Times New Roman" w:hAnsi="Times New Roman" w:cs="Times New Roman"/>
          <w:sz w:val="18"/>
          <w:szCs w:val="18"/>
        </w:rPr>
        <w:t xml:space="preserve"> </w:t>
      </w:r>
      <w:r>
        <w:rPr>
          <w:rFonts w:ascii="Times New Roman" w:hAnsi="Times New Roman" w:cs="Times New Roman"/>
          <w:sz w:val="18"/>
          <w:szCs w:val="18"/>
        </w:rPr>
        <w:t xml:space="preserve">  Para uma relação de casos vide </w:t>
      </w:r>
      <w:r w:rsidRPr="008368CD">
        <w:rPr>
          <w:rFonts w:ascii="Times New Roman" w:hAnsi="Times New Roman" w:cs="Times New Roman"/>
          <w:sz w:val="18"/>
          <w:szCs w:val="18"/>
        </w:rPr>
        <w:t>PIOVES</w:t>
      </w:r>
      <w:r>
        <w:rPr>
          <w:rFonts w:ascii="Times New Roman" w:hAnsi="Times New Roman" w:cs="Times New Roman"/>
          <w:sz w:val="18"/>
          <w:szCs w:val="18"/>
        </w:rPr>
        <w:t xml:space="preserve">AN, Flávia. </w:t>
      </w:r>
      <w:r w:rsidRPr="002B0178">
        <w:rPr>
          <w:rFonts w:ascii="Times New Roman" w:hAnsi="Times New Roman" w:cs="Times New Roman"/>
          <w:i/>
          <w:sz w:val="18"/>
          <w:szCs w:val="18"/>
          <w:lang w:val="en-US"/>
        </w:rPr>
        <w:t>Ius Constitutionale Commune</w:t>
      </w:r>
      <w:r w:rsidRPr="002B0178">
        <w:rPr>
          <w:rFonts w:ascii="Times New Roman" w:hAnsi="Times New Roman" w:cs="Times New Roman"/>
          <w:sz w:val="18"/>
          <w:szCs w:val="18"/>
          <w:lang w:val="en-US"/>
        </w:rPr>
        <w:t xml:space="preserve"> en América Latina: Context, Challenges, and Perspectives.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 xml:space="preserve">. </w:t>
      </w:r>
      <w:r w:rsidRPr="008368CD">
        <w:rPr>
          <w:rFonts w:ascii="Times New Roman" w:hAnsi="Times New Roman" w:cs="Times New Roman"/>
          <w:sz w:val="18"/>
          <w:szCs w:val="18"/>
        </w:rPr>
        <w:t>Oxford</w:t>
      </w:r>
      <w:r>
        <w:rPr>
          <w:rFonts w:ascii="Times New Roman" w:hAnsi="Times New Roman" w:cs="Times New Roman"/>
          <w:sz w:val="18"/>
          <w:szCs w:val="18"/>
        </w:rPr>
        <w:t>: Oxford University Press, 2017. p. 49-65, p. 53-58</w:t>
      </w:r>
      <w:r w:rsidRPr="008368CD">
        <w:rPr>
          <w:rFonts w:ascii="Times New Roman" w:hAnsi="Times New Roman" w:cs="Times New Roman"/>
          <w:sz w:val="18"/>
          <w:szCs w:val="18"/>
        </w:rPr>
        <w:t>.</w:t>
      </w:r>
    </w:p>
  </w:footnote>
  <w:footnote w:id="127">
    <w:p w14:paraId="3F638529" w14:textId="25723849" w:rsidR="00742149" w:rsidRPr="00B76EC8" w:rsidRDefault="00742149" w:rsidP="00D71B63">
      <w:pPr>
        <w:pStyle w:val="FootnoteText"/>
        <w:jc w:val="both"/>
        <w:rPr>
          <w:rFonts w:ascii="Times New Roman" w:hAnsi="Times New Roman" w:cs="Times New Roman"/>
          <w:sz w:val="18"/>
          <w:szCs w:val="18"/>
        </w:rPr>
      </w:pPr>
      <w:r w:rsidRPr="00B76EC8">
        <w:rPr>
          <w:rStyle w:val="FootnoteReference"/>
          <w:rFonts w:ascii="Times New Roman" w:hAnsi="Times New Roman" w:cs="Times New Roman"/>
          <w:sz w:val="18"/>
          <w:szCs w:val="18"/>
        </w:rPr>
        <w:footnoteRef/>
      </w:r>
      <w:r w:rsidRPr="00B76EC8">
        <w:rPr>
          <w:rFonts w:ascii="Times New Roman" w:hAnsi="Times New Roman" w:cs="Times New Roman"/>
          <w:sz w:val="18"/>
          <w:szCs w:val="18"/>
        </w:rPr>
        <w:t xml:space="preserve">   Inclusive de normas constitucionais, como se verificou no caso Olmedo Bustos e outros (Última Tentação de Cristo) vs. Chile, em que a Corte Interamericana determinou que o Chile revisse sua Constituição no tocante à proteção da liberdade de expressão. CORTE INTERAMERICANA DE DERECHOS HUMANOS</w:t>
      </w:r>
      <w:r w:rsidRPr="00B76EC8">
        <w:rPr>
          <w:rFonts w:ascii="Times New Roman" w:hAnsi="Times New Roman" w:cs="Times New Roman"/>
          <w:i/>
          <w:sz w:val="18"/>
          <w:szCs w:val="18"/>
        </w:rPr>
        <w:t>. Caso Olmedo Bustos y otros (Última Tentación de Cristo) vs. Chile</w:t>
      </w:r>
      <w:r w:rsidRPr="00B76EC8">
        <w:rPr>
          <w:rFonts w:ascii="Times New Roman" w:hAnsi="Times New Roman" w:cs="Times New Roman"/>
          <w:sz w:val="18"/>
          <w:szCs w:val="18"/>
        </w:rPr>
        <w:t>. Sentencia de 5 de Febrero de 2001. Fondo, Reparaciones y Costas. Série C, n. 73.</w:t>
      </w:r>
    </w:p>
  </w:footnote>
  <w:footnote w:id="128">
    <w:p w14:paraId="22235AA9" w14:textId="780C8B47" w:rsidR="00742149" w:rsidRPr="0071067C" w:rsidRDefault="00742149" w:rsidP="00D71B63">
      <w:pPr>
        <w:pStyle w:val="FootnoteText"/>
        <w:jc w:val="both"/>
        <w:rPr>
          <w:rFonts w:ascii="Times New Roman" w:hAnsi="Times New Roman" w:cs="Times New Roman"/>
          <w:sz w:val="18"/>
          <w:szCs w:val="18"/>
        </w:rPr>
      </w:pPr>
      <w:r w:rsidRPr="0071067C">
        <w:rPr>
          <w:rStyle w:val="FootnoteReference"/>
          <w:rFonts w:ascii="Times New Roman" w:hAnsi="Times New Roman" w:cs="Times New Roman"/>
          <w:sz w:val="18"/>
          <w:szCs w:val="18"/>
        </w:rPr>
        <w:footnoteRef/>
      </w:r>
      <w:r w:rsidRPr="0071067C">
        <w:rPr>
          <w:rFonts w:ascii="Times New Roman" w:hAnsi="Times New Roman" w:cs="Times New Roman"/>
          <w:sz w:val="18"/>
          <w:szCs w:val="18"/>
        </w:rPr>
        <w:t xml:space="preserve"> </w:t>
      </w:r>
      <w:r>
        <w:rPr>
          <w:rFonts w:ascii="Times New Roman" w:hAnsi="Times New Roman" w:cs="Times New Roman"/>
          <w:sz w:val="18"/>
          <w:szCs w:val="18"/>
        </w:rPr>
        <w:t xml:space="preserve">  </w:t>
      </w:r>
      <w:r w:rsidRPr="0071067C">
        <w:rPr>
          <w:rFonts w:ascii="Times New Roman" w:hAnsi="Times New Roman" w:cs="Times New Roman"/>
          <w:sz w:val="18"/>
          <w:szCs w:val="18"/>
        </w:rPr>
        <w:t xml:space="preserve">SAAVEDRA ALESSANDRI, Pablo. Algunas reflexiones en cuanto al impacto estructural de las decisiones de la Corte Interamericana de Derechos Humanos. </w:t>
      </w:r>
      <w:r w:rsidRPr="002B0178">
        <w:rPr>
          <w:rFonts w:ascii="Times New Roman" w:hAnsi="Times New Roman" w:cs="Times New Roman"/>
          <w:sz w:val="18"/>
          <w:szCs w:val="18"/>
        </w:rPr>
        <w:t xml:space="preserve">In: von BOGDANDY, Armin; MORALES ANTONIAZZI, Mariela; FERRER MAC-GREGOR, Eduardo. </w:t>
      </w:r>
      <w:r w:rsidRPr="002B0178">
        <w:rPr>
          <w:rFonts w:ascii="Times New Roman" w:hAnsi="Times New Roman" w:cs="Times New Roman"/>
          <w:i/>
          <w:sz w:val="18"/>
          <w:szCs w:val="18"/>
        </w:rPr>
        <w:t>Ius Constitutionale Commune en América Latina</w:t>
      </w:r>
      <w:r w:rsidRPr="002B0178">
        <w:rPr>
          <w:rFonts w:ascii="Times New Roman" w:hAnsi="Times New Roman" w:cs="Times New Roman"/>
          <w:sz w:val="18"/>
          <w:szCs w:val="18"/>
        </w:rPr>
        <w:t xml:space="preserve">: textos básicos para su compreensión. México: Instituto de Estudios Constitucionales  del Estado de Querétaro, Max Planck Institute for Comparative Public Law and International Law,  2017. p. </w:t>
      </w:r>
      <w:r>
        <w:rPr>
          <w:rFonts w:ascii="Times New Roman" w:hAnsi="Times New Roman" w:cs="Times New Roman"/>
          <w:sz w:val="18"/>
          <w:szCs w:val="18"/>
        </w:rPr>
        <w:t>457-502, p. 467-470</w:t>
      </w:r>
      <w:r w:rsidRPr="0071067C">
        <w:rPr>
          <w:rFonts w:ascii="Times New Roman" w:hAnsi="Times New Roman" w:cs="Times New Roman"/>
          <w:sz w:val="18"/>
          <w:szCs w:val="18"/>
        </w:rPr>
        <w:t>.</w:t>
      </w:r>
    </w:p>
  </w:footnote>
  <w:footnote w:id="129">
    <w:p w14:paraId="4A08B104" w14:textId="144822EC" w:rsidR="00742149" w:rsidRPr="00224362" w:rsidRDefault="00742149" w:rsidP="00D71B63">
      <w:pPr>
        <w:pStyle w:val="FootnoteText"/>
        <w:jc w:val="both"/>
        <w:rPr>
          <w:rFonts w:ascii="Times New Roman" w:hAnsi="Times New Roman" w:cs="Times New Roman"/>
          <w:sz w:val="18"/>
          <w:szCs w:val="18"/>
        </w:rPr>
      </w:pPr>
      <w:r w:rsidRPr="00224362">
        <w:rPr>
          <w:rStyle w:val="FootnoteReference"/>
          <w:rFonts w:ascii="Times New Roman" w:hAnsi="Times New Roman" w:cs="Times New Roman"/>
          <w:sz w:val="18"/>
          <w:szCs w:val="18"/>
        </w:rPr>
        <w:footnoteRef/>
      </w:r>
      <w:r w:rsidRPr="00224362">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24362">
        <w:rPr>
          <w:rFonts w:ascii="Times New Roman" w:hAnsi="Times New Roman" w:cs="Times New Roman"/>
          <w:sz w:val="18"/>
          <w:szCs w:val="18"/>
        </w:rPr>
        <w:t xml:space="preserve">SAAVEDRA ALESSANDRI, Pablo. Algunas reflexiones en cuanto al impacto estructural de las decisiones de la Corte Interamericana de Derechos Humanos. </w:t>
      </w:r>
      <w:r w:rsidRPr="002B0178">
        <w:rPr>
          <w:rFonts w:ascii="Times New Roman" w:hAnsi="Times New Roman" w:cs="Times New Roman"/>
          <w:sz w:val="18"/>
          <w:szCs w:val="18"/>
        </w:rPr>
        <w:t xml:space="preserve">In: von BOGDANDY, Armin; MORALES ANTONIAZZI, Mariela; FERRER MAC-GREGOR, Eduardo. </w:t>
      </w:r>
      <w:r w:rsidRPr="002B0178">
        <w:rPr>
          <w:rFonts w:ascii="Times New Roman" w:hAnsi="Times New Roman" w:cs="Times New Roman"/>
          <w:i/>
          <w:sz w:val="18"/>
          <w:szCs w:val="18"/>
        </w:rPr>
        <w:t>Ius Constitutionale Commune en América Latina</w:t>
      </w:r>
      <w:r w:rsidRPr="002B0178">
        <w:rPr>
          <w:rFonts w:ascii="Times New Roman" w:hAnsi="Times New Roman" w:cs="Times New Roman"/>
          <w:sz w:val="18"/>
          <w:szCs w:val="18"/>
        </w:rPr>
        <w:t xml:space="preserve">: textos básicos para su compreensión. México: Instituto de Estudios Constitucionales  del Estado de Querétaro, Max Planck Institute for Comparative Public Law and International Law,  2017. p. </w:t>
      </w:r>
      <w:r w:rsidRPr="00224362">
        <w:rPr>
          <w:rFonts w:ascii="Times New Roman" w:hAnsi="Times New Roman" w:cs="Times New Roman"/>
          <w:sz w:val="18"/>
          <w:szCs w:val="18"/>
        </w:rPr>
        <w:t>457-502, p. 468.</w:t>
      </w:r>
    </w:p>
  </w:footnote>
  <w:footnote w:id="130">
    <w:p w14:paraId="40EA5DF0" w14:textId="32CD6C94" w:rsidR="00742149" w:rsidRPr="00C04F45" w:rsidRDefault="00742149" w:rsidP="00B76EC8">
      <w:pPr>
        <w:pStyle w:val="FootnoteText"/>
        <w:jc w:val="both"/>
        <w:rPr>
          <w:rFonts w:ascii="Times New Roman" w:hAnsi="Times New Roman" w:cs="Times New Roman"/>
          <w:sz w:val="18"/>
          <w:szCs w:val="18"/>
        </w:rPr>
      </w:pPr>
      <w:r w:rsidRPr="00C04F45">
        <w:rPr>
          <w:rStyle w:val="FootnoteReference"/>
          <w:rFonts w:ascii="Times New Roman" w:hAnsi="Times New Roman" w:cs="Times New Roman"/>
          <w:sz w:val="18"/>
          <w:szCs w:val="18"/>
        </w:rPr>
        <w:footnoteRef/>
      </w:r>
      <w:r w:rsidRPr="00C04F45">
        <w:rPr>
          <w:rFonts w:ascii="Times New Roman" w:hAnsi="Times New Roman" w:cs="Times New Roman"/>
          <w:sz w:val="18"/>
          <w:szCs w:val="18"/>
        </w:rPr>
        <w:t xml:space="preserve"> </w:t>
      </w:r>
      <w:r>
        <w:rPr>
          <w:rFonts w:ascii="Times New Roman" w:hAnsi="Times New Roman" w:cs="Times New Roman"/>
          <w:sz w:val="18"/>
          <w:szCs w:val="18"/>
        </w:rPr>
        <w:t xml:space="preserve">   </w:t>
      </w:r>
      <w:r w:rsidRPr="00C04F45">
        <w:rPr>
          <w:rFonts w:ascii="Times New Roman" w:hAnsi="Times New Roman" w:cs="Times New Roman"/>
          <w:sz w:val="18"/>
          <w:szCs w:val="18"/>
        </w:rPr>
        <w:t xml:space="preserve">CALDERÓN GAMBOA, Jorge F. </w:t>
      </w:r>
      <w:r w:rsidRPr="00C04F45">
        <w:rPr>
          <w:rFonts w:ascii="Times New Roman" w:hAnsi="Times New Roman" w:cs="Times New Roman"/>
          <w:i/>
          <w:sz w:val="18"/>
          <w:szCs w:val="18"/>
        </w:rPr>
        <w:t>La reparación integral en la jurisprudencia de la Corte Interamericana de Derechos Humanos</w:t>
      </w:r>
      <w:r w:rsidRPr="00C04F45">
        <w:rPr>
          <w:rFonts w:ascii="Times New Roman" w:hAnsi="Times New Roman" w:cs="Times New Roman"/>
          <w:sz w:val="18"/>
          <w:szCs w:val="18"/>
        </w:rPr>
        <w:t>: estándares aplicables al nuevo paradigma mexicano. Mexico: Instituto de Investigaciones Jurídicas, Suprema Corte</w:t>
      </w:r>
      <w:r>
        <w:rPr>
          <w:rFonts w:ascii="Times New Roman" w:hAnsi="Times New Roman" w:cs="Times New Roman"/>
          <w:sz w:val="18"/>
          <w:szCs w:val="18"/>
        </w:rPr>
        <w:t xml:space="preserve"> de la Nación, 2013. p. 146-219. Disponível em: </w:t>
      </w:r>
      <w:hyperlink r:id="rId15" w:history="1">
        <w:r w:rsidRPr="00256308">
          <w:rPr>
            <w:rStyle w:val="Hyperlink"/>
            <w:rFonts w:ascii="Times New Roman" w:hAnsi="Times New Roman" w:cs="Times New Roman"/>
            <w:sz w:val="18"/>
            <w:szCs w:val="18"/>
          </w:rPr>
          <w:t>http://www.corteidh.or.cr/tablas/r33008.pdf</w:t>
        </w:r>
      </w:hyperlink>
      <w:r>
        <w:rPr>
          <w:rFonts w:ascii="Times New Roman" w:hAnsi="Times New Roman" w:cs="Times New Roman"/>
          <w:sz w:val="18"/>
          <w:szCs w:val="18"/>
        </w:rPr>
        <w:t xml:space="preserve"> . Acesso em: 20 abr. 2019.</w:t>
      </w:r>
      <w:r w:rsidRPr="00C04F45">
        <w:rPr>
          <w:rFonts w:ascii="Times New Roman" w:hAnsi="Times New Roman" w:cs="Times New Roman"/>
          <w:sz w:val="18"/>
          <w:szCs w:val="18"/>
        </w:rPr>
        <w:t xml:space="preserve"> p. 147. </w:t>
      </w:r>
    </w:p>
  </w:footnote>
  <w:footnote w:id="131">
    <w:p w14:paraId="7F0CD63C" w14:textId="7CA542EA" w:rsidR="00742149" w:rsidRPr="005F6BCD" w:rsidRDefault="00742149" w:rsidP="00D71B63">
      <w:pPr>
        <w:pStyle w:val="FootnoteText"/>
        <w:jc w:val="both"/>
        <w:rPr>
          <w:rFonts w:ascii="Times New Roman" w:hAnsi="Times New Roman" w:cs="Times New Roman"/>
          <w:sz w:val="18"/>
          <w:szCs w:val="18"/>
        </w:rPr>
      </w:pPr>
      <w:r w:rsidRPr="005F6BCD">
        <w:rPr>
          <w:rStyle w:val="FootnoteReference"/>
          <w:rFonts w:ascii="Times New Roman" w:hAnsi="Times New Roman" w:cs="Times New Roman"/>
          <w:sz w:val="18"/>
          <w:szCs w:val="18"/>
        </w:rPr>
        <w:footnoteRef/>
      </w:r>
      <w:r w:rsidRPr="005F6BCD">
        <w:rPr>
          <w:rFonts w:ascii="Times New Roman" w:hAnsi="Times New Roman" w:cs="Times New Roman"/>
          <w:sz w:val="18"/>
          <w:szCs w:val="18"/>
        </w:rPr>
        <w:t xml:space="preserve"> </w:t>
      </w:r>
      <w:r>
        <w:rPr>
          <w:rFonts w:ascii="Times New Roman" w:hAnsi="Times New Roman" w:cs="Times New Roman"/>
          <w:sz w:val="18"/>
          <w:szCs w:val="18"/>
        </w:rPr>
        <w:t xml:space="preserve">   A primeira condenação nesse sentido veio no caso Bámaca Velaszquez vs. Guatemala, em 2000. Um ato público de reconhecimento, bem como a determinação da publicação da sentença intermaericana, passou a ser medida de satisfação frequente nas decisões da Corte. Foi determinado, por exemplo, no caso</w:t>
      </w:r>
      <w:r w:rsidRPr="005F6BCD">
        <w:rPr>
          <w:rFonts w:ascii="Times New Roman" w:hAnsi="Times New Roman" w:cs="Times New Roman"/>
          <w:sz w:val="18"/>
          <w:szCs w:val="18"/>
        </w:rPr>
        <w:t xml:space="preserve"> Atala Riffo e filhas v</w:t>
      </w:r>
      <w:r>
        <w:rPr>
          <w:rFonts w:ascii="Times New Roman" w:hAnsi="Times New Roman" w:cs="Times New Roman"/>
          <w:sz w:val="18"/>
          <w:szCs w:val="18"/>
        </w:rPr>
        <w:t>s</w:t>
      </w:r>
      <w:r w:rsidRPr="005F6BCD">
        <w:rPr>
          <w:rFonts w:ascii="Times New Roman" w:hAnsi="Times New Roman" w:cs="Times New Roman"/>
          <w:sz w:val="18"/>
          <w:szCs w:val="18"/>
        </w:rPr>
        <w:t xml:space="preserve">. Chile, em 2012, </w:t>
      </w:r>
      <w:r>
        <w:rPr>
          <w:rFonts w:ascii="Times New Roman" w:hAnsi="Times New Roman" w:cs="Times New Roman"/>
          <w:sz w:val="18"/>
          <w:szCs w:val="18"/>
        </w:rPr>
        <w:t>a fim de reconhecer a discriminação e a afronta à vida privada de que foi vítima Karen Atala Riffo, em razão de sua condição homossexual; e no caso</w:t>
      </w:r>
      <w:r w:rsidRPr="005F6BCD">
        <w:rPr>
          <w:rFonts w:ascii="Times New Roman" w:hAnsi="Times New Roman" w:cs="Times New Roman"/>
          <w:sz w:val="18"/>
          <w:szCs w:val="18"/>
        </w:rPr>
        <w:t xml:space="preserve"> </w:t>
      </w:r>
      <w:r>
        <w:rPr>
          <w:rFonts w:ascii="Times New Roman" w:hAnsi="Times New Roman" w:cs="Times New Roman"/>
          <w:sz w:val="18"/>
          <w:szCs w:val="18"/>
        </w:rPr>
        <w:t>Gomes Lund e outros (“Guerrilha do Araguaia”) vs</w:t>
      </w:r>
      <w:r w:rsidRPr="005F6BCD">
        <w:rPr>
          <w:rFonts w:ascii="Times New Roman" w:hAnsi="Times New Roman" w:cs="Times New Roman"/>
          <w:sz w:val="18"/>
          <w:szCs w:val="18"/>
        </w:rPr>
        <w:t>.</w:t>
      </w:r>
      <w:r>
        <w:rPr>
          <w:rFonts w:ascii="Times New Roman" w:hAnsi="Times New Roman" w:cs="Times New Roman"/>
          <w:sz w:val="18"/>
          <w:szCs w:val="18"/>
        </w:rPr>
        <w:t xml:space="preserve"> Brasil,</w:t>
      </w:r>
      <w:r w:rsidRPr="005F6BCD">
        <w:rPr>
          <w:rFonts w:ascii="Times New Roman" w:hAnsi="Times New Roman" w:cs="Times New Roman"/>
          <w:sz w:val="18"/>
          <w:szCs w:val="18"/>
        </w:rPr>
        <w:t xml:space="preserve"> </w:t>
      </w:r>
      <w:r>
        <w:rPr>
          <w:rFonts w:ascii="Times New Roman" w:hAnsi="Times New Roman" w:cs="Times New Roman"/>
          <w:sz w:val="18"/>
          <w:szCs w:val="18"/>
        </w:rPr>
        <w:t>em que o Estado Brasileiro foi obrigado a reconhecer em ato público o desaparecimento forçado de 62 integrantes do movimento contrário à ditadura militar.</w:t>
      </w:r>
    </w:p>
  </w:footnote>
  <w:footnote w:id="132">
    <w:p w14:paraId="2A83B39C" w14:textId="3B8068E2" w:rsidR="00742149" w:rsidRPr="00850FF5" w:rsidRDefault="00742149" w:rsidP="00D71B63">
      <w:pPr>
        <w:pStyle w:val="FootnoteText"/>
        <w:jc w:val="both"/>
        <w:rPr>
          <w:rFonts w:ascii="Times New Roman" w:hAnsi="Times New Roman" w:cs="Times New Roman"/>
          <w:sz w:val="18"/>
          <w:szCs w:val="18"/>
        </w:rPr>
      </w:pPr>
      <w:r w:rsidRPr="00D802D4">
        <w:rPr>
          <w:rStyle w:val="FootnoteReference"/>
          <w:rFonts w:ascii="Times New Roman" w:hAnsi="Times New Roman" w:cs="Times New Roman"/>
          <w:sz w:val="18"/>
          <w:szCs w:val="18"/>
        </w:rPr>
        <w:footnoteRef/>
      </w:r>
      <w:r w:rsidRPr="00D802D4">
        <w:rPr>
          <w:rFonts w:ascii="Times New Roman" w:hAnsi="Times New Roman" w:cs="Times New Roman"/>
          <w:sz w:val="18"/>
          <w:szCs w:val="18"/>
        </w:rPr>
        <w:t xml:space="preserve"> </w:t>
      </w:r>
      <w:r>
        <w:rPr>
          <w:rFonts w:ascii="Times New Roman" w:hAnsi="Times New Roman" w:cs="Times New Roman"/>
          <w:sz w:val="18"/>
          <w:szCs w:val="18"/>
        </w:rPr>
        <w:t xml:space="preserve">   </w:t>
      </w:r>
      <w:r w:rsidRPr="00D802D4">
        <w:rPr>
          <w:rFonts w:ascii="Times New Roman" w:hAnsi="Times New Roman" w:cs="Times New Roman"/>
          <w:sz w:val="18"/>
          <w:szCs w:val="18"/>
        </w:rPr>
        <w:t xml:space="preserve">Tal prática foi determinada no caso Karen Atala Riffo e filhas v. Chile, </w:t>
      </w:r>
      <w:r>
        <w:rPr>
          <w:rFonts w:ascii="Times New Roman" w:hAnsi="Times New Roman" w:cs="Times New Roman"/>
          <w:sz w:val="18"/>
          <w:szCs w:val="18"/>
        </w:rPr>
        <w:t>a fim de que</w:t>
      </w:r>
      <w:r w:rsidRPr="00D802D4">
        <w:rPr>
          <w:rFonts w:ascii="Times New Roman" w:hAnsi="Times New Roman" w:cs="Times New Roman"/>
          <w:sz w:val="18"/>
          <w:szCs w:val="18"/>
        </w:rPr>
        <w:t xml:space="preserve"> os agentes estatais, notadamente do Poder Judiciário, </w:t>
      </w:r>
      <w:r>
        <w:rPr>
          <w:rFonts w:ascii="Times New Roman" w:hAnsi="Times New Roman" w:cs="Times New Roman"/>
          <w:sz w:val="18"/>
          <w:szCs w:val="18"/>
        </w:rPr>
        <w:t>fossem</w:t>
      </w:r>
      <w:r w:rsidRPr="00D802D4">
        <w:rPr>
          <w:rFonts w:ascii="Times New Roman" w:hAnsi="Times New Roman" w:cs="Times New Roman"/>
          <w:sz w:val="18"/>
          <w:szCs w:val="18"/>
        </w:rPr>
        <w:t xml:space="preserve"> treinados a não </w:t>
      </w:r>
      <w:r>
        <w:rPr>
          <w:rFonts w:ascii="Times New Roman" w:hAnsi="Times New Roman" w:cs="Times New Roman"/>
          <w:sz w:val="18"/>
          <w:szCs w:val="18"/>
        </w:rPr>
        <w:t>mais perpetr</w:t>
      </w:r>
      <w:r w:rsidRPr="00D802D4">
        <w:rPr>
          <w:rFonts w:ascii="Times New Roman" w:hAnsi="Times New Roman" w:cs="Times New Roman"/>
          <w:sz w:val="18"/>
          <w:szCs w:val="18"/>
        </w:rPr>
        <w:t>ar atos de discriminação à popula</w:t>
      </w:r>
      <w:r w:rsidRPr="007A4245">
        <w:rPr>
          <w:rFonts w:ascii="Times New Roman" w:hAnsi="Times New Roman" w:cs="Times New Roman"/>
          <w:sz w:val="18"/>
          <w:szCs w:val="18"/>
        </w:rPr>
        <w:t>ção LGBT.</w:t>
      </w:r>
    </w:p>
  </w:footnote>
  <w:footnote w:id="133">
    <w:p w14:paraId="4E328319" w14:textId="04A2AC9C" w:rsidR="00742149" w:rsidRDefault="00742149" w:rsidP="00D71B63">
      <w:pPr>
        <w:pStyle w:val="FootnoteText"/>
      </w:pPr>
      <w:r w:rsidRPr="00850FF5">
        <w:rPr>
          <w:rStyle w:val="FootnoteReference"/>
          <w:rFonts w:ascii="Times New Roman" w:hAnsi="Times New Roman" w:cs="Times New Roman"/>
          <w:sz w:val="18"/>
          <w:szCs w:val="18"/>
        </w:rPr>
        <w:footnoteRef/>
      </w:r>
      <w:r w:rsidRPr="00850FF5">
        <w:rPr>
          <w:rFonts w:ascii="Times New Roman" w:hAnsi="Times New Roman" w:cs="Times New Roman"/>
          <w:sz w:val="18"/>
          <w:szCs w:val="18"/>
        </w:rPr>
        <w:t xml:space="preserve"> </w:t>
      </w:r>
      <w:r>
        <w:rPr>
          <w:rFonts w:ascii="Times New Roman" w:hAnsi="Times New Roman" w:cs="Times New Roman"/>
          <w:sz w:val="18"/>
          <w:szCs w:val="18"/>
        </w:rPr>
        <w:t xml:space="preserve">   </w:t>
      </w:r>
      <w:r w:rsidRPr="00850FF5">
        <w:rPr>
          <w:rFonts w:ascii="Times New Roman" w:hAnsi="Times New Roman" w:cs="Times New Roman"/>
          <w:sz w:val="18"/>
          <w:szCs w:val="18"/>
        </w:rPr>
        <w:t xml:space="preserve">CORTE INTERAMERICANA DE DERECHOS HUMANOS. Caso </w:t>
      </w:r>
      <w:r>
        <w:rPr>
          <w:rFonts w:ascii="Times New Roman" w:hAnsi="Times New Roman" w:cs="Times New Roman"/>
          <w:sz w:val="18"/>
          <w:szCs w:val="18"/>
        </w:rPr>
        <w:t xml:space="preserve">La </w:t>
      </w:r>
      <w:r w:rsidRPr="00850FF5">
        <w:rPr>
          <w:rFonts w:ascii="Times New Roman" w:hAnsi="Times New Roman" w:cs="Times New Roman"/>
          <w:sz w:val="18"/>
          <w:szCs w:val="18"/>
        </w:rPr>
        <w:t>Última Tentación de Cristo (Olmedo Bustos y otros vs. Chile). Sentencia de 5 de Febrero de 2001. Fondo, Reparaciones y Costas. Série C-73.</w:t>
      </w:r>
      <w:r>
        <w:rPr>
          <w:rFonts w:ascii="Times New Roman" w:hAnsi="Times New Roman" w:cs="Times New Roman"/>
          <w:sz w:val="18"/>
          <w:szCs w:val="18"/>
        </w:rPr>
        <w:t xml:space="preserve"> Párrafo 103, 4.</w:t>
      </w:r>
    </w:p>
  </w:footnote>
  <w:footnote w:id="134">
    <w:p w14:paraId="46838B65" w14:textId="02F3CB38" w:rsidR="00742149" w:rsidRDefault="00742149" w:rsidP="005D65B6">
      <w:pPr>
        <w:pStyle w:val="FootnoteText"/>
        <w:jc w:val="both"/>
      </w:pPr>
      <w:r w:rsidRPr="000B062C">
        <w:rPr>
          <w:rStyle w:val="FootnoteReference"/>
          <w:rFonts w:ascii="Times New Roman" w:hAnsi="Times New Roman" w:cs="Times New Roman"/>
          <w:sz w:val="18"/>
          <w:szCs w:val="18"/>
        </w:rPr>
        <w:footnoteRef/>
      </w:r>
      <w:r w:rsidRPr="000B062C">
        <w:rPr>
          <w:rFonts w:ascii="Times New Roman" w:hAnsi="Times New Roman" w:cs="Times New Roman"/>
          <w:sz w:val="18"/>
          <w:szCs w:val="18"/>
        </w:rPr>
        <w:t xml:space="preserve"> </w:t>
      </w:r>
      <w:r>
        <w:rPr>
          <w:rFonts w:ascii="Times New Roman" w:hAnsi="Times New Roman" w:cs="Times New Roman"/>
          <w:sz w:val="18"/>
          <w:szCs w:val="18"/>
        </w:rPr>
        <w:t xml:space="preserve">   A legislação mexicana trabalha o conceito de reparação integral na “Lei General de Víctimas”, aprovada em 2013. </w:t>
      </w:r>
      <w:r w:rsidRPr="00C04F45">
        <w:rPr>
          <w:rFonts w:ascii="Times New Roman" w:hAnsi="Times New Roman" w:cs="Times New Roman"/>
          <w:sz w:val="18"/>
          <w:szCs w:val="18"/>
        </w:rPr>
        <w:t xml:space="preserve">CALDERÓN GAMBOA, Jorge F. </w:t>
      </w:r>
      <w:r w:rsidRPr="00C04F45">
        <w:rPr>
          <w:rFonts w:ascii="Times New Roman" w:hAnsi="Times New Roman" w:cs="Times New Roman"/>
          <w:i/>
          <w:sz w:val="18"/>
          <w:szCs w:val="18"/>
        </w:rPr>
        <w:t>La reparación integral en la jurisprudencia de la Corte Interamericana de Derechos Humanos</w:t>
      </w:r>
      <w:r w:rsidRPr="00C04F45">
        <w:rPr>
          <w:rFonts w:ascii="Times New Roman" w:hAnsi="Times New Roman" w:cs="Times New Roman"/>
          <w:sz w:val="18"/>
          <w:szCs w:val="18"/>
        </w:rPr>
        <w:t>: estándares aplicables al nuevo paradigma mexicano. Mexico: Instituto de Investigaciones Jurídicas, Suprema Corte</w:t>
      </w:r>
      <w:r>
        <w:rPr>
          <w:rFonts w:ascii="Times New Roman" w:hAnsi="Times New Roman" w:cs="Times New Roman"/>
          <w:sz w:val="18"/>
          <w:szCs w:val="18"/>
        </w:rPr>
        <w:t xml:space="preserve"> de la Nación, 2013. p. 146-219. Disponível em: </w:t>
      </w:r>
      <w:hyperlink r:id="rId16" w:history="1">
        <w:r w:rsidRPr="00256308">
          <w:rPr>
            <w:rStyle w:val="Hyperlink"/>
            <w:rFonts w:ascii="Times New Roman" w:hAnsi="Times New Roman" w:cs="Times New Roman"/>
            <w:sz w:val="18"/>
            <w:szCs w:val="18"/>
          </w:rPr>
          <w:t>http://www.corteidh.or.cr/tablas/r33008.pdf</w:t>
        </w:r>
      </w:hyperlink>
      <w:r>
        <w:rPr>
          <w:rFonts w:ascii="Times New Roman" w:hAnsi="Times New Roman" w:cs="Times New Roman"/>
          <w:sz w:val="18"/>
          <w:szCs w:val="18"/>
        </w:rPr>
        <w:t xml:space="preserve"> . Acesso em: 20 abr. 2019.</w:t>
      </w:r>
      <w:r w:rsidRPr="00C04F45">
        <w:rPr>
          <w:rFonts w:ascii="Times New Roman" w:hAnsi="Times New Roman" w:cs="Times New Roman"/>
          <w:sz w:val="18"/>
          <w:szCs w:val="18"/>
        </w:rPr>
        <w:t xml:space="preserve"> p.</w:t>
      </w:r>
      <w:r>
        <w:rPr>
          <w:rFonts w:ascii="Times New Roman" w:hAnsi="Times New Roman" w:cs="Times New Roman"/>
          <w:sz w:val="18"/>
          <w:szCs w:val="18"/>
        </w:rPr>
        <w:t xml:space="preserve"> 149-150.</w:t>
      </w:r>
    </w:p>
  </w:footnote>
  <w:footnote w:id="135">
    <w:p w14:paraId="7203555B" w14:textId="2CEF0ABF" w:rsidR="00742149" w:rsidRPr="002B0178" w:rsidRDefault="00742149" w:rsidP="005D65B6">
      <w:pPr>
        <w:widowControl w:val="0"/>
        <w:autoSpaceDE w:val="0"/>
        <w:autoSpaceDN w:val="0"/>
        <w:adjustRightInd w:val="0"/>
        <w:jc w:val="both"/>
        <w:rPr>
          <w:rFonts w:ascii="Times New Roman" w:hAnsi="Times New Roman" w:cs="Times New Roman"/>
          <w:color w:val="000000"/>
          <w:sz w:val="18"/>
          <w:szCs w:val="18"/>
        </w:rPr>
      </w:pPr>
      <w:r w:rsidRPr="005D65B6">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HERRERA, Juan C. P. </w:t>
      </w:r>
      <w:r w:rsidRPr="005D65B6">
        <w:rPr>
          <w:rFonts w:ascii="Times New Roman" w:hAnsi="Times New Roman" w:cs="Times New Roman"/>
          <w:bCs/>
          <w:color w:val="000000"/>
          <w:sz w:val="18"/>
          <w:szCs w:val="18"/>
          <w:lang w:val="en-US"/>
        </w:rPr>
        <w:t xml:space="preserve">Judicial Dialogue and Transformative Constitutionalism in Latin America: The Case of Indigenous Peoples and Afro-descendants. </w:t>
      </w:r>
      <w:r w:rsidRPr="002B0178">
        <w:rPr>
          <w:rFonts w:ascii="Times New Roman" w:hAnsi="Times New Roman" w:cs="Times New Roman"/>
          <w:i/>
          <w:iCs/>
          <w:color w:val="000000"/>
          <w:sz w:val="18"/>
          <w:szCs w:val="18"/>
        </w:rPr>
        <w:t xml:space="preserve">Revista Derecho del Estado, </w:t>
      </w:r>
      <w:r w:rsidRPr="002B0178">
        <w:rPr>
          <w:rFonts w:ascii="Times New Roman" w:hAnsi="Times New Roman" w:cs="Times New Roman"/>
          <w:iCs/>
          <w:color w:val="000000"/>
          <w:sz w:val="18"/>
          <w:szCs w:val="18"/>
        </w:rPr>
        <w:t>Bogota,  n. 43, p. 191-233, mayo-agosto de 2019. p. 206.</w:t>
      </w:r>
    </w:p>
  </w:footnote>
  <w:footnote w:id="136">
    <w:p w14:paraId="2F48DF4E" w14:textId="07C508CB" w:rsidR="00742149" w:rsidRPr="00F30763" w:rsidRDefault="00742149" w:rsidP="005D65B6">
      <w:pPr>
        <w:pStyle w:val="FootnoteText"/>
        <w:jc w:val="both"/>
        <w:rPr>
          <w:rFonts w:ascii="Times New Roman" w:hAnsi="Times New Roman" w:cs="Times New Roman"/>
          <w:sz w:val="18"/>
          <w:szCs w:val="18"/>
        </w:rPr>
      </w:pPr>
      <w:r w:rsidRPr="00F30763">
        <w:rPr>
          <w:rStyle w:val="FootnoteReference"/>
          <w:rFonts w:ascii="Times New Roman" w:hAnsi="Times New Roman" w:cs="Times New Roman"/>
          <w:sz w:val="18"/>
          <w:szCs w:val="18"/>
        </w:rPr>
        <w:footnoteRef/>
      </w:r>
      <w:r w:rsidRPr="00F30763">
        <w:rPr>
          <w:rFonts w:ascii="Times New Roman" w:hAnsi="Times New Roman" w:cs="Times New Roman"/>
          <w:sz w:val="18"/>
          <w:szCs w:val="18"/>
        </w:rPr>
        <w:t xml:space="preserve"> </w:t>
      </w:r>
      <w:r>
        <w:rPr>
          <w:rFonts w:ascii="Times New Roman" w:hAnsi="Times New Roman" w:cs="Times New Roman"/>
          <w:sz w:val="18"/>
          <w:szCs w:val="18"/>
        </w:rPr>
        <w:t xml:space="preserve">  </w:t>
      </w:r>
      <w:r w:rsidRPr="00F30763">
        <w:rPr>
          <w:rFonts w:ascii="Times New Roman" w:hAnsi="Times New Roman" w:cs="Times New Roman"/>
          <w:sz w:val="18"/>
          <w:szCs w:val="18"/>
        </w:rPr>
        <w:t xml:space="preserve">CORTE INTERAMERICANA DE DERECHOS HUMANOS. Caso Ximenes Lopes vs. Brasil. Supervisión de Cumplimiento de Sentencia. Resolución de la Corte Interamericana de Derechos Humanos de 17 de mayo de 2010. Párrafo n. 12. </w:t>
      </w:r>
    </w:p>
  </w:footnote>
  <w:footnote w:id="137">
    <w:p w14:paraId="3D89FDDF" w14:textId="4A45CFB2" w:rsidR="00742149" w:rsidRDefault="00742149" w:rsidP="005D65B6">
      <w:pPr>
        <w:pStyle w:val="FootnoteText"/>
        <w:jc w:val="both"/>
      </w:pPr>
      <w:r w:rsidRPr="00A26490">
        <w:rPr>
          <w:rStyle w:val="FootnoteReference"/>
          <w:rFonts w:ascii="Times New Roman" w:hAnsi="Times New Roman" w:cs="Times New Roman"/>
          <w:sz w:val="18"/>
          <w:szCs w:val="18"/>
        </w:rPr>
        <w:footnoteRef/>
      </w:r>
      <w:r w:rsidRPr="00A26490">
        <w:rPr>
          <w:rFonts w:ascii="Times New Roman" w:hAnsi="Times New Roman" w:cs="Times New Roman"/>
          <w:sz w:val="18"/>
          <w:szCs w:val="18"/>
        </w:rPr>
        <w:t xml:space="preserve"> </w:t>
      </w:r>
      <w:r>
        <w:rPr>
          <w:rFonts w:ascii="Times New Roman" w:hAnsi="Times New Roman" w:cs="Times New Roman"/>
          <w:sz w:val="18"/>
          <w:szCs w:val="18"/>
        </w:rPr>
        <w:t xml:space="preserve">   </w:t>
      </w:r>
      <w:r w:rsidRPr="00F30763">
        <w:rPr>
          <w:rFonts w:ascii="Times New Roman" w:hAnsi="Times New Roman" w:cs="Times New Roman"/>
          <w:sz w:val="18"/>
          <w:szCs w:val="18"/>
        </w:rPr>
        <w:t>CORTE INTERAMERICANA DE DERECHOS HUMANOS. Caso</w:t>
      </w:r>
      <w:r>
        <w:rPr>
          <w:rFonts w:ascii="Times New Roman" w:hAnsi="Times New Roman" w:cs="Times New Roman"/>
          <w:sz w:val="18"/>
          <w:szCs w:val="18"/>
        </w:rPr>
        <w:t xml:space="preserve"> Favela Nova Brasília</w:t>
      </w:r>
      <w:r w:rsidRPr="00F30763">
        <w:rPr>
          <w:rFonts w:ascii="Times New Roman" w:hAnsi="Times New Roman" w:cs="Times New Roman"/>
          <w:sz w:val="18"/>
          <w:szCs w:val="18"/>
        </w:rPr>
        <w:t xml:space="preserve"> vs. Brasil.</w:t>
      </w:r>
      <w:r>
        <w:rPr>
          <w:rFonts w:ascii="Times New Roman" w:hAnsi="Times New Roman" w:cs="Times New Roman"/>
          <w:sz w:val="18"/>
          <w:szCs w:val="18"/>
        </w:rPr>
        <w:t xml:space="preserve"> Sentença de 5 de fevereiro de 2018. Interpretação de Sentença de Exceções Preliminares, Mérito, Reparações e Custas. Parágrafos 27 a 29.</w:t>
      </w:r>
    </w:p>
  </w:footnote>
  <w:footnote w:id="138">
    <w:p w14:paraId="25F8336E" w14:textId="1BFA57C2" w:rsidR="00742149" w:rsidRPr="00025D1B" w:rsidRDefault="00742149" w:rsidP="005D65B6">
      <w:pPr>
        <w:pStyle w:val="FootnoteText"/>
        <w:jc w:val="both"/>
        <w:rPr>
          <w:rFonts w:ascii="Times New Roman" w:hAnsi="Times New Roman" w:cs="Times New Roman"/>
          <w:sz w:val="18"/>
          <w:szCs w:val="18"/>
        </w:rPr>
      </w:pPr>
      <w:r w:rsidRPr="00025D1B">
        <w:rPr>
          <w:rStyle w:val="FootnoteReference"/>
          <w:rFonts w:ascii="Times New Roman" w:hAnsi="Times New Roman" w:cs="Times New Roman"/>
          <w:sz w:val="18"/>
          <w:szCs w:val="18"/>
        </w:rPr>
        <w:footnoteRef/>
      </w:r>
      <w:r w:rsidRPr="00025D1B">
        <w:rPr>
          <w:rFonts w:ascii="Times New Roman" w:hAnsi="Times New Roman" w:cs="Times New Roman"/>
          <w:sz w:val="18"/>
          <w:szCs w:val="18"/>
        </w:rPr>
        <w:t xml:space="preserve"> </w:t>
      </w:r>
      <w:r>
        <w:rPr>
          <w:rFonts w:ascii="Times New Roman" w:hAnsi="Times New Roman" w:cs="Times New Roman"/>
          <w:sz w:val="18"/>
          <w:szCs w:val="18"/>
        </w:rPr>
        <w:t xml:space="preserve">   </w:t>
      </w:r>
      <w:r w:rsidRPr="00025D1B">
        <w:rPr>
          <w:rFonts w:ascii="Times New Roman" w:hAnsi="Times New Roman" w:cs="Times New Roman"/>
          <w:sz w:val="18"/>
          <w:szCs w:val="18"/>
        </w:rPr>
        <w:t>CORTE INTERAMERICANA DE DERECHOS HUMANOS. Caso Gomes Lund e outros (“Guerrilha do Araguaia”) vs. Brasil. Supervisión de Cumplimiento de Sentencia, de 17 de Octubre de 2017. Párrafo 11 y ss.</w:t>
      </w:r>
    </w:p>
  </w:footnote>
  <w:footnote w:id="139">
    <w:p w14:paraId="0A76BA73" w14:textId="06EE8731" w:rsidR="00742149" w:rsidRPr="00182F6C" w:rsidRDefault="00742149" w:rsidP="005D65B6">
      <w:pPr>
        <w:pStyle w:val="FootnoteText"/>
        <w:jc w:val="both"/>
        <w:rPr>
          <w:rFonts w:ascii="Times New Roman" w:hAnsi="Times New Roman" w:cs="Times New Roman"/>
          <w:sz w:val="18"/>
          <w:szCs w:val="18"/>
        </w:rPr>
      </w:pPr>
      <w:r w:rsidRPr="00182F6C">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SOLEY, Ximena; STEININGER, Silvia. Parting ways or lashing back? </w:t>
      </w:r>
      <w:proofErr w:type="gramStart"/>
      <w:r w:rsidRPr="002B0178">
        <w:rPr>
          <w:rFonts w:ascii="Times New Roman" w:hAnsi="Times New Roman" w:cs="Times New Roman"/>
          <w:sz w:val="18"/>
          <w:szCs w:val="18"/>
          <w:lang w:val="en-US"/>
        </w:rPr>
        <w:t>Withdrawals, backlash and the Inter-America Court of Human Rights</w:t>
      </w:r>
      <w:r w:rsidRPr="002B0178">
        <w:rPr>
          <w:rFonts w:ascii="Times New Roman" w:hAnsi="Times New Roman" w:cs="Times New Roman"/>
          <w:i/>
          <w:sz w:val="18"/>
          <w:szCs w:val="18"/>
          <w:lang w:val="en-US"/>
        </w:rPr>
        <w:t>.</w:t>
      </w:r>
      <w:proofErr w:type="gramEnd"/>
      <w:r w:rsidRPr="002B0178">
        <w:rPr>
          <w:rFonts w:ascii="Times New Roman" w:hAnsi="Times New Roman" w:cs="Times New Roman"/>
          <w:sz w:val="18"/>
          <w:szCs w:val="18"/>
          <w:lang w:val="en-US"/>
        </w:rPr>
        <w:t xml:space="preserve"> </w:t>
      </w:r>
      <w:r w:rsidRPr="002B0178">
        <w:rPr>
          <w:rFonts w:ascii="Times New Roman" w:hAnsi="Times New Roman" w:cs="Times New Roman"/>
          <w:i/>
          <w:sz w:val="18"/>
          <w:szCs w:val="18"/>
        </w:rPr>
        <w:t>MPIL Research Paper Series</w:t>
      </w:r>
      <w:r w:rsidRPr="002B0178">
        <w:rPr>
          <w:rFonts w:ascii="Times New Roman" w:hAnsi="Times New Roman" w:cs="Times New Roman"/>
          <w:sz w:val="18"/>
          <w:szCs w:val="18"/>
        </w:rPr>
        <w:t xml:space="preserve"> No. 2018-01. Disponível em: https://ssrn.com/abstract=3103666. Acesso em: 10 dez. 2018. p. 6.</w:t>
      </w:r>
    </w:p>
  </w:footnote>
  <w:footnote w:id="140">
    <w:p w14:paraId="314E28BB" w14:textId="2B8BE34D" w:rsidR="00742149" w:rsidRPr="005C0EA0" w:rsidRDefault="00742149" w:rsidP="00D351E5">
      <w:pPr>
        <w:pStyle w:val="FootnoteText"/>
        <w:jc w:val="both"/>
        <w:rPr>
          <w:rFonts w:ascii="Times New Roman" w:hAnsi="Times New Roman" w:cs="Times New Roman"/>
          <w:sz w:val="18"/>
          <w:szCs w:val="18"/>
        </w:rPr>
      </w:pPr>
      <w:r w:rsidRPr="005C0EA0">
        <w:rPr>
          <w:rStyle w:val="FootnoteReference"/>
          <w:rFonts w:ascii="Times New Roman" w:hAnsi="Times New Roman" w:cs="Times New Roman"/>
          <w:sz w:val="18"/>
          <w:szCs w:val="18"/>
        </w:rPr>
        <w:footnoteRef/>
      </w:r>
      <w:r w:rsidRPr="005C0EA0">
        <w:rPr>
          <w:rFonts w:ascii="Times New Roman" w:hAnsi="Times New Roman" w:cs="Times New Roman"/>
          <w:sz w:val="18"/>
          <w:szCs w:val="18"/>
        </w:rPr>
        <w:t xml:space="preserve"> </w:t>
      </w:r>
      <w:r>
        <w:rPr>
          <w:rFonts w:ascii="Times New Roman" w:hAnsi="Times New Roman" w:cs="Times New Roman"/>
          <w:sz w:val="18"/>
          <w:szCs w:val="18"/>
        </w:rPr>
        <w:t xml:space="preserve">   </w:t>
      </w:r>
      <w:r w:rsidRPr="005C0EA0">
        <w:rPr>
          <w:rFonts w:ascii="Times New Roman" w:hAnsi="Times New Roman" w:cs="Times New Roman"/>
          <w:sz w:val="18"/>
          <w:szCs w:val="18"/>
        </w:rPr>
        <w:t xml:space="preserve">CHILE. Ministerio de Justicia y Derechos Humanos. Comunicado de prensa Ministerio de Relaciones Exteriores – Ministerio de Justicia y Derechos Humanos sobre Sistema Interamericano de Derechos Humanos. Santiago, 23 de abril de 2019. Disponível em: </w:t>
      </w:r>
      <w:hyperlink r:id="rId17" w:history="1">
        <w:r w:rsidRPr="005C0EA0">
          <w:rPr>
            <w:rStyle w:val="Hyperlink"/>
            <w:rFonts w:ascii="Times New Roman" w:hAnsi="Times New Roman" w:cs="Times New Roman"/>
            <w:sz w:val="18"/>
            <w:szCs w:val="18"/>
          </w:rPr>
          <w:t>http://www.minjusticia.gob.cl/comunicado-de-prensa-ministerio-de-relaciones-exteriores-ministerio-de-justicia-y-derechos-humanos-sobre-sistema-interamericano-de-derechos-humanos/</w:t>
        </w:r>
      </w:hyperlink>
      <w:r w:rsidRPr="005C0EA0">
        <w:rPr>
          <w:rFonts w:ascii="Times New Roman" w:hAnsi="Times New Roman" w:cs="Times New Roman"/>
          <w:sz w:val="18"/>
          <w:szCs w:val="18"/>
        </w:rPr>
        <w:t xml:space="preserve"> Acesso em: 25 abr. 2019.</w:t>
      </w:r>
    </w:p>
  </w:footnote>
  <w:footnote w:id="141">
    <w:p w14:paraId="320C6540" w14:textId="309BC921" w:rsidR="00742149" w:rsidRPr="005C1C04" w:rsidRDefault="00742149" w:rsidP="00D351E5">
      <w:pPr>
        <w:pStyle w:val="FootnoteText"/>
        <w:jc w:val="both"/>
        <w:rPr>
          <w:rFonts w:ascii="Times New Roman" w:hAnsi="Times New Roman" w:cs="Times New Roman"/>
          <w:sz w:val="18"/>
          <w:szCs w:val="18"/>
        </w:rPr>
      </w:pPr>
      <w:r w:rsidRPr="00D41A1E">
        <w:rPr>
          <w:rStyle w:val="FootnoteReference"/>
          <w:rFonts w:ascii="Times New Roman" w:hAnsi="Times New Roman" w:cs="Times New Roman"/>
          <w:sz w:val="18"/>
          <w:szCs w:val="18"/>
        </w:rPr>
        <w:footnoteRef/>
      </w:r>
      <w:r w:rsidRPr="00D41A1E">
        <w:rPr>
          <w:rFonts w:ascii="Times New Roman" w:hAnsi="Times New Roman" w:cs="Times New Roman"/>
          <w:sz w:val="18"/>
          <w:szCs w:val="18"/>
        </w:rPr>
        <w:t xml:space="preserve"> </w:t>
      </w:r>
      <w:r>
        <w:rPr>
          <w:rFonts w:ascii="Times New Roman" w:hAnsi="Times New Roman" w:cs="Times New Roman"/>
          <w:sz w:val="18"/>
          <w:szCs w:val="18"/>
        </w:rPr>
        <w:t xml:space="preserve">   </w:t>
      </w:r>
      <w:r w:rsidRPr="00D41A1E">
        <w:rPr>
          <w:rFonts w:ascii="Times New Roman" w:hAnsi="Times New Roman" w:cs="Times New Roman"/>
          <w:sz w:val="18"/>
          <w:szCs w:val="18"/>
          <w:lang w:val="es-ES_tradnl"/>
        </w:rPr>
        <w:t>GABRIEL MAINO, Carlos Alberto. Los derechos humanos: baluarte y socavo de las instituciones. Hacia un adecuado equilibrio entre el control judicial de convencionalidad y la representación política de los procesos democráticos</w:t>
      </w:r>
      <w:r w:rsidRPr="00D41A1E">
        <w:rPr>
          <w:rFonts w:ascii="Times New Roman" w:hAnsi="Times New Roman" w:cs="Times New Roman"/>
          <w:i/>
          <w:sz w:val="18"/>
          <w:szCs w:val="18"/>
          <w:lang w:val="es-ES_tradnl"/>
        </w:rPr>
        <w:t>. Anuario de Derecho Constitucional Latinoamericano</w:t>
      </w:r>
      <w:r w:rsidRPr="00D41A1E">
        <w:rPr>
          <w:rFonts w:ascii="Times New Roman" w:hAnsi="Times New Roman" w:cs="Times New Roman"/>
          <w:sz w:val="18"/>
          <w:szCs w:val="18"/>
          <w:lang w:val="es-ES_tradnl"/>
        </w:rPr>
        <w:t>, Bogota, v. 22, Fundación Konrad Adenauer, Programa de Estado de Derecho para Latinoamérica, 2016. p. 357-380.</w:t>
      </w:r>
    </w:p>
  </w:footnote>
  <w:footnote w:id="142">
    <w:p w14:paraId="276460B4" w14:textId="637FCDC1" w:rsidR="00742149" w:rsidRDefault="00742149" w:rsidP="00D351E5">
      <w:pPr>
        <w:pStyle w:val="FootnoteText"/>
        <w:jc w:val="both"/>
      </w:pPr>
      <w:r w:rsidRPr="005C1C04">
        <w:rPr>
          <w:rStyle w:val="FootnoteReference"/>
          <w:rFonts w:ascii="Times New Roman" w:hAnsi="Times New Roman" w:cs="Times New Roman"/>
          <w:sz w:val="18"/>
          <w:szCs w:val="18"/>
        </w:rPr>
        <w:footnoteRef/>
      </w:r>
      <w:r w:rsidRPr="005C1C04">
        <w:rPr>
          <w:rFonts w:ascii="Times New Roman" w:hAnsi="Times New Roman" w:cs="Times New Roman"/>
          <w:sz w:val="18"/>
          <w:szCs w:val="18"/>
        </w:rPr>
        <w:t xml:space="preserve"> </w:t>
      </w:r>
      <w:r>
        <w:rPr>
          <w:rFonts w:ascii="Times New Roman" w:hAnsi="Times New Roman" w:cs="Times New Roman"/>
          <w:sz w:val="18"/>
          <w:szCs w:val="18"/>
        </w:rPr>
        <w:t xml:space="preserve">   </w:t>
      </w:r>
      <w:r w:rsidRPr="005C1C04">
        <w:rPr>
          <w:rFonts w:ascii="Times New Roman" w:hAnsi="Times New Roman" w:cs="Times New Roman"/>
          <w:sz w:val="18"/>
          <w:szCs w:val="18"/>
        </w:rPr>
        <w:t xml:space="preserve">CORTE INTERAMERICANA DE DERECHOS HUMANOS. </w:t>
      </w:r>
      <w:r w:rsidRPr="005C1C04">
        <w:rPr>
          <w:rFonts w:ascii="Times New Roman" w:hAnsi="Times New Roman" w:cs="Times New Roman"/>
          <w:i/>
          <w:sz w:val="18"/>
          <w:szCs w:val="18"/>
        </w:rPr>
        <w:t>Caso Artavia Murillo y otros</w:t>
      </w:r>
      <w:r>
        <w:rPr>
          <w:rFonts w:ascii="Times New Roman" w:hAnsi="Times New Roman" w:cs="Times New Roman"/>
          <w:i/>
          <w:sz w:val="18"/>
          <w:szCs w:val="18"/>
        </w:rPr>
        <w:t xml:space="preserve"> (Fecundación in vitro)</w:t>
      </w:r>
      <w:r w:rsidRPr="005C1C04">
        <w:rPr>
          <w:rFonts w:ascii="Times New Roman" w:hAnsi="Times New Roman" w:cs="Times New Roman"/>
          <w:i/>
          <w:sz w:val="18"/>
          <w:szCs w:val="18"/>
        </w:rPr>
        <w:t xml:space="preserve"> vs. Costa Rica</w:t>
      </w:r>
      <w:r w:rsidRPr="005C1C04">
        <w:rPr>
          <w:rFonts w:ascii="Times New Roman" w:hAnsi="Times New Roman" w:cs="Times New Roman"/>
          <w:sz w:val="18"/>
          <w:szCs w:val="18"/>
        </w:rPr>
        <w:t xml:space="preserve">. Sentencia de 28 de noviembre de 2012. </w:t>
      </w:r>
      <w:r w:rsidRPr="005C1C04">
        <w:rPr>
          <w:rFonts w:ascii="Times New Roman" w:hAnsi="Times New Roman" w:cs="Times New Roman"/>
          <w:bCs/>
          <w:sz w:val="18"/>
          <w:szCs w:val="18"/>
        </w:rPr>
        <w:t>Excepciones Preliminares, Fondo, Reparaciones y Costas. Série C-257</w:t>
      </w:r>
      <w:r w:rsidRPr="00194251">
        <w:rPr>
          <w:rFonts w:ascii="Times New Roman" w:hAnsi="Times New Roman" w:cs="Times New Roman"/>
          <w:bCs/>
          <w:sz w:val="18"/>
          <w:szCs w:val="18"/>
        </w:rPr>
        <w:t>. Párrafo 338.</w:t>
      </w:r>
    </w:p>
  </w:footnote>
  <w:footnote w:id="143">
    <w:p w14:paraId="3D609D21" w14:textId="39054BFE" w:rsidR="00742149" w:rsidRPr="00D41A1E" w:rsidRDefault="00742149" w:rsidP="00D351E5">
      <w:pPr>
        <w:pStyle w:val="FootnoteText"/>
        <w:jc w:val="both"/>
        <w:rPr>
          <w:rFonts w:ascii="Times New Roman" w:hAnsi="Times New Roman" w:cs="Times New Roman"/>
          <w:sz w:val="18"/>
          <w:szCs w:val="18"/>
        </w:rPr>
      </w:pPr>
      <w:r w:rsidRPr="00D41A1E">
        <w:rPr>
          <w:rStyle w:val="FootnoteReference"/>
          <w:rFonts w:ascii="Times New Roman" w:hAnsi="Times New Roman" w:cs="Times New Roman"/>
          <w:sz w:val="18"/>
          <w:szCs w:val="18"/>
        </w:rPr>
        <w:footnoteRef/>
      </w:r>
      <w:r w:rsidRPr="00D41A1E">
        <w:rPr>
          <w:rFonts w:ascii="Times New Roman" w:hAnsi="Times New Roman" w:cs="Times New Roman"/>
          <w:sz w:val="18"/>
          <w:szCs w:val="18"/>
        </w:rPr>
        <w:t xml:space="preserve"> </w:t>
      </w:r>
      <w:r>
        <w:rPr>
          <w:rFonts w:ascii="Times New Roman" w:hAnsi="Times New Roman" w:cs="Times New Roman"/>
          <w:sz w:val="18"/>
          <w:szCs w:val="18"/>
        </w:rPr>
        <w:t xml:space="preserve">   </w:t>
      </w:r>
      <w:r w:rsidRPr="00D41A1E">
        <w:rPr>
          <w:rFonts w:ascii="Times New Roman" w:hAnsi="Times New Roman" w:cs="Times New Roman"/>
          <w:sz w:val="18"/>
          <w:szCs w:val="18"/>
          <w:lang w:val="es-ES_tradnl"/>
        </w:rPr>
        <w:t xml:space="preserve">GABRIEL MAINO, Carlos Alberto. Los derechos humanos: baluarte y socavo de las instituciones. Hacia un adecuado equilibrio entre el control judicial de convencionalidad y la representación política de los procesos democráticos. </w:t>
      </w:r>
      <w:r w:rsidRPr="00D41A1E">
        <w:rPr>
          <w:rFonts w:ascii="Times New Roman" w:hAnsi="Times New Roman" w:cs="Times New Roman"/>
          <w:i/>
          <w:sz w:val="18"/>
          <w:szCs w:val="18"/>
          <w:lang w:val="es-ES_tradnl"/>
        </w:rPr>
        <w:t>Anuario de Derecho Constitucional Latinoamericano</w:t>
      </w:r>
      <w:r w:rsidRPr="00D41A1E">
        <w:rPr>
          <w:rFonts w:ascii="Times New Roman" w:hAnsi="Times New Roman" w:cs="Times New Roman"/>
          <w:sz w:val="18"/>
          <w:szCs w:val="18"/>
          <w:lang w:val="es-ES_tradnl"/>
        </w:rPr>
        <w:t>, Bogota, v. 22, Fundación Konrad Adenauer, Programa de Estado de Derecho para Latinoamérica, 2016. p. 357-380.</w:t>
      </w:r>
    </w:p>
  </w:footnote>
  <w:footnote w:id="144">
    <w:p w14:paraId="2B29A1B1" w14:textId="2A55176E" w:rsidR="00742149" w:rsidRPr="004C16AB" w:rsidRDefault="00742149" w:rsidP="00D351E5">
      <w:pPr>
        <w:pStyle w:val="FootnoteText"/>
        <w:jc w:val="both"/>
        <w:rPr>
          <w:rFonts w:ascii="Times New Roman" w:hAnsi="Times New Roman" w:cs="Times New Roman"/>
          <w:sz w:val="18"/>
          <w:szCs w:val="18"/>
        </w:rPr>
      </w:pPr>
      <w:r w:rsidRPr="004C16AB">
        <w:rPr>
          <w:rStyle w:val="FootnoteReference"/>
          <w:rFonts w:ascii="Times New Roman" w:hAnsi="Times New Roman" w:cs="Times New Roman"/>
          <w:sz w:val="18"/>
          <w:szCs w:val="18"/>
        </w:rPr>
        <w:footnoteRef/>
      </w:r>
      <w:r>
        <w:rPr>
          <w:rFonts w:ascii="Times New Roman" w:hAnsi="Times New Roman" w:cs="Times New Roman"/>
          <w:sz w:val="18"/>
          <w:szCs w:val="18"/>
          <w:lang w:val="en-US"/>
        </w:rPr>
        <w:t xml:space="preserve">    </w:t>
      </w:r>
      <w:r w:rsidRPr="002B0178">
        <w:rPr>
          <w:rFonts w:ascii="Times New Roman" w:hAnsi="Times New Roman" w:cs="Times New Roman"/>
          <w:sz w:val="18"/>
          <w:szCs w:val="18"/>
          <w:lang w:val="en-US"/>
        </w:rPr>
        <w:t>RODILES, Alejandro. The Law and Politics of the Pro Persona Principle in Latin America. In: AUST, Helmut Philipp</w:t>
      </w:r>
      <w:proofErr w:type="gramStart"/>
      <w:r w:rsidRPr="002B0178">
        <w:rPr>
          <w:rFonts w:ascii="Times New Roman" w:hAnsi="Times New Roman" w:cs="Times New Roman"/>
          <w:sz w:val="18"/>
          <w:szCs w:val="18"/>
          <w:lang w:val="en-US"/>
        </w:rPr>
        <w:t>;</w:t>
      </w:r>
      <w:proofErr w:type="gramEnd"/>
      <w:r w:rsidRPr="002B0178">
        <w:rPr>
          <w:rFonts w:ascii="Times New Roman" w:hAnsi="Times New Roman" w:cs="Times New Roman"/>
          <w:sz w:val="18"/>
          <w:szCs w:val="18"/>
          <w:lang w:val="en-US"/>
        </w:rPr>
        <w:t xml:space="preserve"> NOLTE, Georg. (</w:t>
      </w:r>
      <w:proofErr w:type="gramStart"/>
      <w:r w:rsidRPr="002B0178">
        <w:rPr>
          <w:rFonts w:ascii="Times New Roman" w:hAnsi="Times New Roman" w:cs="Times New Roman"/>
          <w:sz w:val="18"/>
          <w:szCs w:val="18"/>
          <w:lang w:val="en-US"/>
        </w:rPr>
        <w:t>ed</w:t>
      </w:r>
      <w:proofErr w:type="gramEnd"/>
      <w:r w:rsidRPr="002B0178">
        <w:rPr>
          <w:rFonts w:ascii="Times New Roman" w:hAnsi="Times New Roman" w:cs="Times New Roman"/>
          <w:sz w:val="18"/>
          <w:szCs w:val="18"/>
          <w:lang w:val="en-US"/>
        </w:rPr>
        <w:t xml:space="preserve">.) </w:t>
      </w:r>
      <w:r w:rsidRPr="002B0178">
        <w:rPr>
          <w:rFonts w:ascii="Times New Roman" w:hAnsi="Times New Roman" w:cs="Times New Roman"/>
          <w:i/>
          <w:sz w:val="18"/>
          <w:szCs w:val="18"/>
          <w:lang w:val="en-US"/>
        </w:rPr>
        <w:t>The Interpretation of International Law by Domestic Courts:</w:t>
      </w:r>
      <w:r w:rsidRPr="002B0178">
        <w:rPr>
          <w:rFonts w:ascii="Times New Roman" w:hAnsi="Times New Roman" w:cs="Times New Roman"/>
          <w:sz w:val="18"/>
          <w:szCs w:val="18"/>
          <w:lang w:val="en-US"/>
        </w:rPr>
        <w:t xml:space="preserve"> Uniformity, Diversity, </w:t>
      </w:r>
      <w:proofErr w:type="gramStart"/>
      <w:r w:rsidRPr="002B0178">
        <w:rPr>
          <w:rFonts w:ascii="Times New Roman" w:hAnsi="Times New Roman" w:cs="Times New Roman"/>
          <w:sz w:val="18"/>
          <w:szCs w:val="18"/>
          <w:lang w:val="en-US"/>
        </w:rPr>
        <w:t>Convergence</w:t>
      </w:r>
      <w:proofErr w:type="gramEnd"/>
      <w:r w:rsidRPr="002B0178">
        <w:rPr>
          <w:rFonts w:ascii="Times New Roman" w:hAnsi="Times New Roman" w:cs="Times New Roman"/>
          <w:sz w:val="18"/>
          <w:szCs w:val="18"/>
          <w:lang w:val="en-US"/>
        </w:rPr>
        <w:t xml:space="preserve">. </w:t>
      </w:r>
      <w:r w:rsidRPr="004C16AB">
        <w:rPr>
          <w:rFonts w:ascii="Times New Roman" w:hAnsi="Times New Roman" w:cs="Times New Roman"/>
          <w:sz w:val="18"/>
          <w:szCs w:val="18"/>
        </w:rPr>
        <w:t>Oxford: Oxford University Press, 2016. p. 153-174, p. 163.</w:t>
      </w:r>
    </w:p>
  </w:footnote>
  <w:footnote w:id="145">
    <w:p w14:paraId="0EF0A3B4" w14:textId="2CF7ADDF" w:rsidR="00742149" w:rsidRDefault="00742149" w:rsidP="00F228D2">
      <w:pPr>
        <w:pStyle w:val="FootnoteText"/>
        <w:jc w:val="both"/>
      </w:pPr>
      <w:r w:rsidRPr="005B34F7">
        <w:rPr>
          <w:rStyle w:val="FootnoteReference"/>
          <w:rFonts w:ascii="Times New Roman" w:hAnsi="Times New Roman" w:cs="Times New Roman"/>
          <w:sz w:val="18"/>
          <w:szCs w:val="18"/>
        </w:rPr>
        <w:footnoteRef/>
      </w:r>
      <w:r w:rsidRPr="005B34F7">
        <w:rPr>
          <w:rFonts w:ascii="Times New Roman" w:hAnsi="Times New Roman" w:cs="Times New Roman"/>
          <w:sz w:val="18"/>
          <w:szCs w:val="18"/>
        </w:rPr>
        <w:t xml:space="preserve"> </w:t>
      </w:r>
      <w:r>
        <w:rPr>
          <w:rFonts w:ascii="Times New Roman" w:hAnsi="Times New Roman" w:cs="Times New Roman"/>
          <w:sz w:val="18"/>
          <w:szCs w:val="18"/>
        </w:rPr>
        <w:t xml:space="preserve">   </w:t>
      </w:r>
      <w:r w:rsidRPr="00C04F45">
        <w:rPr>
          <w:rFonts w:ascii="Times New Roman" w:hAnsi="Times New Roman" w:cs="Times New Roman"/>
          <w:sz w:val="18"/>
          <w:szCs w:val="18"/>
        </w:rPr>
        <w:t xml:space="preserve">CALDERÓN GAMBOA, Jorge F. </w:t>
      </w:r>
      <w:r w:rsidRPr="00C04F45">
        <w:rPr>
          <w:rFonts w:ascii="Times New Roman" w:hAnsi="Times New Roman" w:cs="Times New Roman"/>
          <w:i/>
          <w:sz w:val="18"/>
          <w:szCs w:val="18"/>
        </w:rPr>
        <w:t>La reparación integral en la jurisprudencia de la Corte Interamericana de Derechos Humanos</w:t>
      </w:r>
      <w:r w:rsidRPr="00C04F45">
        <w:rPr>
          <w:rFonts w:ascii="Times New Roman" w:hAnsi="Times New Roman" w:cs="Times New Roman"/>
          <w:sz w:val="18"/>
          <w:szCs w:val="18"/>
        </w:rPr>
        <w:t>: estándares aplicables al nuevo paradigma mexicano. Mexico: Instituto de Investigaciones Jurídicas, Suprema Corte</w:t>
      </w:r>
      <w:r>
        <w:rPr>
          <w:rFonts w:ascii="Times New Roman" w:hAnsi="Times New Roman" w:cs="Times New Roman"/>
          <w:sz w:val="18"/>
          <w:szCs w:val="18"/>
        </w:rPr>
        <w:t xml:space="preserve"> de la Nación, 2013. p. 146-219. Disponível em: </w:t>
      </w:r>
      <w:hyperlink r:id="rId18" w:history="1">
        <w:r w:rsidRPr="00256308">
          <w:rPr>
            <w:rStyle w:val="Hyperlink"/>
            <w:rFonts w:ascii="Times New Roman" w:hAnsi="Times New Roman" w:cs="Times New Roman"/>
            <w:sz w:val="18"/>
            <w:szCs w:val="18"/>
          </w:rPr>
          <w:t>http://www.corteidh.or.cr/tablas/r33008.pdf</w:t>
        </w:r>
      </w:hyperlink>
      <w:r>
        <w:rPr>
          <w:rFonts w:ascii="Times New Roman" w:hAnsi="Times New Roman" w:cs="Times New Roman"/>
          <w:sz w:val="18"/>
          <w:szCs w:val="18"/>
        </w:rPr>
        <w:t xml:space="preserve"> . Acesso em: 20 abr. 2019.</w:t>
      </w:r>
      <w:r w:rsidRPr="00C04F45">
        <w:rPr>
          <w:rFonts w:ascii="Times New Roman" w:hAnsi="Times New Roman" w:cs="Times New Roman"/>
          <w:sz w:val="18"/>
          <w:szCs w:val="18"/>
        </w:rPr>
        <w:t xml:space="preserve"> p.</w:t>
      </w:r>
      <w:r>
        <w:rPr>
          <w:rFonts w:ascii="Times New Roman" w:hAnsi="Times New Roman" w:cs="Times New Roman"/>
          <w:sz w:val="18"/>
          <w:szCs w:val="18"/>
        </w:rPr>
        <w:t xml:space="preserve"> 182.</w:t>
      </w:r>
    </w:p>
  </w:footnote>
  <w:footnote w:id="146">
    <w:p w14:paraId="192019D4" w14:textId="434B88DF" w:rsidR="00742149" w:rsidRPr="00CC458C" w:rsidRDefault="00742149" w:rsidP="00CC458C">
      <w:pPr>
        <w:pStyle w:val="FootnoteText"/>
        <w:jc w:val="both"/>
        <w:rPr>
          <w:rFonts w:ascii="Times New Roman" w:hAnsi="Times New Roman" w:cs="Times New Roman"/>
          <w:sz w:val="18"/>
          <w:szCs w:val="18"/>
        </w:rPr>
      </w:pPr>
      <w:r w:rsidRPr="00CC458C">
        <w:rPr>
          <w:rStyle w:val="FootnoteReference"/>
          <w:rFonts w:ascii="Times New Roman" w:hAnsi="Times New Roman" w:cs="Times New Roman"/>
          <w:sz w:val="18"/>
          <w:szCs w:val="18"/>
        </w:rPr>
        <w:footnoteRef/>
      </w:r>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SOLEY, Ximena.</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The transformative dimension of the Inter-American jurisprudence.</w:t>
      </w:r>
      <w:proofErr w:type="gramEnd"/>
      <w:r w:rsidRPr="002B0178">
        <w:rPr>
          <w:rFonts w:ascii="Times New Roman" w:hAnsi="Times New Roman" w:cs="Times New Roman"/>
          <w:sz w:val="18"/>
          <w:szCs w:val="18"/>
          <w:lang w:val="en-US"/>
        </w:rPr>
        <w:t xml:space="preserve"> In: Von BOGDANDY, Armin; </w:t>
      </w:r>
      <w:proofErr w:type="gramStart"/>
      <w:r w:rsidRPr="002B0178">
        <w:rPr>
          <w:rFonts w:ascii="Times New Roman" w:hAnsi="Times New Roman" w:cs="Times New Roman"/>
          <w:sz w:val="18"/>
          <w:szCs w:val="18"/>
          <w:lang w:val="en-US"/>
        </w:rPr>
        <w:t>et</w:t>
      </w:r>
      <w:proofErr w:type="gramEnd"/>
      <w:r w:rsidRPr="002B0178">
        <w:rPr>
          <w:rFonts w:ascii="Times New Roman" w:hAnsi="Times New Roman" w:cs="Times New Roman"/>
          <w:sz w:val="18"/>
          <w:szCs w:val="18"/>
          <w:lang w:val="en-US"/>
        </w:rPr>
        <w:t xml:space="preserve">. </w:t>
      </w:r>
      <w:proofErr w:type="gramStart"/>
      <w:r w:rsidRPr="002B0178">
        <w:rPr>
          <w:rFonts w:ascii="Times New Roman" w:hAnsi="Times New Roman" w:cs="Times New Roman"/>
          <w:sz w:val="18"/>
          <w:szCs w:val="18"/>
          <w:lang w:val="en-US"/>
        </w:rPr>
        <w:t>al</w:t>
      </w:r>
      <w:proofErr w:type="gramEnd"/>
      <w:r w:rsidRPr="002B0178">
        <w:rPr>
          <w:rFonts w:ascii="Times New Roman" w:hAnsi="Times New Roman" w:cs="Times New Roman"/>
          <w:sz w:val="18"/>
          <w:szCs w:val="18"/>
          <w:lang w:val="en-US"/>
        </w:rPr>
        <w:t xml:space="preserve">. (ed.). </w:t>
      </w:r>
      <w:proofErr w:type="gramStart"/>
      <w:r w:rsidRPr="002B0178">
        <w:rPr>
          <w:rFonts w:ascii="Times New Roman" w:hAnsi="Times New Roman" w:cs="Times New Roman"/>
          <w:i/>
          <w:sz w:val="18"/>
          <w:szCs w:val="18"/>
          <w:lang w:val="en-US"/>
        </w:rPr>
        <w:t>Transformative Constitutionalism in Latin America</w:t>
      </w:r>
      <w:r w:rsidRPr="002B0178">
        <w:rPr>
          <w:rFonts w:ascii="Times New Roman" w:hAnsi="Times New Roman" w:cs="Times New Roman"/>
          <w:sz w:val="18"/>
          <w:szCs w:val="18"/>
          <w:lang w:val="en-US"/>
        </w:rPr>
        <w:t>.</w:t>
      </w:r>
      <w:proofErr w:type="gramEnd"/>
      <w:r w:rsidRPr="002B0178">
        <w:rPr>
          <w:rFonts w:ascii="Times New Roman" w:hAnsi="Times New Roman" w:cs="Times New Roman"/>
          <w:sz w:val="18"/>
          <w:szCs w:val="18"/>
          <w:lang w:val="en-US"/>
        </w:rPr>
        <w:t xml:space="preserve"> </w:t>
      </w:r>
      <w:r w:rsidRPr="00CC458C">
        <w:rPr>
          <w:rFonts w:ascii="Times New Roman" w:hAnsi="Times New Roman" w:cs="Times New Roman"/>
          <w:sz w:val="18"/>
          <w:szCs w:val="18"/>
        </w:rPr>
        <w:t>Oxford: Oxford Uni</w:t>
      </w:r>
      <w:r>
        <w:rPr>
          <w:rFonts w:ascii="Times New Roman" w:hAnsi="Times New Roman" w:cs="Times New Roman"/>
          <w:sz w:val="18"/>
          <w:szCs w:val="18"/>
        </w:rPr>
        <w:t>versity Press, 2017. p. 337-356,</w:t>
      </w:r>
      <w:r w:rsidRPr="00CC458C">
        <w:rPr>
          <w:rFonts w:ascii="Times New Roman" w:hAnsi="Times New Roman" w:cs="Times New Roman"/>
          <w:sz w:val="18"/>
          <w:szCs w:val="18"/>
        </w:rPr>
        <w:t xml:space="preserve"> p. 350.</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9AA97" w14:textId="77777777" w:rsidR="00742149" w:rsidRDefault="00742149" w:rsidP="00A1443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4303E7" w14:textId="77777777" w:rsidR="00742149" w:rsidRDefault="00742149" w:rsidP="00DD085F">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2978E" w14:textId="77777777" w:rsidR="00742149" w:rsidRDefault="00742149" w:rsidP="00A1443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C66F5">
      <w:rPr>
        <w:rStyle w:val="PageNumber"/>
        <w:noProof/>
      </w:rPr>
      <w:t>2</w:t>
    </w:r>
    <w:r>
      <w:rPr>
        <w:rStyle w:val="PageNumber"/>
      </w:rPr>
      <w:fldChar w:fldCharType="end"/>
    </w:r>
  </w:p>
  <w:p w14:paraId="551BD761" w14:textId="77777777" w:rsidR="00742149" w:rsidRDefault="00742149" w:rsidP="00DD085F">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C4D5C"/>
    <w:multiLevelType w:val="hybridMultilevel"/>
    <w:tmpl w:val="1BD06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E40B63"/>
    <w:multiLevelType w:val="multilevel"/>
    <w:tmpl w:val="1E4002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removePersonalInformation/>
  <w:removeDateAndTime/>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34C"/>
    <w:rsid w:val="00003334"/>
    <w:rsid w:val="00004998"/>
    <w:rsid w:val="0001179B"/>
    <w:rsid w:val="00024AEF"/>
    <w:rsid w:val="000251D9"/>
    <w:rsid w:val="00025D1B"/>
    <w:rsid w:val="000318D6"/>
    <w:rsid w:val="00031F9E"/>
    <w:rsid w:val="0003511A"/>
    <w:rsid w:val="00035E51"/>
    <w:rsid w:val="00040B88"/>
    <w:rsid w:val="00044404"/>
    <w:rsid w:val="0005026B"/>
    <w:rsid w:val="000532A8"/>
    <w:rsid w:val="000540AC"/>
    <w:rsid w:val="00057293"/>
    <w:rsid w:val="000611BA"/>
    <w:rsid w:val="000615E4"/>
    <w:rsid w:val="00066DE3"/>
    <w:rsid w:val="00067808"/>
    <w:rsid w:val="0007330E"/>
    <w:rsid w:val="00073BB7"/>
    <w:rsid w:val="000744CD"/>
    <w:rsid w:val="0007534A"/>
    <w:rsid w:val="000800C9"/>
    <w:rsid w:val="000801E4"/>
    <w:rsid w:val="00083D64"/>
    <w:rsid w:val="00084989"/>
    <w:rsid w:val="0009057C"/>
    <w:rsid w:val="000912FA"/>
    <w:rsid w:val="000A1DF0"/>
    <w:rsid w:val="000A41E6"/>
    <w:rsid w:val="000B062C"/>
    <w:rsid w:val="000B18D8"/>
    <w:rsid w:val="000B2BA6"/>
    <w:rsid w:val="000B2D77"/>
    <w:rsid w:val="000B35D2"/>
    <w:rsid w:val="000B4E91"/>
    <w:rsid w:val="000B5CA9"/>
    <w:rsid w:val="000B5ECD"/>
    <w:rsid w:val="000B62FC"/>
    <w:rsid w:val="000C1746"/>
    <w:rsid w:val="000C23D1"/>
    <w:rsid w:val="000C419F"/>
    <w:rsid w:val="000C5116"/>
    <w:rsid w:val="000D29ED"/>
    <w:rsid w:val="000D4CD9"/>
    <w:rsid w:val="000D7000"/>
    <w:rsid w:val="000D7674"/>
    <w:rsid w:val="000E24A5"/>
    <w:rsid w:val="000E46ED"/>
    <w:rsid w:val="000E5662"/>
    <w:rsid w:val="000E6F4D"/>
    <w:rsid w:val="000F0848"/>
    <w:rsid w:val="000F2294"/>
    <w:rsid w:val="000F4898"/>
    <w:rsid w:val="000F4899"/>
    <w:rsid w:val="000F49F9"/>
    <w:rsid w:val="000F7F8D"/>
    <w:rsid w:val="001015FB"/>
    <w:rsid w:val="001024E4"/>
    <w:rsid w:val="001026C7"/>
    <w:rsid w:val="00102A64"/>
    <w:rsid w:val="00103796"/>
    <w:rsid w:val="00105C2F"/>
    <w:rsid w:val="00107231"/>
    <w:rsid w:val="00107CC8"/>
    <w:rsid w:val="00107FE7"/>
    <w:rsid w:val="001102C6"/>
    <w:rsid w:val="00110AB8"/>
    <w:rsid w:val="00112189"/>
    <w:rsid w:val="00113340"/>
    <w:rsid w:val="00115AC6"/>
    <w:rsid w:val="00117AA9"/>
    <w:rsid w:val="00123156"/>
    <w:rsid w:val="00131374"/>
    <w:rsid w:val="00132CDE"/>
    <w:rsid w:val="001356D1"/>
    <w:rsid w:val="001431B2"/>
    <w:rsid w:val="001472DF"/>
    <w:rsid w:val="0015289A"/>
    <w:rsid w:val="001536C0"/>
    <w:rsid w:val="0015473B"/>
    <w:rsid w:val="00155054"/>
    <w:rsid w:val="001563C1"/>
    <w:rsid w:val="00160658"/>
    <w:rsid w:val="00161898"/>
    <w:rsid w:val="00164E79"/>
    <w:rsid w:val="001659B0"/>
    <w:rsid w:val="00165F15"/>
    <w:rsid w:val="00166373"/>
    <w:rsid w:val="001668B5"/>
    <w:rsid w:val="001677CD"/>
    <w:rsid w:val="00170007"/>
    <w:rsid w:val="00171964"/>
    <w:rsid w:val="00180A7D"/>
    <w:rsid w:val="001813A6"/>
    <w:rsid w:val="00182F6C"/>
    <w:rsid w:val="00185178"/>
    <w:rsid w:val="001863B5"/>
    <w:rsid w:val="00192ACA"/>
    <w:rsid w:val="00194251"/>
    <w:rsid w:val="001A0205"/>
    <w:rsid w:val="001A375E"/>
    <w:rsid w:val="001A3E0E"/>
    <w:rsid w:val="001A53F6"/>
    <w:rsid w:val="001A653E"/>
    <w:rsid w:val="001A7563"/>
    <w:rsid w:val="001B234E"/>
    <w:rsid w:val="001B2ED7"/>
    <w:rsid w:val="001B3707"/>
    <w:rsid w:val="001B3CC7"/>
    <w:rsid w:val="001B55C1"/>
    <w:rsid w:val="001B7283"/>
    <w:rsid w:val="001C2A9B"/>
    <w:rsid w:val="001C49BC"/>
    <w:rsid w:val="001C5A2D"/>
    <w:rsid w:val="001C7887"/>
    <w:rsid w:val="001C7EE2"/>
    <w:rsid w:val="001D1671"/>
    <w:rsid w:val="001D5562"/>
    <w:rsid w:val="001D62A7"/>
    <w:rsid w:val="001D65C2"/>
    <w:rsid w:val="001E12E9"/>
    <w:rsid w:val="001E14EC"/>
    <w:rsid w:val="001E155F"/>
    <w:rsid w:val="001E18AF"/>
    <w:rsid w:val="001E26E2"/>
    <w:rsid w:val="001E4451"/>
    <w:rsid w:val="001E5937"/>
    <w:rsid w:val="001F12E0"/>
    <w:rsid w:val="001F2393"/>
    <w:rsid w:val="001F5AC8"/>
    <w:rsid w:val="001F7457"/>
    <w:rsid w:val="00200B22"/>
    <w:rsid w:val="0020176F"/>
    <w:rsid w:val="0020798E"/>
    <w:rsid w:val="00211795"/>
    <w:rsid w:val="002126D4"/>
    <w:rsid w:val="00212803"/>
    <w:rsid w:val="002154F4"/>
    <w:rsid w:val="002172B5"/>
    <w:rsid w:val="00222C11"/>
    <w:rsid w:val="00224362"/>
    <w:rsid w:val="002272EA"/>
    <w:rsid w:val="00236256"/>
    <w:rsid w:val="00251950"/>
    <w:rsid w:val="00252CA4"/>
    <w:rsid w:val="002543C8"/>
    <w:rsid w:val="00260A38"/>
    <w:rsid w:val="00262BEA"/>
    <w:rsid w:val="00265AB1"/>
    <w:rsid w:val="00267523"/>
    <w:rsid w:val="00267582"/>
    <w:rsid w:val="0027009C"/>
    <w:rsid w:val="002706E2"/>
    <w:rsid w:val="002714F0"/>
    <w:rsid w:val="002725C7"/>
    <w:rsid w:val="0027324D"/>
    <w:rsid w:val="00273C75"/>
    <w:rsid w:val="00280FB1"/>
    <w:rsid w:val="002831F6"/>
    <w:rsid w:val="0028488E"/>
    <w:rsid w:val="0028714E"/>
    <w:rsid w:val="00290097"/>
    <w:rsid w:val="00292FF7"/>
    <w:rsid w:val="002936E0"/>
    <w:rsid w:val="00293D7B"/>
    <w:rsid w:val="002973B3"/>
    <w:rsid w:val="002A14DE"/>
    <w:rsid w:val="002A2821"/>
    <w:rsid w:val="002A392A"/>
    <w:rsid w:val="002A4712"/>
    <w:rsid w:val="002A6713"/>
    <w:rsid w:val="002A6801"/>
    <w:rsid w:val="002A731E"/>
    <w:rsid w:val="002B0178"/>
    <w:rsid w:val="002B518A"/>
    <w:rsid w:val="002B628F"/>
    <w:rsid w:val="002B73FF"/>
    <w:rsid w:val="002C26BD"/>
    <w:rsid w:val="002C2DAD"/>
    <w:rsid w:val="002C365D"/>
    <w:rsid w:val="002D6503"/>
    <w:rsid w:val="002E080C"/>
    <w:rsid w:val="002E1ED2"/>
    <w:rsid w:val="002E3492"/>
    <w:rsid w:val="002E37F3"/>
    <w:rsid w:val="002F29D3"/>
    <w:rsid w:val="002F3F54"/>
    <w:rsid w:val="002F4333"/>
    <w:rsid w:val="002F6680"/>
    <w:rsid w:val="0030032F"/>
    <w:rsid w:val="00301A51"/>
    <w:rsid w:val="003045CF"/>
    <w:rsid w:val="003075F4"/>
    <w:rsid w:val="003122E1"/>
    <w:rsid w:val="0031679A"/>
    <w:rsid w:val="00317D6C"/>
    <w:rsid w:val="00321BF5"/>
    <w:rsid w:val="00330B22"/>
    <w:rsid w:val="00331142"/>
    <w:rsid w:val="003323A5"/>
    <w:rsid w:val="00332DB9"/>
    <w:rsid w:val="003356D3"/>
    <w:rsid w:val="00336557"/>
    <w:rsid w:val="003379B6"/>
    <w:rsid w:val="003403B8"/>
    <w:rsid w:val="00341704"/>
    <w:rsid w:val="00342301"/>
    <w:rsid w:val="00343FE5"/>
    <w:rsid w:val="003517AF"/>
    <w:rsid w:val="003520D4"/>
    <w:rsid w:val="00352A70"/>
    <w:rsid w:val="0035594A"/>
    <w:rsid w:val="00357F2F"/>
    <w:rsid w:val="00360CF3"/>
    <w:rsid w:val="00361E21"/>
    <w:rsid w:val="003621EA"/>
    <w:rsid w:val="00362AE7"/>
    <w:rsid w:val="00364A15"/>
    <w:rsid w:val="00370BEB"/>
    <w:rsid w:val="0037147C"/>
    <w:rsid w:val="003724E2"/>
    <w:rsid w:val="00372E15"/>
    <w:rsid w:val="003734EB"/>
    <w:rsid w:val="00374397"/>
    <w:rsid w:val="00377A80"/>
    <w:rsid w:val="00380B53"/>
    <w:rsid w:val="00381EDD"/>
    <w:rsid w:val="00383E62"/>
    <w:rsid w:val="0038493F"/>
    <w:rsid w:val="00390366"/>
    <w:rsid w:val="00393BDD"/>
    <w:rsid w:val="003972F3"/>
    <w:rsid w:val="003A2CBC"/>
    <w:rsid w:val="003A2E68"/>
    <w:rsid w:val="003A5279"/>
    <w:rsid w:val="003A71E1"/>
    <w:rsid w:val="003A7E14"/>
    <w:rsid w:val="003B00A8"/>
    <w:rsid w:val="003B305D"/>
    <w:rsid w:val="003C0632"/>
    <w:rsid w:val="003C28E8"/>
    <w:rsid w:val="003C7393"/>
    <w:rsid w:val="003D2A06"/>
    <w:rsid w:val="003D3F30"/>
    <w:rsid w:val="003D4194"/>
    <w:rsid w:val="003D5047"/>
    <w:rsid w:val="003D5C0F"/>
    <w:rsid w:val="003D6652"/>
    <w:rsid w:val="003D6B3B"/>
    <w:rsid w:val="003E32B6"/>
    <w:rsid w:val="003E694E"/>
    <w:rsid w:val="003F2B92"/>
    <w:rsid w:val="003F7301"/>
    <w:rsid w:val="003F7403"/>
    <w:rsid w:val="00400BE7"/>
    <w:rsid w:val="00400D9C"/>
    <w:rsid w:val="00401161"/>
    <w:rsid w:val="0040200B"/>
    <w:rsid w:val="0040268D"/>
    <w:rsid w:val="00405A02"/>
    <w:rsid w:val="00410810"/>
    <w:rsid w:val="00411C2E"/>
    <w:rsid w:val="00412080"/>
    <w:rsid w:val="004124F8"/>
    <w:rsid w:val="00413815"/>
    <w:rsid w:val="00416393"/>
    <w:rsid w:val="00417788"/>
    <w:rsid w:val="00420929"/>
    <w:rsid w:val="004225BC"/>
    <w:rsid w:val="00424A59"/>
    <w:rsid w:val="004264C8"/>
    <w:rsid w:val="00427F0B"/>
    <w:rsid w:val="00430D38"/>
    <w:rsid w:val="004316E0"/>
    <w:rsid w:val="00431757"/>
    <w:rsid w:val="00433472"/>
    <w:rsid w:val="004334AC"/>
    <w:rsid w:val="004449EF"/>
    <w:rsid w:val="00450F07"/>
    <w:rsid w:val="004541DB"/>
    <w:rsid w:val="00454FF3"/>
    <w:rsid w:val="004550BE"/>
    <w:rsid w:val="00457728"/>
    <w:rsid w:val="004627F0"/>
    <w:rsid w:val="00462CCF"/>
    <w:rsid w:val="0046645C"/>
    <w:rsid w:val="00466DF9"/>
    <w:rsid w:val="00467C44"/>
    <w:rsid w:val="00476FF9"/>
    <w:rsid w:val="00481E07"/>
    <w:rsid w:val="0048264B"/>
    <w:rsid w:val="00482AD5"/>
    <w:rsid w:val="00485E38"/>
    <w:rsid w:val="0048735B"/>
    <w:rsid w:val="00487C2D"/>
    <w:rsid w:val="004920FE"/>
    <w:rsid w:val="004939E9"/>
    <w:rsid w:val="004946E3"/>
    <w:rsid w:val="00496C1B"/>
    <w:rsid w:val="0049756F"/>
    <w:rsid w:val="0049768A"/>
    <w:rsid w:val="004A0C6B"/>
    <w:rsid w:val="004A0FF2"/>
    <w:rsid w:val="004A6496"/>
    <w:rsid w:val="004A7D23"/>
    <w:rsid w:val="004B12FF"/>
    <w:rsid w:val="004B775D"/>
    <w:rsid w:val="004C009C"/>
    <w:rsid w:val="004C16AB"/>
    <w:rsid w:val="004C1950"/>
    <w:rsid w:val="004C4535"/>
    <w:rsid w:val="004C66F5"/>
    <w:rsid w:val="004C697D"/>
    <w:rsid w:val="004C7E9B"/>
    <w:rsid w:val="004D39D7"/>
    <w:rsid w:val="004D3AA0"/>
    <w:rsid w:val="004D6FFC"/>
    <w:rsid w:val="004E2911"/>
    <w:rsid w:val="004E3507"/>
    <w:rsid w:val="004E5F3E"/>
    <w:rsid w:val="004E63E9"/>
    <w:rsid w:val="004E7401"/>
    <w:rsid w:val="004F08E8"/>
    <w:rsid w:val="004F1DF4"/>
    <w:rsid w:val="004F315E"/>
    <w:rsid w:val="004F4714"/>
    <w:rsid w:val="004F6856"/>
    <w:rsid w:val="004F747E"/>
    <w:rsid w:val="005005A6"/>
    <w:rsid w:val="00500E7D"/>
    <w:rsid w:val="0050160C"/>
    <w:rsid w:val="00502A87"/>
    <w:rsid w:val="00504039"/>
    <w:rsid w:val="0050465F"/>
    <w:rsid w:val="005050B8"/>
    <w:rsid w:val="00506739"/>
    <w:rsid w:val="005117FC"/>
    <w:rsid w:val="00512776"/>
    <w:rsid w:val="00513929"/>
    <w:rsid w:val="0051528C"/>
    <w:rsid w:val="005160E1"/>
    <w:rsid w:val="00516DB9"/>
    <w:rsid w:val="0052268D"/>
    <w:rsid w:val="005254EA"/>
    <w:rsid w:val="005255D9"/>
    <w:rsid w:val="005261C8"/>
    <w:rsid w:val="005264F5"/>
    <w:rsid w:val="00530D64"/>
    <w:rsid w:val="00531043"/>
    <w:rsid w:val="00540252"/>
    <w:rsid w:val="00541F81"/>
    <w:rsid w:val="00542E7B"/>
    <w:rsid w:val="0054655E"/>
    <w:rsid w:val="005503D6"/>
    <w:rsid w:val="005521E7"/>
    <w:rsid w:val="00553E4D"/>
    <w:rsid w:val="005609D5"/>
    <w:rsid w:val="00560C6F"/>
    <w:rsid w:val="0056427A"/>
    <w:rsid w:val="005650BD"/>
    <w:rsid w:val="00565993"/>
    <w:rsid w:val="00565BAF"/>
    <w:rsid w:val="00571B16"/>
    <w:rsid w:val="00571BD1"/>
    <w:rsid w:val="005741E4"/>
    <w:rsid w:val="00577068"/>
    <w:rsid w:val="00581738"/>
    <w:rsid w:val="005820E1"/>
    <w:rsid w:val="00582A7C"/>
    <w:rsid w:val="00583049"/>
    <w:rsid w:val="005841D5"/>
    <w:rsid w:val="005A1796"/>
    <w:rsid w:val="005A5662"/>
    <w:rsid w:val="005A56D3"/>
    <w:rsid w:val="005B1EAA"/>
    <w:rsid w:val="005B34F7"/>
    <w:rsid w:val="005B6D33"/>
    <w:rsid w:val="005B7285"/>
    <w:rsid w:val="005C098A"/>
    <w:rsid w:val="005C0EA0"/>
    <w:rsid w:val="005C17CC"/>
    <w:rsid w:val="005C1C04"/>
    <w:rsid w:val="005C5F20"/>
    <w:rsid w:val="005C610E"/>
    <w:rsid w:val="005D13AA"/>
    <w:rsid w:val="005D3434"/>
    <w:rsid w:val="005D4760"/>
    <w:rsid w:val="005D65B6"/>
    <w:rsid w:val="005D68AD"/>
    <w:rsid w:val="005D74AF"/>
    <w:rsid w:val="005E3DD9"/>
    <w:rsid w:val="005E4499"/>
    <w:rsid w:val="005F0C3F"/>
    <w:rsid w:val="005F1D83"/>
    <w:rsid w:val="005F2794"/>
    <w:rsid w:val="005F3C66"/>
    <w:rsid w:val="005F5C0A"/>
    <w:rsid w:val="005F5E17"/>
    <w:rsid w:val="005F6758"/>
    <w:rsid w:val="005F6BCD"/>
    <w:rsid w:val="006015FE"/>
    <w:rsid w:val="00602CD7"/>
    <w:rsid w:val="00603414"/>
    <w:rsid w:val="00604029"/>
    <w:rsid w:val="00607A9A"/>
    <w:rsid w:val="00611CC0"/>
    <w:rsid w:val="00612159"/>
    <w:rsid w:val="006133F1"/>
    <w:rsid w:val="00615314"/>
    <w:rsid w:val="00626DD2"/>
    <w:rsid w:val="006310C6"/>
    <w:rsid w:val="00632645"/>
    <w:rsid w:val="00632821"/>
    <w:rsid w:val="00634507"/>
    <w:rsid w:val="006368D4"/>
    <w:rsid w:val="00636DAC"/>
    <w:rsid w:val="006434FB"/>
    <w:rsid w:val="00647565"/>
    <w:rsid w:val="0064762E"/>
    <w:rsid w:val="00647761"/>
    <w:rsid w:val="00653E6C"/>
    <w:rsid w:val="00655BD2"/>
    <w:rsid w:val="0065794A"/>
    <w:rsid w:val="00660121"/>
    <w:rsid w:val="00661078"/>
    <w:rsid w:val="006618E8"/>
    <w:rsid w:val="00661AA5"/>
    <w:rsid w:val="0066392C"/>
    <w:rsid w:val="006651A1"/>
    <w:rsid w:val="00666661"/>
    <w:rsid w:val="0066770C"/>
    <w:rsid w:val="00667D82"/>
    <w:rsid w:val="00670104"/>
    <w:rsid w:val="00671A2F"/>
    <w:rsid w:val="006745DD"/>
    <w:rsid w:val="00675CAE"/>
    <w:rsid w:val="00681829"/>
    <w:rsid w:val="00681D93"/>
    <w:rsid w:val="006869C4"/>
    <w:rsid w:val="0069536D"/>
    <w:rsid w:val="00695B25"/>
    <w:rsid w:val="00695B60"/>
    <w:rsid w:val="00695C94"/>
    <w:rsid w:val="006A00EA"/>
    <w:rsid w:val="006A1E3A"/>
    <w:rsid w:val="006A3477"/>
    <w:rsid w:val="006B237B"/>
    <w:rsid w:val="006B3A23"/>
    <w:rsid w:val="006B5B81"/>
    <w:rsid w:val="006B5C1A"/>
    <w:rsid w:val="006B6293"/>
    <w:rsid w:val="006C21BF"/>
    <w:rsid w:val="006C2B8D"/>
    <w:rsid w:val="006C3C62"/>
    <w:rsid w:val="006C6D6A"/>
    <w:rsid w:val="006D0D78"/>
    <w:rsid w:val="006D5723"/>
    <w:rsid w:val="006D604A"/>
    <w:rsid w:val="006D6C7D"/>
    <w:rsid w:val="006D72C1"/>
    <w:rsid w:val="006E0DD7"/>
    <w:rsid w:val="006E15C7"/>
    <w:rsid w:val="006E60CF"/>
    <w:rsid w:val="006E69BA"/>
    <w:rsid w:val="006F11E3"/>
    <w:rsid w:val="006F40F2"/>
    <w:rsid w:val="006F4130"/>
    <w:rsid w:val="006F51C8"/>
    <w:rsid w:val="00703DF7"/>
    <w:rsid w:val="00703FC8"/>
    <w:rsid w:val="00705242"/>
    <w:rsid w:val="00706FB9"/>
    <w:rsid w:val="00707FDC"/>
    <w:rsid w:val="0071067C"/>
    <w:rsid w:val="00711D69"/>
    <w:rsid w:val="00714138"/>
    <w:rsid w:val="007155AE"/>
    <w:rsid w:val="00716B3B"/>
    <w:rsid w:val="00716ED7"/>
    <w:rsid w:val="0072078E"/>
    <w:rsid w:val="0072374F"/>
    <w:rsid w:val="007261F0"/>
    <w:rsid w:val="0073190E"/>
    <w:rsid w:val="00731E25"/>
    <w:rsid w:val="00733F42"/>
    <w:rsid w:val="0073611E"/>
    <w:rsid w:val="00742149"/>
    <w:rsid w:val="007467CE"/>
    <w:rsid w:val="007502F1"/>
    <w:rsid w:val="00750F0B"/>
    <w:rsid w:val="00750FE8"/>
    <w:rsid w:val="00753042"/>
    <w:rsid w:val="00756ED8"/>
    <w:rsid w:val="00762EC5"/>
    <w:rsid w:val="0076592F"/>
    <w:rsid w:val="00770CB2"/>
    <w:rsid w:val="00772604"/>
    <w:rsid w:val="00776529"/>
    <w:rsid w:val="00782C90"/>
    <w:rsid w:val="00783BF7"/>
    <w:rsid w:val="00786A76"/>
    <w:rsid w:val="0079040C"/>
    <w:rsid w:val="0079044E"/>
    <w:rsid w:val="007954FC"/>
    <w:rsid w:val="00795857"/>
    <w:rsid w:val="00795C24"/>
    <w:rsid w:val="00796275"/>
    <w:rsid w:val="00796590"/>
    <w:rsid w:val="007A2016"/>
    <w:rsid w:val="007A23E1"/>
    <w:rsid w:val="007A29F4"/>
    <w:rsid w:val="007A4245"/>
    <w:rsid w:val="007A6932"/>
    <w:rsid w:val="007A6BC0"/>
    <w:rsid w:val="007A74FE"/>
    <w:rsid w:val="007A7FD8"/>
    <w:rsid w:val="007B168C"/>
    <w:rsid w:val="007B19CF"/>
    <w:rsid w:val="007B3C2B"/>
    <w:rsid w:val="007B4E93"/>
    <w:rsid w:val="007B5068"/>
    <w:rsid w:val="007B59F4"/>
    <w:rsid w:val="007B63EA"/>
    <w:rsid w:val="007B6566"/>
    <w:rsid w:val="007C13E9"/>
    <w:rsid w:val="007C2472"/>
    <w:rsid w:val="007C2666"/>
    <w:rsid w:val="007C4D1B"/>
    <w:rsid w:val="007C743D"/>
    <w:rsid w:val="007C77E8"/>
    <w:rsid w:val="007D10A7"/>
    <w:rsid w:val="007E2C9E"/>
    <w:rsid w:val="007E3D3A"/>
    <w:rsid w:val="007E3F07"/>
    <w:rsid w:val="007E5596"/>
    <w:rsid w:val="007E57A5"/>
    <w:rsid w:val="007E626E"/>
    <w:rsid w:val="007E7F80"/>
    <w:rsid w:val="007E7F9F"/>
    <w:rsid w:val="007F099E"/>
    <w:rsid w:val="007F18D4"/>
    <w:rsid w:val="007F5072"/>
    <w:rsid w:val="007F6200"/>
    <w:rsid w:val="0080134A"/>
    <w:rsid w:val="00802BAF"/>
    <w:rsid w:val="00806305"/>
    <w:rsid w:val="00807E5D"/>
    <w:rsid w:val="00811B0B"/>
    <w:rsid w:val="00815638"/>
    <w:rsid w:val="00817242"/>
    <w:rsid w:val="00820115"/>
    <w:rsid w:val="00820275"/>
    <w:rsid w:val="0082309F"/>
    <w:rsid w:val="0082319E"/>
    <w:rsid w:val="00824617"/>
    <w:rsid w:val="00826000"/>
    <w:rsid w:val="00827F12"/>
    <w:rsid w:val="00831A70"/>
    <w:rsid w:val="008331AD"/>
    <w:rsid w:val="0083484B"/>
    <w:rsid w:val="00836256"/>
    <w:rsid w:val="008368CD"/>
    <w:rsid w:val="00836E24"/>
    <w:rsid w:val="0083706A"/>
    <w:rsid w:val="008402B3"/>
    <w:rsid w:val="00842470"/>
    <w:rsid w:val="008424AA"/>
    <w:rsid w:val="00843E38"/>
    <w:rsid w:val="0084662A"/>
    <w:rsid w:val="00846E62"/>
    <w:rsid w:val="00850FF5"/>
    <w:rsid w:val="00851E76"/>
    <w:rsid w:val="008626A0"/>
    <w:rsid w:val="00864CBC"/>
    <w:rsid w:val="008720DE"/>
    <w:rsid w:val="008743A0"/>
    <w:rsid w:val="00876698"/>
    <w:rsid w:val="0088115E"/>
    <w:rsid w:val="0088301B"/>
    <w:rsid w:val="00892122"/>
    <w:rsid w:val="00896CDF"/>
    <w:rsid w:val="008A1C22"/>
    <w:rsid w:val="008A5B9F"/>
    <w:rsid w:val="008B0596"/>
    <w:rsid w:val="008B2473"/>
    <w:rsid w:val="008B4D41"/>
    <w:rsid w:val="008B576F"/>
    <w:rsid w:val="008C15B5"/>
    <w:rsid w:val="008C4D0B"/>
    <w:rsid w:val="008C6A46"/>
    <w:rsid w:val="008C78DA"/>
    <w:rsid w:val="008C7E5E"/>
    <w:rsid w:val="008D0416"/>
    <w:rsid w:val="008D1BFD"/>
    <w:rsid w:val="008D5384"/>
    <w:rsid w:val="008D60A9"/>
    <w:rsid w:val="008E075B"/>
    <w:rsid w:val="008E2D4E"/>
    <w:rsid w:val="008E39CC"/>
    <w:rsid w:val="008E4E62"/>
    <w:rsid w:val="008E6277"/>
    <w:rsid w:val="008E663C"/>
    <w:rsid w:val="008F07C0"/>
    <w:rsid w:val="008F10AD"/>
    <w:rsid w:val="008F1C1D"/>
    <w:rsid w:val="008F24B2"/>
    <w:rsid w:val="008F2E9C"/>
    <w:rsid w:val="008F3699"/>
    <w:rsid w:val="008F36C6"/>
    <w:rsid w:val="008F3BD6"/>
    <w:rsid w:val="008F754A"/>
    <w:rsid w:val="008F7805"/>
    <w:rsid w:val="00903BAF"/>
    <w:rsid w:val="00916E28"/>
    <w:rsid w:val="00920751"/>
    <w:rsid w:val="00921B1B"/>
    <w:rsid w:val="00923995"/>
    <w:rsid w:val="00927068"/>
    <w:rsid w:val="0093226E"/>
    <w:rsid w:val="00935811"/>
    <w:rsid w:val="009407AA"/>
    <w:rsid w:val="009423FD"/>
    <w:rsid w:val="00946FDE"/>
    <w:rsid w:val="009512A4"/>
    <w:rsid w:val="00955A21"/>
    <w:rsid w:val="00960B1D"/>
    <w:rsid w:val="00971A99"/>
    <w:rsid w:val="00976C84"/>
    <w:rsid w:val="00977737"/>
    <w:rsid w:val="00983830"/>
    <w:rsid w:val="00985BFC"/>
    <w:rsid w:val="009914B0"/>
    <w:rsid w:val="00995F8D"/>
    <w:rsid w:val="009965EC"/>
    <w:rsid w:val="00996E05"/>
    <w:rsid w:val="009A0575"/>
    <w:rsid w:val="009A17A3"/>
    <w:rsid w:val="009B1ECC"/>
    <w:rsid w:val="009B4FC3"/>
    <w:rsid w:val="009B5595"/>
    <w:rsid w:val="009C29AE"/>
    <w:rsid w:val="009C4EC6"/>
    <w:rsid w:val="009C573F"/>
    <w:rsid w:val="009D051B"/>
    <w:rsid w:val="009D6276"/>
    <w:rsid w:val="009D7117"/>
    <w:rsid w:val="009E0276"/>
    <w:rsid w:val="009E0424"/>
    <w:rsid w:val="009E640A"/>
    <w:rsid w:val="009F1E6C"/>
    <w:rsid w:val="009F2A2C"/>
    <w:rsid w:val="009F2F65"/>
    <w:rsid w:val="009F4EE5"/>
    <w:rsid w:val="00A034C0"/>
    <w:rsid w:val="00A05FBA"/>
    <w:rsid w:val="00A110E6"/>
    <w:rsid w:val="00A117FC"/>
    <w:rsid w:val="00A1207B"/>
    <w:rsid w:val="00A141CB"/>
    <w:rsid w:val="00A1443A"/>
    <w:rsid w:val="00A15D29"/>
    <w:rsid w:val="00A20DB2"/>
    <w:rsid w:val="00A26490"/>
    <w:rsid w:val="00A26DEF"/>
    <w:rsid w:val="00A3034C"/>
    <w:rsid w:val="00A343D1"/>
    <w:rsid w:val="00A3451B"/>
    <w:rsid w:val="00A368E8"/>
    <w:rsid w:val="00A423F2"/>
    <w:rsid w:val="00A45ADA"/>
    <w:rsid w:val="00A45B86"/>
    <w:rsid w:val="00A470A3"/>
    <w:rsid w:val="00A50E0B"/>
    <w:rsid w:val="00A5548B"/>
    <w:rsid w:val="00A611A9"/>
    <w:rsid w:val="00A63367"/>
    <w:rsid w:val="00A64F1E"/>
    <w:rsid w:val="00A67C87"/>
    <w:rsid w:val="00A724F7"/>
    <w:rsid w:val="00A73FD2"/>
    <w:rsid w:val="00A77381"/>
    <w:rsid w:val="00A7791B"/>
    <w:rsid w:val="00A77A6C"/>
    <w:rsid w:val="00A802BE"/>
    <w:rsid w:val="00A80CF1"/>
    <w:rsid w:val="00A828BA"/>
    <w:rsid w:val="00A83C96"/>
    <w:rsid w:val="00A83E5C"/>
    <w:rsid w:val="00A85250"/>
    <w:rsid w:val="00A85BC6"/>
    <w:rsid w:val="00A9120E"/>
    <w:rsid w:val="00A9546D"/>
    <w:rsid w:val="00A95ECC"/>
    <w:rsid w:val="00AA0F82"/>
    <w:rsid w:val="00AA1503"/>
    <w:rsid w:val="00AA163B"/>
    <w:rsid w:val="00AA3381"/>
    <w:rsid w:val="00AB0D01"/>
    <w:rsid w:val="00AB367B"/>
    <w:rsid w:val="00AB53BD"/>
    <w:rsid w:val="00AB60F1"/>
    <w:rsid w:val="00AB66E7"/>
    <w:rsid w:val="00AC01E7"/>
    <w:rsid w:val="00AC13E5"/>
    <w:rsid w:val="00AC1AB9"/>
    <w:rsid w:val="00AC542F"/>
    <w:rsid w:val="00AD0868"/>
    <w:rsid w:val="00AD0D71"/>
    <w:rsid w:val="00AD1D8C"/>
    <w:rsid w:val="00AD5D46"/>
    <w:rsid w:val="00AD5E57"/>
    <w:rsid w:val="00AD6E9D"/>
    <w:rsid w:val="00AE2011"/>
    <w:rsid w:val="00AE299E"/>
    <w:rsid w:val="00AE603C"/>
    <w:rsid w:val="00AE7F45"/>
    <w:rsid w:val="00AF0ACB"/>
    <w:rsid w:val="00AF1D09"/>
    <w:rsid w:val="00AF28B7"/>
    <w:rsid w:val="00AF7930"/>
    <w:rsid w:val="00B00F11"/>
    <w:rsid w:val="00B0283F"/>
    <w:rsid w:val="00B02A2B"/>
    <w:rsid w:val="00B06765"/>
    <w:rsid w:val="00B07201"/>
    <w:rsid w:val="00B10EB0"/>
    <w:rsid w:val="00B113C2"/>
    <w:rsid w:val="00B117F5"/>
    <w:rsid w:val="00B13367"/>
    <w:rsid w:val="00B1451B"/>
    <w:rsid w:val="00B157A5"/>
    <w:rsid w:val="00B16664"/>
    <w:rsid w:val="00B17F4D"/>
    <w:rsid w:val="00B233FB"/>
    <w:rsid w:val="00B27DCA"/>
    <w:rsid w:val="00B32A49"/>
    <w:rsid w:val="00B340F6"/>
    <w:rsid w:val="00B36037"/>
    <w:rsid w:val="00B37C6E"/>
    <w:rsid w:val="00B37ED5"/>
    <w:rsid w:val="00B402AA"/>
    <w:rsid w:val="00B43A1A"/>
    <w:rsid w:val="00B52033"/>
    <w:rsid w:val="00B564CF"/>
    <w:rsid w:val="00B57961"/>
    <w:rsid w:val="00B63FEA"/>
    <w:rsid w:val="00B643DD"/>
    <w:rsid w:val="00B6445B"/>
    <w:rsid w:val="00B656AB"/>
    <w:rsid w:val="00B74F93"/>
    <w:rsid w:val="00B75BEB"/>
    <w:rsid w:val="00B76EC8"/>
    <w:rsid w:val="00B8204A"/>
    <w:rsid w:val="00B82D71"/>
    <w:rsid w:val="00B8451B"/>
    <w:rsid w:val="00B92871"/>
    <w:rsid w:val="00B93A95"/>
    <w:rsid w:val="00B961EA"/>
    <w:rsid w:val="00BA0236"/>
    <w:rsid w:val="00BA2B7D"/>
    <w:rsid w:val="00BA3148"/>
    <w:rsid w:val="00BA68F6"/>
    <w:rsid w:val="00BA69D3"/>
    <w:rsid w:val="00BA7678"/>
    <w:rsid w:val="00BB0885"/>
    <w:rsid w:val="00BB0C59"/>
    <w:rsid w:val="00BB15FD"/>
    <w:rsid w:val="00BB3E01"/>
    <w:rsid w:val="00BB5909"/>
    <w:rsid w:val="00BB5DA1"/>
    <w:rsid w:val="00BB5E5A"/>
    <w:rsid w:val="00BB718D"/>
    <w:rsid w:val="00BC10BA"/>
    <w:rsid w:val="00BC4F57"/>
    <w:rsid w:val="00BC6603"/>
    <w:rsid w:val="00BC743D"/>
    <w:rsid w:val="00BD6DCD"/>
    <w:rsid w:val="00BE035F"/>
    <w:rsid w:val="00BE30BC"/>
    <w:rsid w:val="00BE44F1"/>
    <w:rsid w:val="00BE4589"/>
    <w:rsid w:val="00BE4880"/>
    <w:rsid w:val="00BE5DA6"/>
    <w:rsid w:val="00BE7A13"/>
    <w:rsid w:val="00BF0DB3"/>
    <w:rsid w:val="00BF0E8D"/>
    <w:rsid w:val="00BF107C"/>
    <w:rsid w:val="00BF64FA"/>
    <w:rsid w:val="00BF74C9"/>
    <w:rsid w:val="00BF7C27"/>
    <w:rsid w:val="00C00E93"/>
    <w:rsid w:val="00C01B6C"/>
    <w:rsid w:val="00C024D7"/>
    <w:rsid w:val="00C03487"/>
    <w:rsid w:val="00C04ED7"/>
    <w:rsid w:val="00C04F45"/>
    <w:rsid w:val="00C057D4"/>
    <w:rsid w:val="00C134EE"/>
    <w:rsid w:val="00C23924"/>
    <w:rsid w:val="00C31690"/>
    <w:rsid w:val="00C31924"/>
    <w:rsid w:val="00C33F1A"/>
    <w:rsid w:val="00C342D4"/>
    <w:rsid w:val="00C35388"/>
    <w:rsid w:val="00C36F3E"/>
    <w:rsid w:val="00C37173"/>
    <w:rsid w:val="00C3740A"/>
    <w:rsid w:val="00C40EBC"/>
    <w:rsid w:val="00C474C0"/>
    <w:rsid w:val="00C47F4F"/>
    <w:rsid w:val="00C50DD0"/>
    <w:rsid w:val="00C5255E"/>
    <w:rsid w:val="00C5495D"/>
    <w:rsid w:val="00C63406"/>
    <w:rsid w:val="00C657AA"/>
    <w:rsid w:val="00C709D8"/>
    <w:rsid w:val="00C7333F"/>
    <w:rsid w:val="00C73BBB"/>
    <w:rsid w:val="00C75334"/>
    <w:rsid w:val="00C754F2"/>
    <w:rsid w:val="00C80403"/>
    <w:rsid w:val="00C80989"/>
    <w:rsid w:val="00C85635"/>
    <w:rsid w:val="00C926F4"/>
    <w:rsid w:val="00C929CD"/>
    <w:rsid w:val="00C92B2A"/>
    <w:rsid w:val="00C93A0B"/>
    <w:rsid w:val="00C97C20"/>
    <w:rsid w:val="00CA4D5A"/>
    <w:rsid w:val="00CB065B"/>
    <w:rsid w:val="00CB3F17"/>
    <w:rsid w:val="00CB61D2"/>
    <w:rsid w:val="00CB6E14"/>
    <w:rsid w:val="00CC136C"/>
    <w:rsid w:val="00CC3361"/>
    <w:rsid w:val="00CC458C"/>
    <w:rsid w:val="00CC6597"/>
    <w:rsid w:val="00CC7FC4"/>
    <w:rsid w:val="00CD1E30"/>
    <w:rsid w:val="00CD2E26"/>
    <w:rsid w:val="00CD47BE"/>
    <w:rsid w:val="00CD6741"/>
    <w:rsid w:val="00CD7A8B"/>
    <w:rsid w:val="00CE3C8A"/>
    <w:rsid w:val="00CE59C5"/>
    <w:rsid w:val="00CE6F1D"/>
    <w:rsid w:val="00CE71D3"/>
    <w:rsid w:val="00CE77B0"/>
    <w:rsid w:val="00CF2F1D"/>
    <w:rsid w:val="00CF6D33"/>
    <w:rsid w:val="00CF7145"/>
    <w:rsid w:val="00D017F0"/>
    <w:rsid w:val="00D022AC"/>
    <w:rsid w:val="00D026FA"/>
    <w:rsid w:val="00D05D26"/>
    <w:rsid w:val="00D1056E"/>
    <w:rsid w:val="00D11072"/>
    <w:rsid w:val="00D134B6"/>
    <w:rsid w:val="00D146D9"/>
    <w:rsid w:val="00D154E2"/>
    <w:rsid w:val="00D15D50"/>
    <w:rsid w:val="00D179DB"/>
    <w:rsid w:val="00D268CF"/>
    <w:rsid w:val="00D31ADB"/>
    <w:rsid w:val="00D31FB4"/>
    <w:rsid w:val="00D321D7"/>
    <w:rsid w:val="00D32BFB"/>
    <w:rsid w:val="00D32CAE"/>
    <w:rsid w:val="00D351E5"/>
    <w:rsid w:val="00D3732E"/>
    <w:rsid w:val="00D37D9F"/>
    <w:rsid w:val="00D40F0A"/>
    <w:rsid w:val="00D41842"/>
    <w:rsid w:val="00D41A1E"/>
    <w:rsid w:val="00D44071"/>
    <w:rsid w:val="00D50313"/>
    <w:rsid w:val="00D529E7"/>
    <w:rsid w:val="00D550ED"/>
    <w:rsid w:val="00D57EB5"/>
    <w:rsid w:val="00D63962"/>
    <w:rsid w:val="00D71B63"/>
    <w:rsid w:val="00D72CFD"/>
    <w:rsid w:val="00D72F3B"/>
    <w:rsid w:val="00D755C3"/>
    <w:rsid w:val="00D802D4"/>
    <w:rsid w:val="00D826B8"/>
    <w:rsid w:val="00D82DF4"/>
    <w:rsid w:val="00D82F44"/>
    <w:rsid w:val="00D84DD9"/>
    <w:rsid w:val="00D90018"/>
    <w:rsid w:val="00D902E5"/>
    <w:rsid w:val="00D90312"/>
    <w:rsid w:val="00D906A1"/>
    <w:rsid w:val="00D90D8B"/>
    <w:rsid w:val="00D90EEA"/>
    <w:rsid w:val="00D915F7"/>
    <w:rsid w:val="00D948C5"/>
    <w:rsid w:val="00D9648B"/>
    <w:rsid w:val="00D96EAA"/>
    <w:rsid w:val="00D9736B"/>
    <w:rsid w:val="00D97973"/>
    <w:rsid w:val="00DA1693"/>
    <w:rsid w:val="00DA368E"/>
    <w:rsid w:val="00DA39AB"/>
    <w:rsid w:val="00DA4EC5"/>
    <w:rsid w:val="00DB0978"/>
    <w:rsid w:val="00DB151A"/>
    <w:rsid w:val="00DB15DD"/>
    <w:rsid w:val="00DB26B5"/>
    <w:rsid w:val="00DB2A11"/>
    <w:rsid w:val="00DB2F21"/>
    <w:rsid w:val="00DB529A"/>
    <w:rsid w:val="00DC104E"/>
    <w:rsid w:val="00DC192A"/>
    <w:rsid w:val="00DC1A4A"/>
    <w:rsid w:val="00DC563A"/>
    <w:rsid w:val="00DC6425"/>
    <w:rsid w:val="00DD085F"/>
    <w:rsid w:val="00DD3363"/>
    <w:rsid w:val="00DD54B6"/>
    <w:rsid w:val="00DD6B12"/>
    <w:rsid w:val="00DD6E30"/>
    <w:rsid w:val="00DE6BD2"/>
    <w:rsid w:val="00DF7183"/>
    <w:rsid w:val="00DF7578"/>
    <w:rsid w:val="00E01EF6"/>
    <w:rsid w:val="00E02D1C"/>
    <w:rsid w:val="00E03C3C"/>
    <w:rsid w:val="00E040B8"/>
    <w:rsid w:val="00E11302"/>
    <w:rsid w:val="00E126E8"/>
    <w:rsid w:val="00E225F5"/>
    <w:rsid w:val="00E23169"/>
    <w:rsid w:val="00E2467E"/>
    <w:rsid w:val="00E25294"/>
    <w:rsid w:val="00E2755E"/>
    <w:rsid w:val="00E31DCB"/>
    <w:rsid w:val="00E32584"/>
    <w:rsid w:val="00E33541"/>
    <w:rsid w:val="00E373B6"/>
    <w:rsid w:val="00E37E39"/>
    <w:rsid w:val="00E406A2"/>
    <w:rsid w:val="00E41CD4"/>
    <w:rsid w:val="00E44627"/>
    <w:rsid w:val="00E47366"/>
    <w:rsid w:val="00E477EC"/>
    <w:rsid w:val="00E47B5B"/>
    <w:rsid w:val="00E524AA"/>
    <w:rsid w:val="00E52FCB"/>
    <w:rsid w:val="00E55C8E"/>
    <w:rsid w:val="00E56294"/>
    <w:rsid w:val="00E73C58"/>
    <w:rsid w:val="00E7551A"/>
    <w:rsid w:val="00E76184"/>
    <w:rsid w:val="00E81202"/>
    <w:rsid w:val="00E81338"/>
    <w:rsid w:val="00E81C9F"/>
    <w:rsid w:val="00E822E5"/>
    <w:rsid w:val="00E84577"/>
    <w:rsid w:val="00E84C49"/>
    <w:rsid w:val="00E873A3"/>
    <w:rsid w:val="00E90DB6"/>
    <w:rsid w:val="00E9164F"/>
    <w:rsid w:val="00E936A7"/>
    <w:rsid w:val="00E94EC6"/>
    <w:rsid w:val="00E95580"/>
    <w:rsid w:val="00E96B9A"/>
    <w:rsid w:val="00E97A2F"/>
    <w:rsid w:val="00E97DC5"/>
    <w:rsid w:val="00EA289C"/>
    <w:rsid w:val="00EA3811"/>
    <w:rsid w:val="00EA5333"/>
    <w:rsid w:val="00EA7541"/>
    <w:rsid w:val="00EA7F4E"/>
    <w:rsid w:val="00EB0CC4"/>
    <w:rsid w:val="00EB1C9D"/>
    <w:rsid w:val="00EB3A02"/>
    <w:rsid w:val="00EB5411"/>
    <w:rsid w:val="00EB54FF"/>
    <w:rsid w:val="00EB7508"/>
    <w:rsid w:val="00EB76BB"/>
    <w:rsid w:val="00EC2BE1"/>
    <w:rsid w:val="00EC49A4"/>
    <w:rsid w:val="00EC78BF"/>
    <w:rsid w:val="00EC7ABA"/>
    <w:rsid w:val="00ED069A"/>
    <w:rsid w:val="00ED2D1F"/>
    <w:rsid w:val="00ED6514"/>
    <w:rsid w:val="00ED6999"/>
    <w:rsid w:val="00EE07D2"/>
    <w:rsid w:val="00EE4741"/>
    <w:rsid w:val="00EE59AB"/>
    <w:rsid w:val="00EF2C3F"/>
    <w:rsid w:val="00EF33D9"/>
    <w:rsid w:val="00EF533C"/>
    <w:rsid w:val="00EF67D3"/>
    <w:rsid w:val="00F00B2D"/>
    <w:rsid w:val="00F07762"/>
    <w:rsid w:val="00F16AC1"/>
    <w:rsid w:val="00F17551"/>
    <w:rsid w:val="00F228D2"/>
    <w:rsid w:val="00F30763"/>
    <w:rsid w:val="00F32635"/>
    <w:rsid w:val="00F36D71"/>
    <w:rsid w:val="00F37AE1"/>
    <w:rsid w:val="00F453A2"/>
    <w:rsid w:val="00F537BB"/>
    <w:rsid w:val="00F54D46"/>
    <w:rsid w:val="00F742F2"/>
    <w:rsid w:val="00F77B8A"/>
    <w:rsid w:val="00F81563"/>
    <w:rsid w:val="00F840D2"/>
    <w:rsid w:val="00F859B7"/>
    <w:rsid w:val="00F87B89"/>
    <w:rsid w:val="00F915B8"/>
    <w:rsid w:val="00F92221"/>
    <w:rsid w:val="00F95DD2"/>
    <w:rsid w:val="00F97644"/>
    <w:rsid w:val="00F977B1"/>
    <w:rsid w:val="00FA23EE"/>
    <w:rsid w:val="00FA2B0F"/>
    <w:rsid w:val="00FA2B20"/>
    <w:rsid w:val="00FB1180"/>
    <w:rsid w:val="00FB332A"/>
    <w:rsid w:val="00FB5627"/>
    <w:rsid w:val="00FB5D8D"/>
    <w:rsid w:val="00FB5E37"/>
    <w:rsid w:val="00FC17FD"/>
    <w:rsid w:val="00FC3D2C"/>
    <w:rsid w:val="00FD10D8"/>
    <w:rsid w:val="00FD2B67"/>
    <w:rsid w:val="00FD41B0"/>
    <w:rsid w:val="00FD4529"/>
    <w:rsid w:val="00FD4C1A"/>
    <w:rsid w:val="00FD61B1"/>
    <w:rsid w:val="00FD6F09"/>
    <w:rsid w:val="00FD7FC3"/>
    <w:rsid w:val="00FE097A"/>
    <w:rsid w:val="00FE3227"/>
    <w:rsid w:val="00FF1F5B"/>
    <w:rsid w:val="00FF3E5C"/>
    <w:rsid w:val="00FF5D4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AD695A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611A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link w:val="Heading2Char"/>
    <w:uiPriority w:val="9"/>
    <w:qFormat/>
    <w:rsid w:val="00457728"/>
    <w:pPr>
      <w:spacing w:before="100" w:beforeAutospacing="1" w:after="100" w:afterAutospacing="1"/>
      <w:outlineLvl w:val="1"/>
    </w:pPr>
    <w:rPr>
      <w:rFonts w:ascii="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4EB"/>
    <w:pPr>
      <w:ind w:left="720"/>
      <w:contextualSpacing/>
    </w:pPr>
  </w:style>
  <w:style w:type="paragraph" w:styleId="FootnoteText">
    <w:name w:val="footnote text"/>
    <w:basedOn w:val="Normal"/>
    <w:link w:val="FootnoteTextChar"/>
    <w:uiPriority w:val="99"/>
    <w:unhideWhenUsed/>
    <w:rsid w:val="00112189"/>
  </w:style>
  <w:style w:type="character" w:customStyle="1" w:styleId="FootnoteTextChar">
    <w:name w:val="Footnote Text Char"/>
    <w:basedOn w:val="DefaultParagraphFont"/>
    <w:link w:val="FootnoteText"/>
    <w:uiPriority w:val="99"/>
    <w:rsid w:val="00112189"/>
  </w:style>
  <w:style w:type="character" w:styleId="FootnoteReference">
    <w:name w:val="footnote reference"/>
    <w:aliases w:val="Texto de nota al pie,Appel note de bas de page,Footnotes refss,Footnote number,referencia nota al pie,BVI fnr,f,4_G,16 Point,Superscript 6 Point,Texto nota al pie,Footnote Reference Char3,Footnote Reference Char1 Char"/>
    <w:basedOn w:val="DefaultParagraphFont"/>
    <w:link w:val="4GChar"/>
    <w:uiPriority w:val="99"/>
    <w:unhideWhenUsed/>
    <w:qFormat/>
    <w:rsid w:val="00112189"/>
    <w:rPr>
      <w:vertAlign w:val="superscript"/>
    </w:rPr>
  </w:style>
  <w:style w:type="character" w:styleId="Hyperlink">
    <w:name w:val="Hyperlink"/>
    <w:basedOn w:val="DefaultParagraphFont"/>
    <w:uiPriority w:val="99"/>
    <w:unhideWhenUsed/>
    <w:rsid w:val="005254EA"/>
    <w:rPr>
      <w:color w:val="0000FF" w:themeColor="hyperlink"/>
      <w:u w:val="single"/>
    </w:rPr>
  </w:style>
  <w:style w:type="character" w:styleId="FollowedHyperlink">
    <w:name w:val="FollowedHyperlink"/>
    <w:basedOn w:val="DefaultParagraphFont"/>
    <w:uiPriority w:val="99"/>
    <w:semiHidden/>
    <w:unhideWhenUsed/>
    <w:rsid w:val="005F2794"/>
    <w:rPr>
      <w:color w:val="800080" w:themeColor="followedHyperlink"/>
      <w:u w:val="single"/>
    </w:rPr>
  </w:style>
  <w:style w:type="character" w:customStyle="1" w:styleId="Heading2Char">
    <w:name w:val="Heading 2 Char"/>
    <w:basedOn w:val="DefaultParagraphFont"/>
    <w:link w:val="Heading2"/>
    <w:uiPriority w:val="9"/>
    <w:rsid w:val="00457728"/>
    <w:rPr>
      <w:rFonts w:ascii="Times New Roman" w:hAnsi="Times New Roman" w:cs="Times New Roman"/>
      <w:b/>
      <w:bCs/>
      <w:sz w:val="36"/>
      <w:szCs w:val="36"/>
      <w:lang w:val="en-US"/>
    </w:rPr>
  </w:style>
  <w:style w:type="paragraph" w:customStyle="1" w:styleId="twowords">
    <w:name w:val="twowords"/>
    <w:basedOn w:val="Normal"/>
    <w:rsid w:val="00457728"/>
    <w:pPr>
      <w:spacing w:before="100" w:beforeAutospacing="1" w:after="100" w:afterAutospacing="1"/>
    </w:pPr>
    <w:rPr>
      <w:rFonts w:ascii="Times New Roman" w:hAnsi="Times New Roman" w:cs="Times New Roman"/>
      <w:sz w:val="20"/>
      <w:szCs w:val="20"/>
      <w:lang w:val="en-US"/>
    </w:rPr>
  </w:style>
  <w:style w:type="paragraph" w:styleId="NormalWeb">
    <w:name w:val="Normal (Web)"/>
    <w:basedOn w:val="Normal"/>
    <w:uiPriority w:val="99"/>
    <w:unhideWhenUsed/>
    <w:rsid w:val="00EF2C3F"/>
    <w:pPr>
      <w:spacing w:before="100" w:beforeAutospacing="1" w:after="100" w:afterAutospacing="1"/>
    </w:pPr>
    <w:rPr>
      <w:rFonts w:ascii="Times New Roman" w:hAnsi="Times New Roman" w:cs="Times New Roman"/>
      <w:sz w:val="20"/>
      <w:szCs w:val="20"/>
      <w:lang w:val="en-US"/>
    </w:rPr>
  </w:style>
  <w:style w:type="paragraph" w:styleId="Title">
    <w:name w:val="Title"/>
    <w:basedOn w:val="Normal"/>
    <w:link w:val="TitleChar"/>
    <w:qFormat/>
    <w:rsid w:val="00EF2C3F"/>
    <w:pPr>
      <w:jc w:val="center"/>
    </w:pPr>
    <w:rPr>
      <w:rFonts w:ascii="Verdana" w:eastAsia="Times New Roman" w:hAnsi="Verdana" w:cs="Times New Roman"/>
      <w:b/>
      <w:bCs/>
      <w:sz w:val="20"/>
      <w:lang w:val="es-ES" w:eastAsia="es-ES"/>
    </w:rPr>
  </w:style>
  <w:style w:type="character" w:customStyle="1" w:styleId="TitleChar">
    <w:name w:val="Title Char"/>
    <w:basedOn w:val="DefaultParagraphFont"/>
    <w:link w:val="Title"/>
    <w:rsid w:val="00EF2C3F"/>
    <w:rPr>
      <w:rFonts w:ascii="Verdana" w:eastAsia="Times New Roman" w:hAnsi="Verdana" w:cs="Times New Roman"/>
      <w:b/>
      <w:bCs/>
      <w:sz w:val="20"/>
      <w:lang w:val="es-ES" w:eastAsia="es-ES"/>
    </w:rPr>
  </w:style>
  <w:style w:type="paragraph" w:styleId="Header">
    <w:name w:val="header"/>
    <w:basedOn w:val="Normal"/>
    <w:link w:val="HeaderChar"/>
    <w:uiPriority w:val="99"/>
    <w:unhideWhenUsed/>
    <w:rsid w:val="00DD085F"/>
    <w:pPr>
      <w:tabs>
        <w:tab w:val="center" w:pos="4320"/>
        <w:tab w:val="right" w:pos="8640"/>
      </w:tabs>
    </w:pPr>
  </w:style>
  <w:style w:type="character" w:customStyle="1" w:styleId="HeaderChar">
    <w:name w:val="Header Char"/>
    <w:basedOn w:val="DefaultParagraphFont"/>
    <w:link w:val="Header"/>
    <w:uiPriority w:val="99"/>
    <w:rsid w:val="00DD085F"/>
  </w:style>
  <w:style w:type="character" w:styleId="PageNumber">
    <w:name w:val="page number"/>
    <w:basedOn w:val="DefaultParagraphFont"/>
    <w:uiPriority w:val="99"/>
    <w:semiHidden/>
    <w:unhideWhenUsed/>
    <w:rsid w:val="00DD085F"/>
  </w:style>
  <w:style w:type="character" w:styleId="Strong">
    <w:name w:val="Strong"/>
    <w:basedOn w:val="DefaultParagraphFont"/>
    <w:uiPriority w:val="22"/>
    <w:qFormat/>
    <w:rsid w:val="00796590"/>
    <w:rPr>
      <w:b/>
      <w:bCs/>
    </w:rPr>
  </w:style>
  <w:style w:type="character" w:customStyle="1" w:styleId="apple-converted-space">
    <w:name w:val="apple-converted-space"/>
    <w:basedOn w:val="DefaultParagraphFont"/>
    <w:rsid w:val="00796590"/>
  </w:style>
  <w:style w:type="character" w:customStyle="1" w:styleId="titulo">
    <w:name w:val="titulo"/>
    <w:basedOn w:val="DefaultParagraphFont"/>
    <w:rsid w:val="00796590"/>
  </w:style>
  <w:style w:type="character" w:styleId="HTMLAcronym">
    <w:name w:val="HTML Acronym"/>
    <w:basedOn w:val="DefaultParagraphFont"/>
    <w:uiPriority w:val="99"/>
    <w:semiHidden/>
    <w:unhideWhenUsed/>
    <w:rsid w:val="00796590"/>
  </w:style>
  <w:style w:type="character" w:customStyle="1" w:styleId="Heading1Char">
    <w:name w:val="Heading 1 Char"/>
    <w:basedOn w:val="DefaultParagraphFont"/>
    <w:link w:val="Heading1"/>
    <w:uiPriority w:val="9"/>
    <w:rsid w:val="00A611A9"/>
    <w:rPr>
      <w:rFonts w:asciiTheme="majorHAnsi" w:eastAsiaTheme="majorEastAsia" w:hAnsiTheme="majorHAnsi" w:cstheme="majorBidi"/>
      <w:b/>
      <w:bCs/>
      <w:color w:val="345A8A" w:themeColor="accent1" w:themeShade="B5"/>
      <w:sz w:val="32"/>
      <w:szCs w:val="32"/>
    </w:rPr>
  </w:style>
  <w:style w:type="paragraph" w:customStyle="1" w:styleId="Footnotes">
    <w:name w:val="**. Footnotes"/>
    <w:basedOn w:val="FootnoteText"/>
    <w:link w:val="FootnotesChar"/>
    <w:autoRedefine/>
    <w:qFormat/>
    <w:rsid w:val="009E0424"/>
    <w:pPr>
      <w:spacing w:before="60" w:after="60"/>
      <w:jc w:val="both"/>
    </w:pPr>
    <w:rPr>
      <w:rFonts w:ascii="Verdana" w:eastAsia="Times New Roman" w:hAnsi="Verdana" w:cs="Palatino-Italic"/>
      <w:iCs/>
      <w:spacing w:val="-4"/>
      <w:sz w:val="16"/>
      <w:szCs w:val="16"/>
      <w:lang w:val="es-ES" w:bidi="en-US"/>
    </w:rPr>
  </w:style>
  <w:style w:type="character" w:customStyle="1" w:styleId="FootnotesChar">
    <w:name w:val="**. Footnotes Char"/>
    <w:basedOn w:val="DefaultParagraphFont"/>
    <w:link w:val="Footnotes"/>
    <w:rsid w:val="009E0424"/>
    <w:rPr>
      <w:rFonts w:ascii="Verdana" w:eastAsia="Times New Roman" w:hAnsi="Verdana" w:cs="Palatino-Italic"/>
      <w:iCs/>
      <w:spacing w:val="-4"/>
      <w:sz w:val="16"/>
      <w:szCs w:val="16"/>
      <w:lang w:val="es-ES" w:bidi="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FootnoteReference"/>
    <w:uiPriority w:val="99"/>
    <w:rsid w:val="009E0424"/>
    <w:pPr>
      <w:jc w:val="both"/>
    </w:pPr>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611A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link w:val="Heading2Char"/>
    <w:uiPriority w:val="9"/>
    <w:qFormat/>
    <w:rsid w:val="00457728"/>
    <w:pPr>
      <w:spacing w:before="100" w:beforeAutospacing="1" w:after="100" w:afterAutospacing="1"/>
      <w:outlineLvl w:val="1"/>
    </w:pPr>
    <w:rPr>
      <w:rFonts w:ascii="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4EB"/>
    <w:pPr>
      <w:ind w:left="720"/>
      <w:contextualSpacing/>
    </w:pPr>
  </w:style>
  <w:style w:type="paragraph" w:styleId="FootnoteText">
    <w:name w:val="footnote text"/>
    <w:basedOn w:val="Normal"/>
    <w:link w:val="FootnoteTextChar"/>
    <w:uiPriority w:val="99"/>
    <w:unhideWhenUsed/>
    <w:rsid w:val="00112189"/>
  </w:style>
  <w:style w:type="character" w:customStyle="1" w:styleId="FootnoteTextChar">
    <w:name w:val="Footnote Text Char"/>
    <w:basedOn w:val="DefaultParagraphFont"/>
    <w:link w:val="FootnoteText"/>
    <w:uiPriority w:val="99"/>
    <w:rsid w:val="00112189"/>
  </w:style>
  <w:style w:type="character" w:styleId="FootnoteReference">
    <w:name w:val="footnote reference"/>
    <w:aliases w:val="Texto de nota al pie,Appel note de bas de page,Footnotes refss,Footnote number,referencia nota al pie,BVI fnr,f,4_G,16 Point,Superscript 6 Point,Texto nota al pie,Footnote Reference Char3,Footnote Reference Char1 Char"/>
    <w:basedOn w:val="DefaultParagraphFont"/>
    <w:link w:val="4GChar"/>
    <w:uiPriority w:val="99"/>
    <w:unhideWhenUsed/>
    <w:qFormat/>
    <w:rsid w:val="00112189"/>
    <w:rPr>
      <w:vertAlign w:val="superscript"/>
    </w:rPr>
  </w:style>
  <w:style w:type="character" w:styleId="Hyperlink">
    <w:name w:val="Hyperlink"/>
    <w:basedOn w:val="DefaultParagraphFont"/>
    <w:uiPriority w:val="99"/>
    <w:unhideWhenUsed/>
    <w:rsid w:val="005254EA"/>
    <w:rPr>
      <w:color w:val="0000FF" w:themeColor="hyperlink"/>
      <w:u w:val="single"/>
    </w:rPr>
  </w:style>
  <w:style w:type="character" w:styleId="FollowedHyperlink">
    <w:name w:val="FollowedHyperlink"/>
    <w:basedOn w:val="DefaultParagraphFont"/>
    <w:uiPriority w:val="99"/>
    <w:semiHidden/>
    <w:unhideWhenUsed/>
    <w:rsid w:val="005F2794"/>
    <w:rPr>
      <w:color w:val="800080" w:themeColor="followedHyperlink"/>
      <w:u w:val="single"/>
    </w:rPr>
  </w:style>
  <w:style w:type="character" w:customStyle="1" w:styleId="Heading2Char">
    <w:name w:val="Heading 2 Char"/>
    <w:basedOn w:val="DefaultParagraphFont"/>
    <w:link w:val="Heading2"/>
    <w:uiPriority w:val="9"/>
    <w:rsid w:val="00457728"/>
    <w:rPr>
      <w:rFonts w:ascii="Times New Roman" w:hAnsi="Times New Roman" w:cs="Times New Roman"/>
      <w:b/>
      <w:bCs/>
      <w:sz w:val="36"/>
      <w:szCs w:val="36"/>
      <w:lang w:val="en-US"/>
    </w:rPr>
  </w:style>
  <w:style w:type="paragraph" w:customStyle="1" w:styleId="twowords">
    <w:name w:val="twowords"/>
    <w:basedOn w:val="Normal"/>
    <w:rsid w:val="00457728"/>
    <w:pPr>
      <w:spacing w:before="100" w:beforeAutospacing="1" w:after="100" w:afterAutospacing="1"/>
    </w:pPr>
    <w:rPr>
      <w:rFonts w:ascii="Times New Roman" w:hAnsi="Times New Roman" w:cs="Times New Roman"/>
      <w:sz w:val="20"/>
      <w:szCs w:val="20"/>
      <w:lang w:val="en-US"/>
    </w:rPr>
  </w:style>
  <w:style w:type="paragraph" w:styleId="NormalWeb">
    <w:name w:val="Normal (Web)"/>
    <w:basedOn w:val="Normal"/>
    <w:uiPriority w:val="99"/>
    <w:unhideWhenUsed/>
    <w:rsid w:val="00EF2C3F"/>
    <w:pPr>
      <w:spacing w:before="100" w:beforeAutospacing="1" w:after="100" w:afterAutospacing="1"/>
    </w:pPr>
    <w:rPr>
      <w:rFonts w:ascii="Times New Roman" w:hAnsi="Times New Roman" w:cs="Times New Roman"/>
      <w:sz w:val="20"/>
      <w:szCs w:val="20"/>
      <w:lang w:val="en-US"/>
    </w:rPr>
  </w:style>
  <w:style w:type="paragraph" w:styleId="Title">
    <w:name w:val="Title"/>
    <w:basedOn w:val="Normal"/>
    <w:link w:val="TitleChar"/>
    <w:qFormat/>
    <w:rsid w:val="00EF2C3F"/>
    <w:pPr>
      <w:jc w:val="center"/>
    </w:pPr>
    <w:rPr>
      <w:rFonts w:ascii="Verdana" w:eastAsia="Times New Roman" w:hAnsi="Verdana" w:cs="Times New Roman"/>
      <w:b/>
      <w:bCs/>
      <w:sz w:val="20"/>
      <w:lang w:val="es-ES" w:eastAsia="es-ES"/>
    </w:rPr>
  </w:style>
  <w:style w:type="character" w:customStyle="1" w:styleId="TitleChar">
    <w:name w:val="Title Char"/>
    <w:basedOn w:val="DefaultParagraphFont"/>
    <w:link w:val="Title"/>
    <w:rsid w:val="00EF2C3F"/>
    <w:rPr>
      <w:rFonts w:ascii="Verdana" w:eastAsia="Times New Roman" w:hAnsi="Verdana" w:cs="Times New Roman"/>
      <w:b/>
      <w:bCs/>
      <w:sz w:val="20"/>
      <w:lang w:val="es-ES" w:eastAsia="es-ES"/>
    </w:rPr>
  </w:style>
  <w:style w:type="paragraph" w:styleId="Header">
    <w:name w:val="header"/>
    <w:basedOn w:val="Normal"/>
    <w:link w:val="HeaderChar"/>
    <w:uiPriority w:val="99"/>
    <w:unhideWhenUsed/>
    <w:rsid w:val="00DD085F"/>
    <w:pPr>
      <w:tabs>
        <w:tab w:val="center" w:pos="4320"/>
        <w:tab w:val="right" w:pos="8640"/>
      </w:tabs>
    </w:pPr>
  </w:style>
  <w:style w:type="character" w:customStyle="1" w:styleId="HeaderChar">
    <w:name w:val="Header Char"/>
    <w:basedOn w:val="DefaultParagraphFont"/>
    <w:link w:val="Header"/>
    <w:uiPriority w:val="99"/>
    <w:rsid w:val="00DD085F"/>
  </w:style>
  <w:style w:type="character" w:styleId="PageNumber">
    <w:name w:val="page number"/>
    <w:basedOn w:val="DefaultParagraphFont"/>
    <w:uiPriority w:val="99"/>
    <w:semiHidden/>
    <w:unhideWhenUsed/>
    <w:rsid w:val="00DD085F"/>
  </w:style>
  <w:style w:type="character" w:styleId="Strong">
    <w:name w:val="Strong"/>
    <w:basedOn w:val="DefaultParagraphFont"/>
    <w:uiPriority w:val="22"/>
    <w:qFormat/>
    <w:rsid w:val="00796590"/>
    <w:rPr>
      <w:b/>
      <w:bCs/>
    </w:rPr>
  </w:style>
  <w:style w:type="character" w:customStyle="1" w:styleId="apple-converted-space">
    <w:name w:val="apple-converted-space"/>
    <w:basedOn w:val="DefaultParagraphFont"/>
    <w:rsid w:val="00796590"/>
  </w:style>
  <w:style w:type="character" w:customStyle="1" w:styleId="titulo">
    <w:name w:val="titulo"/>
    <w:basedOn w:val="DefaultParagraphFont"/>
    <w:rsid w:val="00796590"/>
  </w:style>
  <w:style w:type="character" w:styleId="HTMLAcronym">
    <w:name w:val="HTML Acronym"/>
    <w:basedOn w:val="DefaultParagraphFont"/>
    <w:uiPriority w:val="99"/>
    <w:semiHidden/>
    <w:unhideWhenUsed/>
    <w:rsid w:val="00796590"/>
  </w:style>
  <w:style w:type="character" w:customStyle="1" w:styleId="Heading1Char">
    <w:name w:val="Heading 1 Char"/>
    <w:basedOn w:val="DefaultParagraphFont"/>
    <w:link w:val="Heading1"/>
    <w:uiPriority w:val="9"/>
    <w:rsid w:val="00A611A9"/>
    <w:rPr>
      <w:rFonts w:asciiTheme="majorHAnsi" w:eastAsiaTheme="majorEastAsia" w:hAnsiTheme="majorHAnsi" w:cstheme="majorBidi"/>
      <w:b/>
      <w:bCs/>
      <w:color w:val="345A8A" w:themeColor="accent1" w:themeShade="B5"/>
      <w:sz w:val="32"/>
      <w:szCs w:val="32"/>
    </w:rPr>
  </w:style>
  <w:style w:type="paragraph" w:customStyle="1" w:styleId="Footnotes">
    <w:name w:val="**. Footnotes"/>
    <w:basedOn w:val="FootnoteText"/>
    <w:link w:val="FootnotesChar"/>
    <w:autoRedefine/>
    <w:qFormat/>
    <w:rsid w:val="009E0424"/>
    <w:pPr>
      <w:spacing w:before="60" w:after="60"/>
      <w:jc w:val="both"/>
    </w:pPr>
    <w:rPr>
      <w:rFonts w:ascii="Verdana" w:eastAsia="Times New Roman" w:hAnsi="Verdana" w:cs="Palatino-Italic"/>
      <w:iCs/>
      <w:spacing w:val="-4"/>
      <w:sz w:val="16"/>
      <w:szCs w:val="16"/>
      <w:lang w:val="es-ES" w:bidi="en-US"/>
    </w:rPr>
  </w:style>
  <w:style w:type="character" w:customStyle="1" w:styleId="FootnotesChar">
    <w:name w:val="**. Footnotes Char"/>
    <w:basedOn w:val="DefaultParagraphFont"/>
    <w:link w:val="Footnotes"/>
    <w:rsid w:val="009E0424"/>
    <w:rPr>
      <w:rFonts w:ascii="Verdana" w:eastAsia="Times New Roman" w:hAnsi="Verdana" w:cs="Palatino-Italic"/>
      <w:iCs/>
      <w:spacing w:val="-4"/>
      <w:sz w:val="16"/>
      <w:szCs w:val="16"/>
      <w:lang w:val="es-ES" w:bidi="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FootnoteReference"/>
    <w:uiPriority w:val="99"/>
    <w:rsid w:val="009E0424"/>
    <w:pPr>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7562">
      <w:bodyDiv w:val="1"/>
      <w:marLeft w:val="0"/>
      <w:marRight w:val="0"/>
      <w:marTop w:val="0"/>
      <w:marBottom w:val="0"/>
      <w:divBdr>
        <w:top w:val="none" w:sz="0" w:space="0" w:color="auto"/>
        <w:left w:val="none" w:sz="0" w:space="0" w:color="auto"/>
        <w:bottom w:val="none" w:sz="0" w:space="0" w:color="auto"/>
        <w:right w:val="none" w:sz="0" w:space="0" w:color="auto"/>
      </w:divBdr>
    </w:div>
    <w:div w:id="47538473">
      <w:bodyDiv w:val="1"/>
      <w:marLeft w:val="0"/>
      <w:marRight w:val="0"/>
      <w:marTop w:val="0"/>
      <w:marBottom w:val="0"/>
      <w:divBdr>
        <w:top w:val="none" w:sz="0" w:space="0" w:color="auto"/>
        <w:left w:val="none" w:sz="0" w:space="0" w:color="auto"/>
        <w:bottom w:val="none" w:sz="0" w:space="0" w:color="auto"/>
        <w:right w:val="none" w:sz="0" w:space="0" w:color="auto"/>
      </w:divBdr>
    </w:div>
    <w:div w:id="1051879355">
      <w:bodyDiv w:val="1"/>
      <w:marLeft w:val="0"/>
      <w:marRight w:val="0"/>
      <w:marTop w:val="0"/>
      <w:marBottom w:val="0"/>
      <w:divBdr>
        <w:top w:val="none" w:sz="0" w:space="0" w:color="auto"/>
        <w:left w:val="none" w:sz="0" w:space="0" w:color="auto"/>
        <w:bottom w:val="none" w:sz="0" w:space="0" w:color="auto"/>
        <w:right w:val="none" w:sz="0" w:space="0" w:color="auto"/>
      </w:divBdr>
    </w:div>
    <w:div w:id="1095245677">
      <w:bodyDiv w:val="1"/>
      <w:marLeft w:val="0"/>
      <w:marRight w:val="0"/>
      <w:marTop w:val="0"/>
      <w:marBottom w:val="0"/>
      <w:divBdr>
        <w:top w:val="none" w:sz="0" w:space="0" w:color="auto"/>
        <w:left w:val="none" w:sz="0" w:space="0" w:color="auto"/>
        <w:bottom w:val="none" w:sz="0" w:space="0" w:color="auto"/>
        <w:right w:val="none" w:sz="0" w:space="0" w:color="auto"/>
      </w:divBdr>
      <w:divsChild>
        <w:div w:id="130173075">
          <w:marLeft w:val="0"/>
          <w:marRight w:val="0"/>
          <w:marTop w:val="0"/>
          <w:marBottom w:val="0"/>
          <w:divBdr>
            <w:top w:val="none" w:sz="0" w:space="0" w:color="auto"/>
            <w:left w:val="none" w:sz="0" w:space="0" w:color="auto"/>
            <w:bottom w:val="none" w:sz="0" w:space="0" w:color="auto"/>
            <w:right w:val="none" w:sz="0" w:space="0" w:color="auto"/>
          </w:divBdr>
          <w:divsChild>
            <w:div w:id="1131434764">
              <w:marLeft w:val="0"/>
              <w:marRight w:val="0"/>
              <w:marTop w:val="0"/>
              <w:marBottom w:val="0"/>
              <w:divBdr>
                <w:top w:val="none" w:sz="0" w:space="0" w:color="auto"/>
                <w:left w:val="none" w:sz="0" w:space="0" w:color="auto"/>
                <w:bottom w:val="none" w:sz="0" w:space="0" w:color="auto"/>
                <w:right w:val="none" w:sz="0" w:space="0" w:color="auto"/>
              </w:divBdr>
              <w:divsChild>
                <w:div w:id="157431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corteidh.or.cr/tablas/r33008.pdf" TargetMode="External"/><Relationship Id="rId20" Type="http://schemas.openxmlformats.org/officeDocument/2006/relationships/hyperlink" Target="https://ssrn.com/abstract=3103666" TargetMode="External"/><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www.minjusticia.gob.cl/comunicado-de-prensa-ministerio-de-relaciones-exteriores-ministerio-de-justicia-y-derechos-humanos-sobre-sistema-interamericano-de-derechos-humanos/" TargetMode="External"/><Relationship Id="rId11" Type="http://schemas.openxmlformats.org/officeDocument/2006/relationships/hyperlink" Target="http://www.corteidh.or.cr/tablas/informe2018/portugues.pdf" TargetMode="External"/><Relationship Id="rId12" Type="http://schemas.openxmlformats.org/officeDocument/2006/relationships/hyperlink" Target="http://jamesgstewart.com/legal-pluralism-as-a-dynamic-process-in-a-moving-world/" TargetMode="External"/><Relationship Id="rId13" Type="http://schemas.openxmlformats.org/officeDocument/2006/relationships/hyperlink" Target="http://revistas.uned.es/index.php/TRC/article/view/7005" TargetMode="External"/><Relationship Id="rId14" Type="http://schemas.openxmlformats.org/officeDocument/2006/relationships/hyperlink" Target="https://scholarlycommons.law.hofstra.edu/cgi/viewcontent.cgi?article=1399&amp;context=hlr" TargetMode="External"/><Relationship Id="rId15" Type="http://schemas.openxmlformats.org/officeDocument/2006/relationships/hyperlink" Target="https://www.redalyc.org/articulo.oa?id=82003112" TargetMode="External"/><Relationship Id="rId16" Type="http://schemas.openxmlformats.org/officeDocument/2006/relationships/hyperlink" Target="https://periodicos.ufsm.br/REDESG/article/view/16282" TargetMode="External"/><Relationship Id="rId17" Type="http://schemas.openxmlformats.org/officeDocument/2006/relationships/hyperlink" Target="https://dialnet.unirioja.es/servlet/libro?codigo=552211" TargetMode="External"/><Relationship Id="rId18" Type="http://schemas.openxmlformats.org/officeDocument/2006/relationships/hyperlink" Target="https://www.conjur.com.br/2015-mar-27/direitos-fundamentais-integracao-tratados-direitos-humanos-ordenamento-juridico" TargetMode="External"/><Relationship Id="rId19" Type="http://schemas.openxmlformats.org/officeDocument/2006/relationships/hyperlink" Target="http://scholarship.richmond.edu/lawreview/vol29/iss1/6"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1" Type="http://schemas.openxmlformats.org/officeDocument/2006/relationships/hyperlink" Target="http://revistas.uned.es/index.php/TRC/article/view/7005" TargetMode="External"/><Relationship Id="rId12" Type="http://schemas.openxmlformats.org/officeDocument/2006/relationships/hyperlink" Target="https://dialnet.unirioja.es/servlet/libro?codigo=552211" TargetMode="External"/><Relationship Id="rId13" Type="http://schemas.openxmlformats.org/officeDocument/2006/relationships/hyperlink" Target="http://www.corteidh.or.cr/tablas/informe2018/portugues.pdf" TargetMode="External"/><Relationship Id="rId14" Type="http://schemas.openxmlformats.org/officeDocument/2006/relationships/hyperlink" Target="http://www.corteidh.or.cr/tablas/r33008.pdf" TargetMode="External"/><Relationship Id="rId15" Type="http://schemas.openxmlformats.org/officeDocument/2006/relationships/hyperlink" Target="http://www.corteidh.or.cr/tablas/r33008.pdf" TargetMode="External"/><Relationship Id="rId16" Type="http://schemas.openxmlformats.org/officeDocument/2006/relationships/hyperlink" Target="http://www.corteidh.or.cr/tablas/r33008.pdf" TargetMode="External"/><Relationship Id="rId17" Type="http://schemas.openxmlformats.org/officeDocument/2006/relationships/hyperlink" Target="http://www.minjusticia.gob.cl/comunicado-de-prensa-ministerio-de-relaciones-exteriores-ministerio-de-justicia-y-derechos-humanos-sobre-sistema-interamericano-de-derechos-humanos/" TargetMode="External"/><Relationship Id="rId18" Type="http://schemas.openxmlformats.org/officeDocument/2006/relationships/hyperlink" Target="http://www.corteidh.or.cr/tablas/r33008.pdf" TargetMode="External"/><Relationship Id="rId1" Type="http://schemas.openxmlformats.org/officeDocument/2006/relationships/hyperlink" Target="https://scholarlycommons.law.hofstra.edu/cgi/viewcontent.cgi?article=1399&amp;context=hlr" TargetMode="External"/><Relationship Id="rId2" Type="http://schemas.openxmlformats.org/officeDocument/2006/relationships/hyperlink" Target="https://www.redalyc.org/articulo.oa?id=82003112" TargetMode="External"/><Relationship Id="rId3" Type="http://schemas.openxmlformats.org/officeDocument/2006/relationships/hyperlink" Target="http://scholarship.richmond.edu/lawreview/vol29/iss1/6" TargetMode="External"/><Relationship Id="rId4" Type="http://schemas.openxmlformats.org/officeDocument/2006/relationships/hyperlink" Target="http://scholarship.richmond.edu/lawreview/vol29/iss1/6" TargetMode="External"/><Relationship Id="rId5" Type="http://schemas.openxmlformats.org/officeDocument/2006/relationships/hyperlink" Target="http://www.redalyc.org/articulo.oa?id=82003112" TargetMode="External"/><Relationship Id="rId6" Type="http://schemas.openxmlformats.org/officeDocument/2006/relationships/hyperlink" Target="http://www.redalyc.org/articulo.oa?id=82003112" TargetMode="External"/><Relationship Id="rId7" Type="http://schemas.openxmlformats.org/officeDocument/2006/relationships/hyperlink" Target="http://www.redalyc.org/articulo.oa?id=82003112" TargetMode="External"/><Relationship Id="rId8" Type="http://schemas.openxmlformats.org/officeDocument/2006/relationships/hyperlink" Target="http://scholarship.richmond.edu/lawreview/vol29/iss1/6" TargetMode="External"/><Relationship Id="rId9" Type="http://schemas.openxmlformats.org/officeDocument/2006/relationships/hyperlink" Target="http://scholarship.richmond.edu/lawreview/vol29/iss1/6" TargetMode="External"/><Relationship Id="rId10" Type="http://schemas.openxmlformats.org/officeDocument/2006/relationships/hyperlink" Target="https://dialnet.unirioja.es/servlet/libro?codigo=5522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6DB7C4F-E085-C84C-A85F-60B53BE7A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12023</Words>
  <Characters>72097</Characters>
  <Application>Microsoft Macintosh Word</Application>
  <DocSecurity>0</DocSecurity>
  <Lines>1162</Lines>
  <Paragraphs>169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84015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2019-07-29T14:27:00Z</dcterms:created>
  <dcterms:modified xsi:type="dcterms:W3CDTF">2019-07-29T14:32:00Z</dcterms:modified>
  <cp:category/>
</cp:coreProperties>
</file>