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5F7" w:rsidRDefault="00FD15F7" w:rsidP="00FD15F7">
      <w:pPr>
        <w:jc w:val="both"/>
        <w:rPr>
          <w:color w:val="000000"/>
        </w:rPr>
      </w:pPr>
      <w:bookmarkStart w:id="0" w:name="_GoBack"/>
      <w:bookmarkEnd w:id="0"/>
      <w:r w:rsidRPr="00AE1108">
        <w:rPr>
          <w:b/>
          <w:bCs/>
        </w:rPr>
        <w:t>Quadro 02</w:t>
      </w:r>
      <w:r w:rsidRPr="00AE1108">
        <w:t xml:space="preserve">: </w:t>
      </w:r>
      <w:r w:rsidRPr="00AE1108">
        <w:rPr>
          <w:color w:val="000000"/>
        </w:rPr>
        <w:t>Distribuição dos artigos selecionados para o estudo segundo título, palavras-chaves, autores, instituições e ano. Fortaleza - CE: 2019</w:t>
      </w:r>
    </w:p>
    <w:p w:rsidR="00FD15F7" w:rsidRPr="00AE1108" w:rsidRDefault="00FD15F7" w:rsidP="00FD15F7">
      <w:pPr>
        <w:jc w:val="both"/>
      </w:pPr>
    </w:p>
    <w:tbl>
      <w:tblPr>
        <w:tblStyle w:val="Tabelacomgrade"/>
        <w:tblW w:w="861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2"/>
        <w:gridCol w:w="6"/>
        <w:gridCol w:w="2404"/>
        <w:gridCol w:w="6"/>
        <w:gridCol w:w="2705"/>
        <w:gridCol w:w="6"/>
        <w:gridCol w:w="650"/>
        <w:gridCol w:w="6"/>
      </w:tblGrid>
      <w:tr w:rsidR="00FD15F7" w:rsidRPr="00124713" w:rsidTr="00146BC7">
        <w:trPr>
          <w:trHeight w:val="783"/>
        </w:trPr>
        <w:tc>
          <w:tcPr>
            <w:tcW w:w="567" w:type="dxa"/>
            <w:vAlign w:val="center"/>
          </w:tcPr>
          <w:p w:rsidR="00FD15F7" w:rsidRPr="00124713" w:rsidRDefault="00FD15F7" w:rsidP="00146BC7">
            <w:pPr>
              <w:jc w:val="center"/>
              <w:rPr>
                <w:b/>
                <w:bCs/>
                <w:color w:val="000000" w:themeColor="text1"/>
              </w:rPr>
            </w:pPr>
            <w:r w:rsidRPr="00124713">
              <w:rPr>
                <w:b/>
                <w:bCs/>
                <w:color w:val="000000" w:themeColor="text1"/>
              </w:rPr>
              <w:t>N</w:t>
            </w:r>
            <w:r w:rsidRPr="00124713">
              <w:rPr>
                <w:b/>
                <w:bCs/>
                <w:color w:val="000000" w:themeColor="text1"/>
                <w:vertAlign w:val="superscript"/>
              </w:rPr>
              <w:t>o</w:t>
            </w:r>
          </w:p>
        </w:tc>
        <w:tc>
          <w:tcPr>
            <w:tcW w:w="2268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b/>
                <w:bCs/>
                <w:color w:val="000000" w:themeColor="text1"/>
              </w:rPr>
            </w:pPr>
            <w:r w:rsidRPr="00124713">
              <w:rPr>
                <w:b/>
                <w:bCs/>
                <w:color w:val="000000" w:themeColor="text1"/>
              </w:rPr>
              <w:t>Título</w:t>
            </w:r>
          </w:p>
        </w:tc>
        <w:tc>
          <w:tcPr>
            <w:tcW w:w="2410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b/>
                <w:bCs/>
                <w:color w:val="000000" w:themeColor="text1"/>
              </w:rPr>
            </w:pPr>
            <w:r w:rsidRPr="00124713">
              <w:rPr>
                <w:b/>
                <w:bCs/>
                <w:color w:val="000000" w:themeColor="text1"/>
              </w:rPr>
              <w:t>Palavras Chaves</w:t>
            </w:r>
          </w:p>
        </w:tc>
        <w:tc>
          <w:tcPr>
            <w:tcW w:w="2711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b/>
                <w:bCs/>
                <w:color w:val="000000" w:themeColor="text1"/>
              </w:rPr>
            </w:pPr>
            <w:r w:rsidRPr="00124713">
              <w:rPr>
                <w:b/>
                <w:bCs/>
                <w:color w:val="000000" w:themeColor="text1"/>
              </w:rPr>
              <w:t>Autor(es)/Instituição</w:t>
            </w:r>
          </w:p>
        </w:tc>
        <w:tc>
          <w:tcPr>
            <w:tcW w:w="656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b/>
                <w:bCs/>
                <w:color w:val="000000" w:themeColor="text1"/>
              </w:rPr>
            </w:pPr>
            <w:r w:rsidRPr="00124713">
              <w:rPr>
                <w:b/>
                <w:bCs/>
                <w:color w:val="000000" w:themeColor="text1"/>
              </w:rPr>
              <w:t>Ano</w:t>
            </w:r>
          </w:p>
        </w:tc>
      </w:tr>
      <w:tr w:rsidR="00FD15F7" w:rsidRPr="00124713" w:rsidTr="00146BC7">
        <w:trPr>
          <w:trHeight w:val="783"/>
        </w:trPr>
        <w:tc>
          <w:tcPr>
            <w:tcW w:w="567" w:type="dxa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2"/>
            <w:vAlign w:val="center"/>
          </w:tcPr>
          <w:p w:rsidR="00FD15F7" w:rsidRPr="00124713" w:rsidRDefault="00FD15F7" w:rsidP="00146BC7">
            <w:pPr>
              <w:pStyle w:val="Ttulo1"/>
              <w:spacing w:before="0" w:beforeAutospacing="0" w:after="0" w:afterAutospacing="0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124713">
              <w:rPr>
                <w:b w:val="0"/>
                <w:bCs w:val="0"/>
                <w:color w:val="000000" w:themeColor="text1"/>
                <w:sz w:val="20"/>
                <w:szCs w:val="20"/>
              </w:rPr>
              <w:t>Refugiados no Brasil: Estigma, Subjetividade e Identidade</w:t>
            </w:r>
          </w:p>
        </w:tc>
        <w:tc>
          <w:tcPr>
            <w:tcW w:w="2410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Subjetividade social; Diáspora, Preconceito racial, Direitos humanos.</w:t>
            </w:r>
          </w:p>
        </w:tc>
        <w:tc>
          <w:tcPr>
            <w:tcW w:w="2711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Glória Maria Pereira</w:t>
            </w:r>
          </w:p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José Bizerril</w:t>
            </w:r>
          </w:p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position w:val="6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UniCEUB</w:t>
            </w:r>
          </w:p>
        </w:tc>
        <w:tc>
          <w:tcPr>
            <w:tcW w:w="656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2007</w:t>
            </w:r>
          </w:p>
        </w:tc>
      </w:tr>
      <w:tr w:rsidR="00FD15F7" w:rsidRPr="00124713" w:rsidTr="00146BC7">
        <w:trPr>
          <w:trHeight w:val="783"/>
        </w:trPr>
        <w:tc>
          <w:tcPr>
            <w:tcW w:w="567" w:type="dxa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vAlign w:val="center"/>
          </w:tcPr>
          <w:p w:rsidR="00FD15F7" w:rsidRPr="00124713" w:rsidRDefault="00FD15F7" w:rsidP="00146BC7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124713">
              <w:rPr>
                <w:color w:val="000000" w:themeColor="text1"/>
                <w:sz w:val="20"/>
                <w:szCs w:val="20"/>
                <w:lang w:val="en-US"/>
              </w:rPr>
              <w:t xml:space="preserve">The legitimate security interests of the State and international refugee protection </w:t>
            </w:r>
          </w:p>
        </w:tc>
        <w:tc>
          <w:tcPr>
            <w:tcW w:w="2410" w:type="dxa"/>
            <w:gridSpan w:val="2"/>
            <w:vAlign w:val="center"/>
          </w:tcPr>
          <w:p w:rsidR="00FD15F7" w:rsidRPr="00124713" w:rsidRDefault="00FD15F7" w:rsidP="00146B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Segurança; Direitos Humanos, Proteção Internacional de Refugiados.</w:t>
            </w:r>
          </w:p>
        </w:tc>
        <w:tc>
          <w:tcPr>
            <w:tcW w:w="2711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Juan Carlos Murillo González</w:t>
            </w:r>
          </w:p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ACNUR</w:t>
            </w:r>
          </w:p>
        </w:tc>
        <w:tc>
          <w:tcPr>
            <w:tcW w:w="656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124713">
              <w:rPr>
                <w:color w:val="000000" w:themeColor="text1"/>
                <w:sz w:val="20"/>
                <w:szCs w:val="20"/>
                <w:lang w:val="en-US"/>
              </w:rPr>
              <w:t>2009</w:t>
            </w:r>
          </w:p>
        </w:tc>
      </w:tr>
      <w:tr w:rsidR="00FD15F7" w:rsidRPr="00124713" w:rsidTr="00146BC7">
        <w:trPr>
          <w:trHeight w:val="783"/>
        </w:trPr>
        <w:tc>
          <w:tcPr>
            <w:tcW w:w="567" w:type="dxa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en-US"/>
              </w:rPr>
            </w:pPr>
            <w:r w:rsidRPr="00124713">
              <w:rPr>
                <w:color w:val="000000" w:themeColor="text1"/>
                <w:sz w:val="20"/>
                <w:szCs w:val="20"/>
                <w:lang w:val="en-US"/>
              </w:rPr>
              <w:t>Re-democratization and human rights: refugee policy in Brazil</w:t>
            </w:r>
          </w:p>
        </w:tc>
        <w:tc>
          <w:tcPr>
            <w:tcW w:w="2410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Refugiados; Direitos humanos; Redemocratização brasileira.</w:t>
            </w:r>
          </w:p>
        </w:tc>
        <w:tc>
          <w:tcPr>
            <w:tcW w:w="2711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Julia Bertino Moreira</w:t>
            </w:r>
          </w:p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Unicamp</w:t>
            </w:r>
          </w:p>
        </w:tc>
        <w:tc>
          <w:tcPr>
            <w:tcW w:w="656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2010</w:t>
            </w:r>
          </w:p>
        </w:tc>
      </w:tr>
      <w:tr w:rsidR="00FD15F7" w:rsidRPr="00124713" w:rsidTr="00146BC7">
        <w:trPr>
          <w:trHeight w:val="783"/>
        </w:trPr>
        <w:tc>
          <w:tcPr>
            <w:tcW w:w="567" w:type="dxa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  <w:vAlign w:val="center"/>
          </w:tcPr>
          <w:p w:rsidR="00FD15F7" w:rsidRPr="00124713" w:rsidRDefault="00FD15F7" w:rsidP="00146BC7">
            <w:pPr>
              <w:pStyle w:val="Ttulo1"/>
              <w:spacing w:before="0" w:beforeAutospacing="0" w:after="0" w:afterAutospacing="0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124713">
              <w:rPr>
                <w:b w:val="0"/>
                <w:bCs w:val="0"/>
                <w:color w:val="000000" w:themeColor="text1"/>
                <w:sz w:val="20"/>
                <w:szCs w:val="20"/>
              </w:rPr>
              <w:t>O reconhecimento da categoria de refugiados ambientais pela ordem jurídica internacional: possibilidades e desafios</w:t>
            </w:r>
          </w:p>
        </w:tc>
        <w:tc>
          <w:tcPr>
            <w:tcW w:w="2410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Mudanças climáticas; Direitos humanos; Refugiados.</w:t>
            </w:r>
          </w:p>
        </w:tc>
        <w:tc>
          <w:tcPr>
            <w:tcW w:w="2711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Janaína Freiberger B. Peixe</w:t>
            </w:r>
          </w:p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Católica de Santa Catarina.</w:t>
            </w:r>
          </w:p>
        </w:tc>
        <w:tc>
          <w:tcPr>
            <w:tcW w:w="656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124713">
              <w:rPr>
                <w:color w:val="000000" w:themeColor="text1"/>
                <w:sz w:val="20"/>
                <w:szCs w:val="20"/>
                <w:lang w:val="en-US"/>
              </w:rPr>
              <w:t>2011</w:t>
            </w:r>
          </w:p>
        </w:tc>
      </w:tr>
      <w:tr w:rsidR="00FD15F7" w:rsidRPr="00124713" w:rsidTr="00146BC7">
        <w:trPr>
          <w:trHeight w:val="783"/>
        </w:trPr>
        <w:tc>
          <w:tcPr>
            <w:tcW w:w="567" w:type="dxa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vAlign w:val="center"/>
          </w:tcPr>
          <w:p w:rsidR="00FD15F7" w:rsidRPr="00124713" w:rsidRDefault="00FD15F7" w:rsidP="00146BC7">
            <w:pPr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 xml:space="preserve">Os direitos humanos dos humanos sem direitos: refugiados e a política do protesto </w:t>
            </w:r>
          </w:p>
        </w:tc>
        <w:tc>
          <w:tcPr>
            <w:tcW w:w="2410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Refugiados; Direitos humanos;</w:t>
            </w:r>
          </w:p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Cidadania; Humanitarismo;</w:t>
            </w:r>
          </w:p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Mobilidade.</w:t>
            </w:r>
          </w:p>
        </w:tc>
        <w:tc>
          <w:tcPr>
            <w:tcW w:w="2711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Carolina Moulin</w:t>
            </w:r>
          </w:p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*</w:t>
            </w:r>
          </w:p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2011</w:t>
            </w:r>
          </w:p>
        </w:tc>
      </w:tr>
      <w:tr w:rsidR="00FD15F7" w:rsidRPr="00124713" w:rsidTr="00146BC7">
        <w:trPr>
          <w:trHeight w:val="783"/>
        </w:trPr>
        <w:tc>
          <w:tcPr>
            <w:tcW w:w="567" w:type="dxa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268" w:type="dxa"/>
            <w:gridSpan w:val="2"/>
            <w:vAlign w:val="center"/>
          </w:tcPr>
          <w:p w:rsidR="00FD15F7" w:rsidRPr="00124713" w:rsidRDefault="00FD15F7" w:rsidP="00146BC7">
            <w:pPr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 xml:space="preserve">Direitos Humanos e refúgio: uma análise sobre o momento pós-determinação do status de refugiado </w:t>
            </w:r>
          </w:p>
        </w:tc>
        <w:tc>
          <w:tcPr>
            <w:tcW w:w="2410" w:type="dxa"/>
            <w:gridSpan w:val="2"/>
            <w:vAlign w:val="center"/>
          </w:tcPr>
          <w:p w:rsidR="00FD15F7" w:rsidRPr="00124713" w:rsidRDefault="00FD15F7" w:rsidP="00146B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ACNUR; Direitos humanos; Política internacional; Refugiados.</w:t>
            </w:r>
          </w:p>
        </w:tc>
        <w:tc>
          <w:tcPr>
            <w:tcW w:w="2711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Thais Silva Menezes</w:t>
            </w:r>
          </w:p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Rossana Rocha Reis</w:t>
            </w:r>
          </w:p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USP e UNB</w:t>
            </w:r>
          </w:p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2014</w:t>
            </w:r>
          </w:p>
        </w:tc>
      </w:tr>
      <w:tr w:rsidR="00FD15F7" w:rsidRPr="00124713" w:rsidTr="00146BC7">
        <w:trPr>
          <w:trHeight w:val="1061"/>
        </w:trPr>
        <w:tc>
          <w:tcPr>
            <w:tcW w:w="567" w:type="dxa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268" w:type="dxa"/>
            <w:gridSpan w:val="2"/>
            <w:vAlign w:val="center"/>
          </w:tcPr>
          <w:p w:rsidR="00FD15F7" w:rsidRPr="00124713" w:rsidRDefault="00FD15F7" w:rsidP="00146BC7">
            <w:pPr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 xml:space="preserve">Direitos Humanos e refúgio: uma análise sobre o momento anterior à determinação do status de refugiado </w:t>
            </w:r>
          </w:p>
        </w:tc>
        <w:tc>
          <w:tcPr>
            <w:tcW w:w="2410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Refúgio; Perseguição; Regime internacional dos refugiados; Direitos humanos; Violação de direitos humanos.</w:t>
            </w:r>
          </w:p>
        </w:tc>
        <w:tc>
          <w:tcPr>
            <w:tcW w:w="2711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Rossana Rocha Reis</w:t>
            </w:r>
          </w:p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Thais Silva Menezes</w:t>
            </w:r>
          </w:p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UNB e USP</w:t>
            </w:r>
          </w:p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2014</w:t>
            </w:r>
          </w:p>
        </w:tc>
      </w:tr>
      <w:tr w:rsidR="00FD15F7" w:rsidRPr="00124713" w:rsidTr="00146BC7">
        <w:trPr>
          <w:trHeight w:val="783"/>
        </w:trPr>
        <w:tc>
          <w:tcPr>
            <w:tcW w:w="567" w:type="dxa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268" w:type="dxa"/>
            <w:gridSpan w:val="2"/>
            <w:vAlign w:val="center"/>
          </w:tcPr>
          <w:p w:rsidR="00FD15F7" w:rsidRPr="00124713" w:rsidRDefault="00FD15F7" w:rsidP="00146B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Refúgio e realidade: desafios de definição ampliada de refúgio à luz das solicitações no Brasil</w:t>
            </w:r>
          </w:p>
        </w:tc>
        <w:tc>
          <w:tcPr>
            <w:tcW w:w="2410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Refúgio; Direitos humanos; Direito dos refugiados; Direito internacional dos direitos humanos, República Democrática do Congo.</w:t>
            </w:r>
          </w:p>
          <w:p w:rsidR="00FD15F7" w:rsidRPr="00124713" w:rsidRDefault="00FD15F7" w:rsidP="00146B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11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Aryadne B. Waldely; Bárbara G. das Virgens; Carla Miranda J. de Almeida</w:t>
            </w:r>
          </w:p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124713">
              <w:rPr>
                <w:color w:val="000000" w:themeColor="text1"/>
                <w:sz w:val="20"/>
                <w:szCs w:val="20"/>
                <w:lang w:val="en-US"/>
              </w:rPr>
              <w:t>UFRJ e Universidade de Paris 3 –Sorbonne Nouvelle e European Inter-University Centre for Human Rights and Democratisation</w:t>
            </w:r>
          </w:p>
        </w:tc>
        <w:tc>
          <w:tcPr>
            <w:tcW w:w="656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2014</w:t>
            </w:r>
          </w:p>
        </w:tc>
      </w:tr>
      <w:tr w:rsidR="00FD15F7" w:rsidRPr="00124713" w:rsidTr="00146BC7">
        <w:trPr>
          <w:trHeight w:val="783"/>
        </w:trPr>
        <w:tc>
          <w:tcPr>
            <w:tcW w:w="567" w:type="dxa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2"/>
            <w:vAlign w:val="center"/>
          </w:tcPr>
          <w:p w:rsidR="00FD15F7" w:rsidRPr="00124713" w:rsidRDefault="00FD15F7" w:rsidP="00146B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 xml:space="preserve">Brasil: possibilidades do instituto jurídico dos refugiados ambientais no contexto dos Direitos Humanos </w:t>
            </w:r>
          </w:p>
        </w:tc>
        <w:tc>
          <w:tcPr>
            <w:tcW w:w="2410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Refugiados; Direitos Humanos; Refugiados Ambientais.</w:t>
            </w:r>
          </w:p>
          <w:p w:rsidR="00FD15F7" w:rsidRPr="00124713" w:rsidRDefault="00FD15F7" w:rsidP="00146BC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11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César Augusto S. da Silva</w:t>
            </w:r>
          </w:p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UFGD</w:t>
            </w:r>
          </w:p>
        </w:tc>
        <w:tc>
          <w:tcPr>
            <w:tcW w:w="656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2015</w:t>
            </w:r>
          </w:p>
        </w:tc>
      </w:tr>
      <w:tr w:rsidR="00FD15F7" w:rsidRPr="00124713" w:rsidTr="00146BC7">
        <w:trPr>
          <w:trHeight w:val="783"/>
        </w:trPr>
        <w:tc>
          <w:tcPr>
            <w:tcW w:w="567" w:type="dxa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268" w:type="dxa"/>
            <w:gridSpan w:val="2"/>
            <w:vAlign w:val="center"/>
          </w:tcPr>
          <w:p w:rsidR="00FD15F7" w:rsidRPr="00124713" w:rsidRDefault="00FD15F7" w:rsidP="00146BC7">
            <w:pPr>
              <w:pStyle w:val="Ttulo3"/>
              <w:shd w:val="clear" w:color="auto" w:fill="FFFFFF"/>
              <w:spacing w:before="0"/>
              <w:ind w:right="240"/>
              <w:jc w:val="both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</w:pPr>
            <w:r w:rsidRPr="001247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Reassentamento solidário e políticas públicas para refugiados no Brasil </w:t>
            </w:r>
          </w:p>
        </w:tc>
        <w:tc>
          <w:tcPr>
            <w:tcW w:w="2410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Refugiados, Reassentamento Solidário; Direitos Humanos.</w:t>
            </w:r>
          </w:p>
        </w:tc>
        <w:tc>
          <w:tcPr>
            <w:tcW w:w="2711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Raul Felix Barbosa</w:t>
            </w:r>
          </w:p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UFES</w:t>
            </w:r>
          </w:p>
        </w:tc>
        <w:tc>
          <w:tcPr>
            <w:tcW w:w="656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2015</w:t>
            </w:r>
          </w:p>
        </w:tc>
      </w:tr>
      <w:tr w:rsidR="00FD15F7" w:rsidRPr="00124713" w:rsidTr="00146BC7">
        <w:trPr>
          <w:trHeight w:val="783"/>
        </w:trPr>
        <w:tc>
          <w:tcPr>
            <w:tcW w:w="567" w:type="dxa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268" w:type="dxa"/>
            <w:gridSpan w:val="2"/>
            <w:vAlign w:val="center"/>
          </w:tcPr>
          <w:p w:rsidR="00FD15F7" w:rsidRPr="00124713" w:rsidRDefault="00FD15F7" w:rsidP="00146B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Políticas públicas e desigualdades na migração e refúgio</w:t>
            </w:r>
          </w:p>
        </w:tc>
        <w:tc>
          <w:tcPr>
            <w:tcW w:w="2410" w:type="dxa"/>
            <w:gridSpan w:val="2"/>
            <w:vAlign w:val="center"/>
          </w:tcPr>
          <w:p w:rsidR="00FD15F7" w:rsidRPr="00124713" w:rsidRDefault="00FD15F7" w:rsidP="00146B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Direitos humanos, Políticas migratórias; Desigualdades; Migrações.</w:t>
            </w:r>
          </w:p>
        </w:tc>
        <w:tc>
          <w:tcPr>
            <w:tcW w:w="2711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Carmem Lussi</w:t>
            </w:r>
          </w:p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656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2015</w:t>
            </w:r>
          </w:p>
        </w:tc>
      </w:tr>
      <w:tr w:rsidR="00FD15F7" w:rsidRPr="00124713" w:rsidTr="00146BC7">
        <w:trPr>
          <w:trHeight w:val="783"/>
        </w:trPr>
        <w:tc>
          <w:tcPr>
            <w:tcW w:w="567" w:type="dxa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lastRenderedPageBreak/>
              <w:t>12</w:t>
            </w:r>
          </w:p>
        </w:tc>
        <w:tc>
          <w:tcPr>
            <w:tcW w:w="2268" w:type="dxa"/>
            <w:gridSpan w:val="2"/>
            <w:vAlign w:val="center"/>
          </w:tcPr>
          <w:p w:rsidR="00FD15F7" w:rsidRPr="00124713" w:rsidRDefault="00FD15F7" w:rsidP="00146B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Imigração haitiana e o Brasil: considerações sobre a negativa caracterização do refúgio (RP)</w:t>
            </w:r>
          </w:p>
        </w:tc>
        <w:tc>
          <w:tcPr>
            <w:tcW w:w="2410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 xml:space="preserve">Direito de Refúgio, Direitos Humanos, Haitianos, </w:t>
            </w:r>
          </w:p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i/>
                <w:iCs/>
                <w:color w:val="000000" w:themeColor="text1"/>
                <w:sz w:val="20"/>
                <w:szCs w:val="20"/>
              </w:rPr>
              <w:t>Non refoulement</w:t>
            </w:r>
          </w:p>
          <w:p w:rsidR="00FD15F7" w:rsidRPr="00124713" w:rsidRDefault="00FD15F7" w:rsidP="00146BC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11" w:type="dxa"/>
            <w:gridSpan w:val="2"/>
            <w:vAlign w:val="center"/>
          </w:tcPr>
          <w:p w:rsidR="00FD15F7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Marcos Caio Lopes Moro</w:t>
            </w:r>
          </w:p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César Augusto S. da Silva</w:t>
            </w:r>
          </w:p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UFGD</w:t>
            </w:r>
          </w:p>
        </w:tc>
        <w:tc>
          <w:tcPr>
            <w:tcW w:w="656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2015</w:t>
            </w:r>
          </w:p>
        </w:tc>
      </w:tr>
      <w:tr w:rsidR="00FD15F7" w:rsidRPr="00124713" w:rsidTr="00146BC7">
        <w:trPr>
          <w:trHeight w:val="783"/>
        </w:trPr>
        <w:tc>
          <w:tcPr>
            <w:tcW w:w="567" w:type="dxa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268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Derecho Internacional de los Refugiados en el siglo XXI: Desafíos al Estado Brasileño</w:t>
            </w:r>
          </w:p>
        </w:tc>
        <w:tc>
          <w:tcPr>
            <w:tcW w:w="2410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Direitos humanos, Proteção do indivíduo, Refúgio</w:t>
            </w:r>
          </w:p>
        </w:tc>
        <w:tc>
          <w:tcPr>
            <w:tcW w:w="2711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Eraldo Silva Jr.</w:t>
            </w:r>
          </w:p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UERJ</w:t>
            </w:r>
          </w:p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2017</w:t>
            </w:r>
          </w:p>
        </w:tc>
      </w:tr>
      <w:tr w:rsidR="00FD15F7" w:rsidRPr="00124713" w:rsidTr="00146BC7">
        <w:trPr>
          <w:trHeight w:val="783"/>
        </w:trPr>
        <w:tc>
          <w:tcPr>
            <w:tcW w:w="567" w:type="dxa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268" w:type="dxa"/>
            <w:gridSpan w:val="2"/>
            <w:vAlign w:val="center"/>
          </w:tcPr>
          <w:p w:rsidR="00FD15F7" w:rsidRPr="00124713" w:rsidRDefault="00FD15F7" w:rsidP="00146BC7">
            <w:pPr>
              <w:pStyle w:val="Ttulo3"/>
              <w:spacing w:before="0"/>
              <w:ind w:right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7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Refugiados, responsabilidade e governança.</w:t>
            </w:r>
          </w:p>
        </w:tc>
        <w:tc>
          <w:tcPr>
            <w:tcW w:w="2410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Refugiados; Governança; Direitos Humanos; Migrações.</w:t>
            </w:r>
          </w:p>
        </w:tc>
        <w:tc>
          <w:tcPr>
            <w:tcW w:w="2711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Raul Felix Barbosa; Viviane Mozine Rodrigues</w:t>
            </w:r>
          </w:p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UFES e PUC-SP</w:t>
            </w:r>
          </w:p>
        </w:tc>
        <w:tc>
          <w:tcPr>
            <w:tcW w:w="656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2017</w:t>
            </w:r>
          </w:p>
        </w:tc>
      </w:tr>
      <w:tr w:rsidR="00FD15F7" w:rsidRPr="00124713" w:rsidTr="00146BC7">
        <w:trPr>
          <w:trHeight w:val="783"/>
        </w:trPr>
        <w:tc>
          <w:tcPr>
            <w:tcW w:w="567" w:type="dxa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268" w:type="dxa"/>
            <w:gridSpan w:val="2"/>
            <w:vAlign w:val="center"/>
          </w:tcPr>
          <w:p w:rsidR="00FD15F7" w:rsidRPr="00124713" w:rsidRDefault="00FD15F7" w:rsidP="00146BC7">
            <w:pPr>
              <w:pStyle w:val="Ttulo3"/>
              <w:spacing w:before="0"/>
              <w:ind w:right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7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Sul-Americanos na Grande São Paulo: pesquisa-ação na Conferência Nacional de Migração e Refúgio e o diagnóstico dos imigrantes sobre a marginalização de direitos no Brasil </w:t>
            </w:r>
          </w:p>
        </w:tc>
        <w:tc>
          <w:tcPr>
            <w:tcW w:w="2410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Imigração; Sul-americanos, Mercosul; Comigrar.</w:t>
            </w:r>
          </w:p>
        </w:tc>
        <w:tc>
          <w:tcPr>
            <w:tcW w:w="2711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Cynthia Soares Carneiro</w:t>
            </w:r>
          </w:p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USP</w:t>
            </w:r>
          </w:p>
        </w:tc>
        <w:tc>
          <w:tcPr>
            <w:tcW w:w="656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2017</w:t>
            </w:r>
          </w:p>
        </w:tc>
      </w:tr>
      <w:tr w:rsidR="00FD15F7" w:rsidRPr="00124713" w:rsidTr="00146BC7">
        <w:trPr>
          <w:trHeight w:val="783"/>
        </w:trPr>
        <w:tc>
          <w:tcPr>
            <w:tcW w:w="567" w:type="dxa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268" w:type="dxa"/>
            <w:gridSpan w:val="2"/>
            <w:vAlign w:val="center"/>
          </w:tcPr>
          <w:p w:rsidR="00FD15F7" w:rsidRPr="00124713" w:rsidRDefault="00FD15F7" w:rsidP="00146BC7">
            <w:pPr>
              <w:pStyle w:val="Ttulo1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124713"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“É um problema de todo mundo”: Conceitos, métodos e práticas no ensino de português para refugiados. </w:t>
            </w:r>
          </w:p>
        </w:tc>
        <w:tc>
          <w:tcPr>
            <w:tcW w:w="2410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Ensino de Línguas para refugiados; Refúgio; Direitos Humanos.</w:t>
            </w:r>
          </w:p>
          <w:p w:rsidR="00FD15F7" w:rsidRPr="00124713" w:rsidRDefault="00FD15F7" w:rsidP="00146BC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11" w:type="dxa"/>
            <w:gridSpan w:val="2"/>
            <w:vAlign w:val="center"/>
          </w:tcPr>
          <w:p w:rsidR="00FD15F7" w:rsidRPr="00124713" w:rsidRDefault="00FD15F7" w:rsidP="00146BC7">
            <w:pPr>
              <w:tabs>
                <w:tab w:val="left" w:pos="797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Bruno Deusdará; Poliana Coeli Costa Arantes;</w:t>
            </w:r>
            <w:r w:rsidRPr="00124713">
              <w:rPr>
                <w:color w:val="000000" w:themeColor="text1"/>
                <w:position w:val="6"/>
                <w:sz w:val="20"/>
                <w:szCs w:val="20"/>
              </w:rPr>
              <w:t xml:space="preserve"> </w:t>
            </w:r>
            <w:r w:rsidRPr="00124713">
              <w:rPr>
                <w:color w:val="000000" w:themeColor="text1"/>
                <w:sz w:val="20"/>
                <w:szCs w:val="20"/>
              </w:rPr>
              <w:t>Ana Karina Brenner</w:t>
            </w:r>
          </w:p>
          <w:p w:rsidR="00FD15F7" w:rsidRPr="00124713" w:rsidRDefault="00FD15F7" w:rsidP="00146BC7">
            <w:pPr>
              <w:tabs>
                <w:tab w:val="left" w:pos="797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UERJ, </w:t>
            </w:r>
            <w:r w:rsidRPr="00124713">
              <w:rPr>
                <w:color w:val="000000" w:themeColor="text1"/>
                <w:sz w:val="20"/>
                <w:szCs w:val="20"/>
              </w:rPr>
              <w:t>ACNUR, ONU e FAPERJ.</w:t>
            </w:r>
          </w:p>
        </w:tc>
        <w:tc>
          <w:tcPr>
            <w:tcW w:w="656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2018</w:t>
            </w:r>
          </w:p>
        </w:tc>
      </w:tr>
      <w:tr w:rsidR="00FD15F7" w:rsidRPr="00124713" w:rsidTr="00146BC7">
        <w:trPr>
          <w:trHeight w:val="783"/>
        </w:trPr>
        <w:tc>
          <w:tcPr>
            <w:tcW w:w="567" w:type="dxa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268" w:type="dxa"/>
            <w:gridSpan w:val="2"/>
            <w:vAlign w:val="center"/>
          </w:tcPr>
          <w:p w:rsidR="00FD15F7" w:rsidRPr="00124713" w:rsidRDefault="00FD15F7" w:rsidP="00146B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 xml:space="preserve">Sem “direito a ter direito”?: Lendo os protestos de refugiados enquanto autonomia política </w:t>
            </w:r>
          </w:p>
        </w:tc>
        <w:tc>
          <w:tcPr>
            <w:tcW w:w="2410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Refúgio; Precariedade; Direitos Humanos.</w:t>
            </w:r>
          </w:p>
          <w:p w:rsidR="00FD15F7" w:rsidRPr="00124713" w:rsidRDefault="00FD15F7" w:rsidP="00146BC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11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Brunilda Pali; Katrin Kremmel; Fabricio Pontin</w:t>
            </w:r>
          </w:p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position w:val="8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FWO, KU-Leuven-Bélgica, Universidade de Vienna, Universidade de Illinois,</w:t>
            </w:r>
          </w:p>
        </w:tc>
        <w:tc>
          <w:tcPr>
            <w:tcW w:w="656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2018</w:t>
            </w:r>
          </w:p>
        </w:tc>
      </w:tr>
      <w:tr w:rsidR="00FD15F7" w:rsidRPr="00124713" w:rsidTr="00146BC7">
        <w:trPr>
          <w:trHeight w:val="783"/>
        </w:trPr>
        <w:tc>
          <w:tcPr>
            <w:tcW w:w="567" w:type="dxa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268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 xml:space="preserve">Refugiados e Conflitos internacionais: o caso da região dos Grandes Lagos Africanos </w:t>
            </w:r>
          </w:p>
        </w:tc>
        <w:tc>
          <w:tcPr>
            <w:tcW w:w="2410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 xml:space="preserve">Conflitos internacionais; Região dos Grandes; Refugiados; Migração; </w:t>
            </w:r>
            <w:r w:rsidRPr="00124713">
              <w:rPr>
                <w:sz w:val="20"/>
                <w:szCs w:val="20"/>
              </w:rPr>
              <w:t>Direitos humanos;</w:t>
            </w:r>
            <w:r w:rsidRPr="00124713">
              <w:rPr>
                <w:color w:val="000000" w:themeColor="text1"/>
                <w:sz w:val="20"/>
                <w:szCs w:val="20"/>
              </w:rPr>
              <w:t xml:space="preserve"> Lagos Africanos.</w:t>
            </w:r>
          </w:p>
        </w:tc>
        <w:tc>
          <w:tcPr>
            <w:tcW w:w="2711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Sérgio Luiz Cruz Aguilar; Mariana M. Saes Braga</w:t>
            </w:r>
          </w:p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UNESP</w:t>
            </w:r>
          </w:p>
        </w:tc>
        <w:tc>
          <w:tcPr>
            <w:tcW w:w="656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2018</w:t>
            </w:r>
          </w:p>
        </w:tc>
      </w:tr>
      <w:tr w:rsidR="00FD15F7" w:rsidRPr="00124713" w:rsidTr="00146BC7">
        <w:trPr>
          <w:gridAfter w:val="1"/>
          <w:wAfter w:w="6" w:type="dxa"/>
          <w:trHeight w:val="783"/>
        </w:trPr>
        <w:tc>
          <w:tcPr>
            <w:tcW w:w="567" w:type="dxa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262" w:type="dxa"/>
            <w:vAlign w:val="center"/>
          </w:tcPr>
          <w:p w:rsidR="00FD15F7" w:rsidRPr="00124713" w:rsidRDefault="00FD15F7" w:rsidP="00146BC7">
            <w:pPr>
              <w:pStyle w:val="Ttulo1"/>
              <w:spacing w:before="0" w:beforeAutospacing="0" w:after="0" w:afterAutospacing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124713"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Direitos Humanos e refugiados: relações entre regimes internacionais construídos no sistema ONU </w:t>
            </w:r>
          </w:p>
        </w:tc>
        <w:tc>
          <w:tcPr>
            <w:tcW w:w="2410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Direitos humanos; Refugiados;</w:t>
            </w:r>
          </w:p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Regimes internacionais.</w:t>
            </w:r>
          </w:p>
          <w:p w:rsidR="00FD15F7" w:rsidRPr="00124713" w:rsidRDefault="00FD15F7" w:rsidP="00146BC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11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Julia Bertino Moreira</w:t>
            </w:r>
          </w:p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Janine Hadassa Oliveira Marques de Borba/</w:t>
            </w:r>
          </w:p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Universidade da Bretanha Ocidental (França) e UFABC</w:t>
            </w:r>
          </w:p>
        </w:tc>
        <w:tc>
          <w:tcPr>
            <w:tcW w:w="656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2018</w:t>
            </w:r>
          </w:p>
        </w:tc>
      </w:tr>
      <w:tr w:rsidR="00FD15F7" w:rsidRPr="00124713" w:rsidTr="00146BC7">
        <w:trPr>
          <w:trHeight w:val="783"/>
        </w:trPr>
        <w:tc>
          <w:tcPr>
            <w:tcW w:w="567" w:type="dxa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20</w:t>
            </w:r>
          </w:p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D15F7" w:rsidRPr="00124713" w:rsidRDefault="00FD15F7" w:rsidP="00146BC7">
            <w:pPr>
              <w:pStyle w:val="Ttulo1"/>
              <w:spacing w:before="0" w:beforeAutospacing="0" w:after="0" w:afterAutospacing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124713">
              <w:rPr>
                <w:b w:val="0"/>
                <w:bCs w:val="0"/>
                <w:color w:val="000000" w:themeColor="text1"/>
                <w:sz w:val="20"/>
                <w:szCs w:val="20"/>
              </w:rPr>
              <w:t>O direito de partir dos refugiados no direito cosmopolita</w:t>
            </w:r>
          </w:p>
        </w:tc>
        <w:tc>
          <w:tcPr>
            <w:tcW w:w="2410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Direito cosmopolita; Refugiado; Direito de partir; Direitos humanos; Hospitalidade.</w:t>
            </w:r>
          </w:p>
          <w:p w:rsidR="00FD15F7" w:rsidRPr="00124713" w:rsidRDefault="00FD15F7" w:rsidP="00146BC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11" w:type="dxa"/>
            <w:gridSpan w:val="2"/>
            <w:vAlign w:val="center"/>
          </w:tcPr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Thaís Magrini Schiavon e Lissandra E. de Mello Aguirre</w:t>
            </w:r>
          </w:p>
          <w:p w:rsidR="00FD15F7" w:rsidRPr="00124713" w:rsidRDefault="00FD15F7" w:rsidP="00146BC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UNIOESTE</w:t>
            </w:r>
          </w:p>
        </w:tc>
        <w:tc>
          <w:tcPr>
            <w:tcW w:w="656" w:type="dxa"/>
            <w:gridSpan w:val="2"/>
            <w:vAlign w:val="center"/>
          </w:tcPr>
          <w:p w:rsidR="00FD15F7" w:rsidRPr="00124713" w:rsidRDefault="00FD15F7" w:rsidP="00146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2019</w:t>
            </w:r>
          </w:p>
        </w:tc>
      </w:tr>
    </w:tbl>
    <w:p w:rsidR="00FD15F7" w:rsidRPr="00124713" w:rsidRDefault="00FD15F7" w:rsidP="00FD15F7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124713">
        <w:rPr>
          <w:rFonts w:ascii="Times New Roman" w:hAnsi="Times New Roman"/>
          <w:sz w:val="20"/>
          <w:szCs w:val="20"/>
        </w:rPr>
        <w:t>Pesquisadores autônomos. Sem vinculação institucional expressa na publicação.</w:t>
      </w:r>
    </w:p>
    <w:p w:rsidR="00FD15F7" w:rsidRPr="00124713" w:rsidRDefault="00FD15F7" w:rsidP="00FD15F7">
      <w:pPr>
        <w:ind w:firstLine="360"/>
        <w:rPr>
          <w:sz w:val="20"/>
          <w:szCs w:val="20"/>
          <w:lang w:eastAsia="en-US"/>
        </w:rPr>
      </w:pPr>
      <w:r w:rsidRPr="00124713">
        <w:rPr>
          <w:sz w:val="20"/>
          <w:szCs w:val="20"/>
          <w:lang w:eastAsia="en-US"/>
        </w:rPr>
        <w:t>Tabela elaborada pelas autoras (2019)</w:t>
      </w:r>
    </w:p>
    <w:p w:rsidR="005B78B4" w:rsidRDefault="005B78B4"/>
    <w:sectPr w:rsidR="005B78B4" w:rsidSect="00525E2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75569"/>
    <w:multiLevelType w:val="hybridMultilevel"/>
    <w:tmpl w:val="D13ED7DA"/>
    <w:lvl w:ilvl="0" w:tplc="8D2C4DD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5F7"/>
    <w:rsid w:val="00525E26"/>
    <w:rsid w:val="005B78B4"/>
    <w:rsid w:val="00BC23BA"/>
    <w:rsid w:val="00FD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AB60C76-F790-D840-9550-D1AB6B1C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5F7"/>
    <w:rPr>
      <w:rFonts w:ascii="Times New Roman" w:eastAsia="Times New Roman" w:hAnsi="Times New Roman" w:cs="Times New Roman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FD15F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D15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D15F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D15F7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PargrafodaLista">
    <w:name w:val="List Paragraph"/>
    <w:basedOn w:val="Normal"/>
    <w:uiPriority w:val="34"/>
    <w:qFormat/>
    <w:rsid w:val="00FD15F7"/>
    <w:pPr>
      <w:spacing w:after="160" w:line="259" w:lineRule="auto"/>
      <w:ind w:left="720"/>
      <w:contextualSpacing/>
    </w:pPr>
    <w:rPr>
      <w:rFonts w:ascii="Calibri" w:eastAsia="Malgun Gothic" w:hAnsi="Calibri"/>
      <w:sz w:val="22"/>
      <w:szCs w:val="22"/>
      <w:lang w:eastAsia="ko-KR"/>
    </w:rPr>
  </w:style>
  <w:style w:type="table" w:styleId="Tabelacomgrade">
    <w:name w:val="Table Grid"/>
    <w:basedOn w:val="Tabelanormal"/>
    <w:uiPriority w:val="39"/>
    <w:rsid w:val="00FD1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D15F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645</Words>
  <Characters>4128</Characters>
  <Application>Microsoft Office Word</Application>
  <DocSecurity>0</DocSecurity>
  <Lines>294</Lines>
  <Paragraphs>159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Office</dc:creator>
  <cp:keywords/>
  <dc:description/>
  <cp:lastModifiedBy>Usuário Office</cp:lastModifiedBy>
  <cp:revision>2</cp:revision>
  <dcterms:created xsi:type="dcterms:W3CDTF">2020-04-12T16:23:00Z</dcterms:created>
  <dcterms:modified xsi:type="dcterms:W3CDTF">2020-04-20T23:31:00Z</dcterms:modified>
  <cp:category/>
</cp:coreProperties>
</file>