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F93849" w14:textId="47B2CD7F" w:rsidR="008D0413" w:rsidRDefault="008D0413" w:rsidP="003F4F52">
      <w:pPr>
        <w:spacing w:after="0" w:line="240" w:lineRule="auto"/>
        <w:jc w:val="center"/>
        <w:rPr>
          <w:rFonts w:ascii="Times New Roman" w:hAnsi="Times New Roman"/>
          <w:b/>
          <w:bCs/>
          <w:sz w:val="24"/>
          <w:szCs w:val="24"/>
        </w:rPr>
      </w:pPr>
      <w:r>
        <w:rPr>
          <w:rFonts w:ascii="Times New Roman" w:hAnsi="Times New Roman"/>
          <w:b/>
          <w:bCs/>
          <w:sz w:val="24"/>
          <w:szCs w:val="24"/>
        </w:rPr>
        <w:t xml:space="preserve">O PLANEJAMENTO NA NOVA LEI DE LICITAÇÕES E A APLICABILIDADE DE SEUS INSTRUMENTOS </w:t>
      </w:r>
      <w:r w:rsidR="005644B7">
        <w:rPr>
          <w:rFonts w:ascii="Times New Roman" w:hAnsi="Times New Roman"/>
          <w:b/>
          <w:bCs/>
          <w:sz w:val="24"/>
          <w:szCs w:val="24"/>
        </w:rPr>
        <w:t>EM</w:t>
      </w:r>
      <w:r>
        <w:rPr>
          <w:rFonts w:ascii="Times New Roman" w:hAnsi="Times New Roman"/>
          <w:b/>
          <w:bCs/>
          <w:sz w:val="24"/>
          <w:szCs w:val="24"/>
        </w:rPr>
        <w:t xml:space="preserve"> PEQUENOS MUNICÍPIOS</w:t>
      </w:r>
    </w:p>
    <w:p w14:paraId="5D811C2F" w14:textId="43472EEA" w:rsidR="006A3D8B" w:rsidRPr="008555B6" w:rsidRDefault="008D0413" w:rsidP="003F4F52">
      <w:pPr>
        <w:spacing w:after="0" w:line="240" w:lineRule="auto"/>
        <w:jc w:val="center"/>
        <w:rPr>
          <w:rFonts w:ascii="Times New Roman" w:hAnsi="Times New Roman"/>
          <w:sz w:val="24"/>
          <w:szCs w:val="24"/>
        </w:rPr>
      </w:pPr>
      <w:r w:rsidRPr="005644B7">
        <w:rPr>
          <w:rFonts w:ascii="Times New Roman" w:hAnsi="Times New Roman"/>
          <w:b/>
          <w:bCs/>
          <w:sz w:val="24"/>
          <w:szCs w:val="24"/>
        </w:rPr>
        <w:t xml:space="preserve"> </w:t>
      </w:r>
    </w:p>
    <w:p w14:paraId="1875E8E2" w14:textId="6DEDC3D7" w:rsidR="005F6E2C" w:rsidRPr="0089160D" w:rsidRDefault="008D0413" w:rsidP="003F4F52">
      <w:pPr>
        <w:spacing w:after="0" w:line="240" w:lineRule="auto"/>
        <w:jc w:val="both"/>
        <w:rPr>
          <w:rFonts w:ascii="Times New Roman" w:eastAsia="Times New Roman" w:hAnsi="Times New Roman"/>
          <w:sz w:val="24"/>
          <w:szCs w:val="24"/>
          <w:lang w:eastAsia="pt-BR"/>
        </w:rPr>
      </w:pPr>
      <w:r w:rsidRPr="0089160D">
        <w:rPr>
          <w:rFonts w:ascii="Times New Roman" w:hAnsi="Times New Roman"/>
          <w:sz w:val="24"/>
          <w:szCs w:val="24"/>
        </w:rPr>
        <w:t xml:space="preserve">Resumo: </w:t>
      </w:r>
      <w:r w:rsidR="005F6E2C" w:rsidRPr="0089160D">
        <w:rPr>
          <w:rFonts w:ascii="Times New Roman" w:eastAsia="Times New Roman" w:hAnsi="Times New Roman"/>
          <w:sz w:val="24"/>
          <w:szCs w:val="24"/>
          <w:lang w:eastAsia="pt-BR"/>
        </w:rPr>
        <w:t>A Lei nº 14.133, de 1º de abril de 2021, que dispõe sobre licitações e contratos administrativos</w:t>
      </w:r>
      <w:r w:rsidR="005F6E2C">
        <w:rPr>
          <w:rFonts w:ascii="Times New Roman" w:eastAsia="Times New Roman" w:hAnsi="Times New Roman"/>
          <w:sz w:val="24"/>
          <w:szCs w:val="24"/>
          <w:lang w:eastAsia="pt-BR"/>
        </w:rPr>
        <w:t>,</w:t>
      </w:r>
      <w:r w:rsidR="005F6E2C" w:rsidRPr="0089160D">
        <w:rPr>
          <w:rFonts w:ascii="Times New Roman" w:eastAsia="Times New Roman" w:hAnsi="Times New Roman"/>
          <w:sz w:val="24"/>
          <w:szCs w:val="24"/>
          <w:lang w:eastAsia="pt-BR"/>
        </w:rPr>
        <w:t xml:space="preserve"> destacou, de maneira implacável, o instrumento do planejamento ao regime de compras e contratações do poder público.</w:t>
      </w:r>
      <w:r w:rsidR="005F6E2C">
        <w:rPr>
          <w:rFonts w:ascii="Times New Roman" w:eastAsia="Times New Roman" w:hAnsi="Times New Roman"/>
          <w:sz w:val="24"/>
          <w:szCs w:val="24"/>
          <w:lang w:eastAsia="pt-BR"/>
        </w:rPr>
        <w:t xml:space="preserve"> Para delimitar </w:t>
      </w:r>
      <w:r w:rsidR="005F6E2C" w:rsidRPr="0089160D">
        <w:rPr>
          <w:rFonts w:ascii="Times New Roman" w:eastAsia="Times New Roman" w:hAnsi="Times New Roman"/>
          <w:sz w:val="24"/>
          <w:szCs w:val="24"/>
          <w:lang w:eastAsia="pt-BR"/>
        </w:rPr>
        <w:t>o tema analis</w:t>
      </w:r>
      <w:r w:rsidR="005F6E2C">
        <w:rPr>
          <w:rFonts w:ascii="Times New Roman" w:eastAsia="Times New Roman" w:hAnsi="Times New Roman"/>
          <w:sz w:val="24"/>
          <w:szCs w:val="24"/>
          <w:lang w:eastAsia="pt-BR"/>
        </w:rPr>
        <w:t>ou-se</w:t>
      </w:r>
      <w:r w:rsidR="005F6E2C" w:rsidRPr="0089160D">
        <w:rPr>
          <w:rFonts w:ascii="Times New Roman" w:eastAsia="Times New Roman" w:hAnsi="Times New Roman"/>
          <w:sz w:val="24"/>
          <w:szCs w:val="24"/>
          <w:lang w:eastAsia="pt-BR"/>
        </w:rPr>
        <w:t xml:space="preserve"> a situação específica de município</w:t>
      </w:r>
      <w:r w:rsidR="005F6E2C">
        <w:rPr>
          <w:rFonts w:ascii="Times New Roman" w:eastAsia="Times New Roman" w:hAnsi="Times New Roman"/>
          <w:sz w:val="24"/>
          <w:szCs w:val="24"/>
          <w:lang w:eastAsia="pt-BR"/>
        </w:rPr>
        <w:t>s</w:t>
      </w:r>
      <w:r w:rsidR="005F6E2C" w:rsidRPr="0089160D">
        <w:rPr>
          <w:rFonts w:ascii="Times New Roman" w:eastAsia="Times New Roman" w:hAnsi="Times New Roman"/>
          <w:sz w:val="24"/>
          <w:szCs w:val="24"/>
          <w:lang w:eastAsia="pt-BR"/>
        </w:rPr>
        <w:t xml:space="preserve"> de pequeno porte</w:t>
      </w:r>
      <w:r w:rsidR="005F6E2C">
        <w:rPr>
          <w:rFonts w:ascii="Times New Roman" w:eastAsia="Times New Roman" w:hAnsi="Times New Roman"/>
          <w:sz w:val="24"/>
          <w:szCs w:val="24"/>
          <w:lang w:eastAsia="pt-BR"/>
        </w:rPr>
        <w:t xml:space="preserve">, sendo o objetivo do artigo verificar a aplicabilidade dos mecanismos de planejamento previstos na nova Lei </w:t>
      </w:r>
      <w:r w:rsidR="005F6E2C" w:rsidRPr="00880E1E">
        <w:rPr>
          <w:rFonts w:ascii="Times New Roman" w:eastAsia="Times New Roman" w:hAnsi="Times New Roman"/>
          <w:sz w:val="24"/>
          <w:szCs w:val="24"/>
          <w:lang w:eastAsia="pt-BR"/>
        </w:rPr>
        <w:t>de Licitações. Como os municípios de pequeno porte se comportarão diante da nova regra legal consiste na hipótese do trabalho. O artigo</w:t>
      </w:r>
      <w:r w:rsidR="008555B6">
        <w:rPr>
          <w:rFonts w:ascii="Times New Roman" w:eastAsia="Times New Roman" w:hAnsi="Times New Roman"/>
          <w:sz w:val="24"/>
          <w:szCs w:val="24"/>
          <w:lang w:eastAsia="pt-BR"/>
        </w:rPr>
        <w:t>,</w:t>
      </w:r>
      <w:r w:rsidR="005F6E2C" w:rsidRPr="00880E1E">
        <w:rPr>
          <w:rFonts w:ascii="Times New Roman" w:eastAsia="Times New Roman" w:hAnsi="Times New Roman"/>
          <w:sz w:val="24"/>
          <w:szCs w:val="24"/>
          <w:lang w:eastAsia="pt-BR"/>
        </w:rPr>
        <w:t xml:space="preserve"> dividido em três partes</w:t>
      </w:r>
      <w:r w:rsidR="008555B6">
        <w:rPr>
          <w:rFonts w:ascii="Times New Roman" w:eastAsia="Times New Roman" w:hAnsi="Times New Roman"/>
          <w:sz w:val="24"/>
          <w:szCs w:val="24"/>
          <w:lang w:eastAsia="pt-BR"/>
        </w:rPr>
        <w:t>,</w:t>
      </w:r>
      <w:r w:rsidR="005F6E2C" w:rsidRPr="00880E1E">
        <w:rPr>
          <w:rFonts w:ascii="Times New Roman" w:eastAsia="Times New Roman" w:hAnsi="Times New Roman"/>
          <w:sz w:val="24"/>
          <w:szCs w:val="24"/>
          <w:lang w:eastAsia="pt-BR"/>
        </w:rPr>
        <w:t xml:space="preserve"> apresenta primeiramente, a contextualização do planejamento das ações administrativas na esfera pública. Em seguida, foram apresentadas as inovações trazidas pela nova Lei no âmbito do planejamento de compras e contratações. E, na terceira e última parte, foram trazidos os entraves à adoção dos mecanismos de planejamento pelos pequenos municípios. Concluiu-se que as formalidades impostas pela nova Lei desconsideram as múltiplas realidades dos municípios </w:t>
      </w:r>
      <w:r w:rsidR="005F6E2C">
        <w:rPr>
          <w:rFonts w:ascii="Times New Roman" w:eastAsia="Times New Roman" w:hAnsi="Times New Roman"/>
          <w:sz w:val="24"/>
          <w:szCs w:val="24"/>
          <w:lang w:eastAsia="pt-BR"/>
        </w:rPr>
        <w:t xml:space="preserve">brasileiros. </w:t>
      </w:r>
      <w:r w:rsidR="005F6E2C" w:rsidRPr="0089160D">
        <w:rPr>
          <w:rFonts w:ascii="Times New Roman" w:eastAsia="Times New Roman" w:hAnsi="Times New Roman"/>
          <w:sz w:val="24"/>
          <w:szCs w:val="24"/>
          <w:lang w:eastAsia="pt-BR"/>
        </w:rPr>
        <w:t>Para se alcançar o proposto foi utilizada a pesquisa bibliográfica e teórica, priorizando a análise de conteúdo.</w:t>
      </w:r>
      <w:r w:rsidR="005F6E2C">
        <w:rPr>
          <w:rFonts w:ascii="Times New Roman" w:eastAsia="Times New Roman" w:hAnsi="Times New Roman"/>
          <w:sz w:val="24"/>
          <w:szCs w:val="24"/>
          <w:lang w:eastAsia="pt-BR"/>
        </w:rPr>
        <w:t xml:space="preserve"> Também, foram avaliados dados do IBGE com relação à estrutura organizacional dos órgãos de controle interno dos municípios e, ainda, do quadro de pessoal de municípios de pequeno porte da microrregião do Vale do Paranaíba em Minas Gerais. A relevância do estudo se relaciona, justamente, </w:t>
      </w:r>
      <w:r w:rsidR="001716EC">
        <w:rPr>
          <w:rFonts w:ascii="Times New Roman" w:eastAsia="Times New Roman" w:hAnsi="Times New Roman"/>
          <w:sz w:val="24"/>
          <w:szCs w:val="24"/>
          <w:lang w:eastAsia="pt-BR"/>
        </w:rPr>
        <w:t>à</w:t>
      </w:r>
      <w:r w:rsidR="005F6E2C">
        <w:rPr>
          <w:rFonts w:ascii="Times New Roman" w:eastAsia="Times New Roman" w:hAnsi="Times New Roman"/>
          <w:sz w:val="24"/>
          <w:szCs w:val="24"/>
          <w:lang w:eastAsia="pt-BR"/>
        </w:rPr>
        <w:t xml:space="preserve"> </w:t>
      </w:r>
      <w:r w:rsidR="001716EC">
        <w:rPr>
          <w:rFonts w:ascii="Times New Roman" w:eastAsia="Times New Roman" w:hAnsi="Times New Roman"/>
          <w:sz w:val="24"/>
          <w:szCs w:val="24"/>
          <w:lang w:eastAsia="pt-BR"/>
        </w:rPr>
        <w:t>baixa</w:t>
      </w:r>
      <w:r w:rsidR="005F6E2C">
        <w:rPr>
          <w:rFonts w:ascii="Times New Roman" w:eastAsia="Times New Roman" w:hAnsi="Times New Roman"/>
          <w:sz w:val="24"/>
          <w:szCs w:val="24"/>
          <w:lang w:eastAsia="pt-BR"/>
        </w:rPr>
        <w:t xml:space="preserve"> produção cientifica voltada à aplicabilidade da nova Lei a municípios de pequeno porte.</w:t>
      </w:r>
    </w:p>
    <w:p w14:paraId="5A43E027" w14:textId="77777777" w:rsidR="001860A4" w:rsidRDefault="001860A4" w:rsidP="003F4F52">
      <w:pPr>
        <w:spacing w:after="0" w:line="240" w:lineRule="auto"/>
        <w:jc w:val="both"/>
        <w:rPr>
          <w:rFonts w:ascii="Times New Roman" w:hAnsi="Times New Roman"/>
          <w:sz w:val="24"/>
          <w:szCs w:val="24"/>
        </w:rPr>
      </w:pPr>
    </w:p>
    <w:p w14:paraId="62DF1D80" w14:textId="2EDC7366" w:rsidR="008D0413" w:rsidRPr="0089160D" w:rsidRDefault="008D0413" w:rsidP="003F4F52">
      <w:pPr>
        <w:spacing w:after="0" w:line="240" w:lineRule="auto"/>
        <w:jc w:val="both"/>
        <w:rPr>
          <w:rFonts w:ascii="Times New Roman" w:hAnsi="Times New Roman"/>
          <w:sz w:val="24"/>
          <w:szCs w:val="24"/>
        </w:rPr>
      </w:pPr>
      <w:r w:rsidRPr="0089160D">
        <w:rPr>
          <w:rFonts w:ascii="Times New Roman" w:hAnsi="Times New Roman"/>
          <w:sz w:val="24"/>
          <w:szCs w:val="24"/>
        </w:rPr>
        <w:t>Palavras-chave: planejamento; licitações; compras e contratações; administração pública; pequenos municípios.</w:t>
      </w:r>
    </w:p>
    <w:p w14:paraId="46882D8F" w14:textId="77777777" w:rsidR="008D0413" w:rsidRPr="008555B6" w:rsidRDefault="008D0413" w:rsidP="003F4F52">
      <w:pPr>
        <w:spacing w:after="0" w:line="240" w:lineRule="auto"/>
        <w:jc w:val="both"/>
        <w:rPr>
          <w:rFonts w:ascii="Times New Roman" w:eastAsia="Times New Roman" w:hAnsi="Times New Roman"/>
          <w:sz w:val="24"/>
          <w:szCs w:val="24"/>
          <w:lang w:eastAsia="pt-BR"/>
        </w:rPr>
      </w:pPr>
    </w:p>
    <w:p w14:paraId="0802D171" w14:textId="77777777" w:rsidR="008D0413" w:rsidRPr="006A3D8B" w:rsidRDefault="008D0413" w:rsidP="003F4F52">
      <w:pPr>
        <w:spacing w:after="0" w:line="240" w:lineRule="auto"/>
        <w:rPr>
          <w:rFonts w:ascii="Times New Roman" w:hAnsi="Times New Roman"/>
          <w:b/>
          <w:bCs/>
          <w:sz w:val="24"/>
          <w:szCs w:val="24"/>
        </w:rPr>
      </w:pPr>
      <w:r w:rsidRPr="006A3D8B">
        <w:rPr>
          <w:rFonts w:ascii="Times New Roman" w:hAnsi="Times New Roman"/>
          <w:b/>
          <w:bCs/>
          <w:sz w:val="24"/>
          <w:szCs w:val="24"/>
        </w:rPr>
        <w:t>INTRODUÇÃO</w:t>
      </w:r>
    </w:p>
    <w:p w14:paraId="01545F4C" w14:textId="77777777" w:rsidR="00F373C2" w:rsidRDefault="00F373C2" w:rsidP="003F4F52">
      <w:pPr>
        <w:spacing w:after="0" w:line="240" w:lineRule="auto"/>
        <w:ind w:firstLine="1418"/>
        <w:jc w:val="both"/>
        <w:rPr>
          <w:rFonts w:ascii="Times New Roman" w:eastAsia="Times New Roman" w:hAnsi="Times New Roman"/>
          <w:sz w:val="24"/>
          <w:szCs w:val="24"/>
          <w:lang w:eastAsia="pt-BR"/>
        </w:rPr>
      </w:pPr>
    </w:p>
    <w:p w14:paraId="27EA05ED" w14:textId="2AAE71E6" w:rsidR="008D0413" w:rsidRPr="0089160D" w:rsidRDefault="008D0413" w:rsidP="001860A4">
      <w:pPr>
        <w:spacing w:after="120" w:line="240" w:lineRule="auto"/>
        <w:ind w:firstLine="851"/>
        <w:jc w:val="both"/>
        <w:rPr>
          <w:rFonts w:ascii="Times New Roman" w:eastAsia="Times New Roman" w:hAnsi="Times New Roman"/>
          <w:sz w:val="24"/>
          <w:szCs w:val="24"/>
          <w:lang w:eastAsia="pt-BR"/>
        </w:rPr>
      </w:pPr>
      <w:r w:rsidRPr="0089160D">
        <w:rPr>
          <w:rFonts w:ascii="Times New Roman" w:eastAsia="Times New Roman" w:hAnsi="Times New Roman"/>
          <w:sz w:val="24"/>
          <w:szCs w:val="24"/>
          <w:lang w:eastAsia="pt-BR"/>
        </w:rPr>
        <w:t>A nova lei de licitações - Lei nº 14.133, de 1º de abril de 2021, que dispõe sobre licitações e contratos administrativos - destacou, de maneira implacável, o instrumento do planejamento ao regime de compras e contratações do poder público. O relevo dado ao instrumento do Planejamento pode ser constatado ao ponto de a Lei elevá-lo, expressamente, à categoria de princípio informador do processo licitatório</w:t>
      </w:r>
      <w:r w:rsidRPr="0089160D">
        <w:rPr>
          <w:rStyle w:val="Refdenotaderodap"/>
          <w:rFonts w:ascii="Times New Roman" w:eastAsia="Times New Roman" w:hAnsi="Times New Roman"/>
          <w:sz w:val="24"/>
          <w:szCs w:val="24"/>
          <w:lang w:eastAsia="pt-BR"/>
        </w:rPr>
        <w:footnoteReference w:id="1"/>
      </w:r>
      <w:r w:rsidRPr="0089160D">
        <w:rPr>
          <w:rFonts w:ascii="Times New Roman" w:eastAsia="Times New Roman" w:hAnsi="Times New Roman"/>
          <w:sz w:val="24"/>
          <w:szCs w:val="24"/>
          <w:lang w:eastAsia="pt-BR"/>
        </w:rPr>
        <w:t>.</w:t>
      </w:r>
    </w:p>
    <w:p w14:paraId="57F20E44" w14:textId="77777777" w:rsidR="008D0413" w:rsidRPr="0089160D" w:rsidRDefault="008D0413" w:rsidP="001860A4">
      <w:pPr>
        <w:spacing w:after="120" w:line="240" w:lineRule="auto"/>
        <w:ind w:firstLine="851"/>
        <w:jc w:val="both"/>
        <w:rPr>
          <w:rFonts w:ascii="Times New Roman" w:eastAsia="Times New Roman" w:hAnsi="Times New Roman"/>
          <w:sz w:val="24"/>
          <w:szCs w:val="24"/>
          <w:lang w:eastAsia="pt-BR"/>
        </w:rPr>
      </w:pPr>
      <w:r w:rsidRPr="0089160D">
        <w:rPr>
          <w:rFonts w:ascii="Times New Roman" w:eastAsia="Times New Roman" w:hAnsi="Times New Roman"/>
          <w:sz w:val="24"/>
          <w:szCs w:val="24"/>
          <w:lang w:eastAsia="pt-BR"/>
        </w:rPr>
        <w:t>O presente artigo visa, justamente, destacar a importância do Planejamento das compras e contratações, abordando, ainda, questões atinentes à aplicabilidade na nova lei em pequenos municípios.</w:t>
      </w:r>
    </w:p>
    <w:p w14:paraId="7C1A373E" w14:textId="77A769C3" w:rsidR="008D0413" w:rsidRPr="0089160D" w:rsidRDefault="008D0413" w:rsidP="001860A4">
      <w:pPr>
        <w:spacing w:after="120" w:line="240" w:lineRule="auto"/>
        <w:ind w:firstLine="851"/>
        <w:jc w:val="both"/>
        <w:rPr>
          <w:rFonts w:ascii="Times New Roman" w:eastAsia="Times New Roman" w:hAnsi="Times New Roman"/>
          <w:sz w:val="24"/>
          <w:szCs w:val="24"/>
          <w:lang w:eastAsia="pt-BR"/>
        </w:rPr>
      </w:pPr>
      <w:r w:rsidRPr="0089160D">
        <w:rPr>
          <w:rFonts w:ascii="Times New Roman" w:eastAsia="Times New Roman" w:hAnsi="Times New Roman"/>
          <w:sz w:val="24"/>
          <w:szCs w:val="24"/>
          <w:lang w:eastAsia="pt-BR"/>
        </w:rPr>
        <w:t>As diferentes realidades dos municípios</w:t>
      </w:r>
      <w:r w:rsidR="00F87A73">
        <w:rPr>
          <w:rFonts w:ascii="Times New Roman" w:eastAsia="Times New Roman" w:hAnsi="Times New Roman"/>
          <w:sz w:val="24"/>
          <w:szCs w:val="24"/>
          <w:lang w:eastAsia="pt-BR"/>
        </w:rPr>
        <w:t xml:space="preserve"> brasileiros</w:t>
      </w:r>
      <w:r w:rsidRPr="0089160D">
        <w:rPr>
          <w:rFonts w:ascii="Times New Roman" w:eastAsia="Times New Roman" w:hAnsi="Times New Roman"/>
          <w:sz w:val="24"/>
          <w:szCs w:val="24"/>
          <w:lang w:eastAsia="pt-BR"/>
        </w:rPr>
        <w:t xml:space="preserve"> e suas possibilidades e limitações na gestão da coisa pública justificam a pesquisa. A lei nacional, ainda que disponha </w:t>
      </w:r>
      <w:r w:rsidR="00A11736">
        <w:rPr>
          <w:rFonts w:ascii="Times New Roman" w:eastAsia="Times New Roman" w:hAnsi="Times New Roman"/>
          <w:sz w:val="24"/>
          <w:szCs w:val="24"/>
          <w:lang w:eastAsia="pt-BR"/>
        </w:rPr>
        <w:t>sobre</w:t>
      </w:r>
      <w:r w:rsidRPr="0089160D">
        <w:rPr>
          <w:rFonts w:ascii="Times New Roman" w:eastAsia="Times New Roman" w:hAnsi="Times New Roman"/>
          <w:sz w:val="24"/>
          <w:szCs w:val="24"/>
          <w:lang w:eastAsia="pt-BR"/>
        </w:rPr>
        <w:t xml:space="preserve"> norma gerais, deve </w:t>
      </w:r>
      <w:r w:rsidR="00A11736">
        <w:rPr>
          <w:rFonts w:ascii="Times New Roman" w:eastAsia="Times New Roman" w:hAnsi="Times New Roman"/>
          <w:sz w:val="24"/>
          <w:szCs w:val="24"/>
          <w:lang w:eastAsia="pt-BR"/>
        </w:rPr>
        <w:t xml:space="preserve">ser elaborada em consonância com </w:t>
      </w:r>
      <w:r w:rsidRPr="0089160D">
        <w:rPr>
          <w:rFonts w:ascii="Times New Roman" w:eastAsia="Times New Roman" w:hAnsi="Times New Roman"/>
          <w:sz w:val="24"/>
          <w:szCs w:val="24"/>
          <w:lang w:eastAsia="pt-BR"/>
        </w:rPr>
        <w:t>as diversas realidades e criar mecanismos distintos que as abarquem e promovam a eficácia almejada</w:t>
      </w:r>
      <w:r w:rsidR="00C50D83" w:rsidRPr="0089160D">
        <w:rPr>
          <w:rFonts w:ascii="Times New Roman" w:eastAsia="Times New Roman" w:hAnsi="Times New Roman"/>
          <w:sz w:val="24"/>
          <w:szCs w:val="24"/>
          <w:lang w:eastAsia="pt-BR"/>
        </w:rPr>
        <w:t>.</w:t>
      </w:r>
    </w:p>
    <w:p w14:paraId="3C7E3809" w14:textId="3F647B9C" w:rsidR="00C50D83" w:rsidRPr="0089160D" w:rsidRDefault="00C50D83" w:rsidP="001860A4">
      <w:pPr>
        <w:spacing w:after="120" w:line="240" w:lineRule="auto"/>
        <w:ind w:firstLine="851"/>
        <w:jc w:val="both"/>
        <w:rPr>
          <w:rFonts w:ascii="Times New Roman" w:eastAsia="Times New Roman" w:hAnsi="Times New Roman"/>
          <w:sz w:val="24"/>
          <w:szCs w:val="24"/>
          <w:lang w:eastAsia="pt-BR"/>
        </w:rPr>
      </w:pPr>
      <w:r w:rsidRPr="0089160D">
        <w:rPr>
          <w:rFonts w:ascii="Times New Roman" w:eastAsia="Times New Roman" w:hAnsi="Times New Roman"/>
          <w:sz w:val="24"/>
          <w:szCs w:val="24"/>
          <w:lang w:eastAsia="pt-BR"/>
        </w:rPr>
        <w:t xml:space="preserve">A sociedade moderna é extremamente dependente de ações governamentais, seja no âmbito regulatório, seja para prestação efetiva de políticas públicas diretamente voltadas à população. </w:t>
      </w:r>
    </w:p>
    <w:p w14:paraId="14C63EFC" w14:textId="196E0586" w:rsidR="008D0413" w:rsidRPr="0089160D" w:rsidRDefault="00F87A73" w:rsidP="001860A4">
      <w:pPr>
        <w:spacing w:after="120" w:line="240" w:lineRule="auto"/>
        <w:ind w:firstLine="851"/>
        <w:jc w:val="both"/>
        <w:rPr>
          <w:rFonts w:ascii="Times New Roman" w:eastAsia="Times New Roman" w:hAnsi="Times New Roman"/>
          <w:sz w:val="24"/>
          <w:szCs w:val="24"/>
          <w:lang w:eastAsia="pt-BR"/>
        </w:rPr>
      </w:pPr>
      <w:r>
        <w:rPr>
          <w:rFonts w:ascii="Times New Roman" w:eastAsia="Times New Roman" w:hAnsi="Times New Roman"/>
          <w:sz w:val="24"/>
          <w:szCs w:val="24"/>
          <w:lang w:eastAsia="pt-BR"/>
        </w:rPr>
        <w:t xml:space="preserve">Assim, é </w:t>
      </w:r>
      <w:r w:rsidR="008D0413" w:rsidRPr="0089160D">
        <w:rPr>
          <w:rFonts w:ascii="Times New Roman" w:eastAsia="Times New Roman" w:hAnsi="Times New Roman"/>
          <w:sz w:val="24"/>
          <w:szCs w:val="24"/>
          <w:lang w:eastAsia="pt-BR"/>
        </w:rPr>
        <w:t>incumbida aos entes federados (Estado)</w:t>
      </w:r>
      <w:r w:rsidR="00C50D83" w:rsidRPr="0089160D">
        <w:rPr>
          <w:rFonts w:ascii="Times New Roman" w:eastAsia="Times New Roman" w:hAnsi="Times New Roman"/>
          <w:sz w:val="24"/>
          <w:szCs w:val="24"/>
          <w:lang w:eastAsia="pt-BR"/>
        </w:rPr>
        <w:t xml:space="preserve"> </w:t>
      </w:r>
      <w:r w:rsidR="008D0413" w:rsidRPr="0089160D">
        <w:rPr>
          <w:rFonts w:ascii="Times New Roman" w:eastAsia="Times New Roman" w:hAnsi="Times New Roman"/>
          <w:sz w:val="24"/>
          <w:szCs w:val="24"/>
          <w:lang w:eastAsia="pt-BR"/>
        </w:rPr>
        <w:t>a tarefa de propiciar à sociedade o atendimento de suas necessidades. No caso, deve se entender por necessidade pública tudo aquilo que, inserto em normas jurídicas, cabe ao Estado prestar, por decisão política.</w:t>
      </w:r>
    </w:p>
    <w:p w14:paraId="146B0DF6" w14:textId="47B99D8A" w:rsidR="008D0413" w:rsidRPr="0089160D" w:rsidRDefault="00F87A73" w:rsidP="001860A4">
      <w:pPr>
        <w:spacing w:after="120" w:line="240" w:lineRule="auto"/>
        <w:ind w:firstLine="851"/>
        <w:jc w:val="both"/>
        <w:rPr>
          <w:rFonts w:ascii="Times New Roman" w:eastAsia="Times New Roman" w:hAnsi="Times New Roman"/>
          <w:sz w:val="24"/>
          <w:szCs w:val="24"/>
          <w:lang w:eastAsia="pt-BR"/>
        </w:rPr>
      </w:pPr>
      <w:r>
        <w:rPr>
          <w:rFonts w:ascii="Times New Roman" w:eastAsia="Times New Roman" w:hAnsi="Times New Roman"/>
          <w:sz w:val="24"/>
          <w:szCs w:val="24"/>
          <w:lang w:eastAsia="pt-BR"/>
        </w:rPr>
        <w:lastRenderedPageBreak/>
        <w:t>Por sua vez, a</w:t>
      </w:r>
      <w:r w:rsidR="008D0413" w:rsidRPr="0089160D">
        <w:rPr>
          <w:rFonts w:ascii="Times New Roman" w:eastAsia="Times New Roman" w:hAnsi="Times New Roman"/>
          <w:sz w:val="24"/>
          <w:szCs w:val="24"/>
          <w:lang w:eastAsia="pt-BR"/>
        </w:rPr>
        <w:t xml:space="preserve"> Constituição Federal assegura, como princípio fundamental, a dignidade da pessoa humana. Não se trata de mera norma programática, mas sim de obrigação do Estado de assegurar às pessoas condições dignas de vida, sendo-lhes garantido o mínimo existencial.</w:t>
      </w:r>
    </w:p>
    <w:p w14:paraId="6A03439F" w14:textId="318FD5EB" w:rsidR="008D0413" w:rsidRPr="0089160D" w:rsidRDefault="008D0413" w:rsidP="001860A4">
      <w:pPr>
        <w:spacing w:after="120" w:line="240" w:lineRule="auto"/>
        <w:ind w:firstLine="851"/>
        <w:jc w:val="both"/>
        <w:rPr>
          <w:rFonts w:ascii="Times New Roman" w:eastAsia="Times New Roman" w:hAnsi="Times New Roman"/>
          <w:sz w:val="24"/>
          <w:szCs w:val="24"/>
          <w:lang w:eastAsia="pt-BR"/>
        </w:rPr>
      </w:pPr>
      <w:r w:rsidRPr="0089160D">
        <w:rPr>
          <w:rFonts w:ascii="Times New Roman" w:eastAsia="Times New Roman" w:hAnsi="Times New Roman"/>
          <w:sz w:val="24"/>
          <w:szCs w:val="24"/>
          <w:lang w:eastAsia="pt-BR"/>
        </w:rPr>
        <w:t>O Estado deve ser visto como grande prestador de políticas públicas, atuando como pessoa jurídica de direito público para cumprir suas - praticamente infindáveis – obrigações que garantam prestações de direitos aos cidadãos.</w:t>
      </w:r>
    </w:p>
    <w:p w14:paraId="78F3DA8D" w14:textId="77777777" w:rsidR="00A11736" w:rsidRDefault="008D0413" w:rsidP="001860A4">
      <w:pPr>
        <w:spacing w:after="120" w:line="240" w:lineRule="auto"/>
        <w:ind w:firstLine="851"/>
        <w:jc w:val="both"/>
        <w:rPr>
          <w:rFonts w:ascii="Times New Roman" w:eastAsia="Times New Roman" w:hAnsi="Times New Roman"/>
          <w:sz w:val="24"/>
          <w:szCs w:val="24"/>
          <w:lang w:eastAsia="pt-BR"/>
        </w:rPr>
      </w:pPr>
      <w:r w:rsidRPr="0089160D">
        <w:rPr>
          <w:rFonts w:ascii="Times New Roman" w:eastAsia="Times New Roman" w:hAnsi="Times New Roman"/>
          <w:sz w:val="24"/>
          <w:szCs w:val="24"/>
          <w:lang w:eastAsia="pt-BR"/>
        </w:rPr>
        <w:t>A problemática reside em torno da possib</w:t>
      </w:r>
      <w:r w:rsidR="00C50D83" w:rsidRPr="0089160D">
        <w:rPr>
          <w:rFonts w:ascii="Times New Roman" w:eastAsia="Times New Roman" w:hAnsi="Times New Roman"/>
          <w:sz w:val="24"/>
          <w:szCs w:val="24"/>
          <w:lang w:eastAsia="pt-BR"/>
        </w:rPr>
        <w:t>i</w:t>
      </w:r>
      <w:r w:rsidRPr="0089160D">
        <w:rPr>
          <w:rFonts w:ascii="Times New Roman" w:eastAsia="Times New Roman" w:hAnsi="Times New Roman"/>
          <w:sz w:val="24"/>
          <w:szCs w:val="24"/>
          <w:lang w:eastAsia="pt-BR"/>
        </w:rPr>
        <w:t>lidade d</w:t>
      </w:r>
      <w:r w:rsidR="00B369ED" w:rsidRPr="0089160D">
        <w:rPr>
          <w:rFonts w:ascii="Times New Roman" w:eastAsia="Times New Roman" w:hAnsi="Times New Roman"/>
          <w:sz w:val="24"/>
          <w:szCs w:val="24"/>
          <w:lang w:eastAsia="pt-BR"/>
        </w:rPr>
        <w:t xml:space="preserve">e </w:t>
      </w:r>
      <w:r w:rsidRPr="0089160D">
        <w:rPr>
          <w:rFonts w:ascii="Times New Roman" w:eastAsia="Times New Roman" w:hAnsi="Times New Roman"/>
          <w:sz w:val="24"/>
          <w:szCs w:val="24"/>
          <w:lang w:eastAsia="pt-BR"/>
        </w:rPr>
        <w:t>a Administração Pública alcançar os objetivos constitucionalmente previstos</w:t>
      </w:r>
      <w:r w:rsidRPr="0089160D">
        <w:rPr>
          <w:rStyle w:val="Refdenotaderodap"/>
          <w:rFonts w:ascii="Times New Roman" w:eastAsia="Times New Roman" w:hAnsi="Times New Roman"/>
          <w:sz w:val="24"/>
          <w:szCs w:val="24"/>
          <w:lang w:eastAsia="pt-BR"/>
        </w:rPr>
        <w:footnoteReference w:id="2"/>
      </w:r>
      <w:r w:rsidRPr="0089160D">
        <w:rPr>
          <w:rFonts w:ascii="Times New Roman" w:eastAsia="Times New Roman" w:hAnsi="Times New Roman"/>
          <w:sz w:val="24"/>
          <w:szCs w:val="24"/>
          <w:lang w:eastAsia="pt-BR"/>
        </w:rPr>
        <w:t xml:space="preserve"> a partir do necessário planejamento de compras e contratações. </w:t>
      </w:r>
    </w:p>
    <w:p w14:paraId="3ADEB724" w14:textId="77777777" w:rsidR="00A11736" w:rsidRPr="0089160D" w:rsidRDefault="00A11736" w:rsidP="001860A4">
      <w:pPr>
        <w:spacing w:after="120" w:line="240" w:lineRule="auto"/>
        <w:ind w:firstLine="851"/>
        <w:jc w:val="both"/>
        <w:rPr>
          <w:rFonts w:ascii="Times New Roman" w:eastAsia="Times New Roman" w:hAnsi="Times New Roman"/>
          <w:sz w:val="24"/>
          <w:szCs w:val="24"/>
          <w:lang w:eastAsia="pt-BR"/>
        </w:rPr>
      </w:pPr>
      <w:r w:rsidRPr="0089160D">
        <w:rPr>
          <w:rFonts w:ascii="Times New Roman" w:eastAsia="Times New Roman" w:hAnsi="Times New Roman"/>
          <w:sz w:val="24"/>
          <w:szCs w:val="24"/>
          <w:lang w:eastAsia="pt-BR"/>
        </w:rPr>
        <w:t xml:space="preserve">Como é possível promover, de forma eficiente, políticas públicas ótimas, com observância dos princípios constitucionais da Administração pública, com adoção de padrões de sustentabilidade, não desprezando critérios de economicidade? </w:t>
      </w:r>
    </w:p>
    <w:p w14:paraId="02EA9860" w14:textId="1CDFABA4" w:rsidR="00A11736" w:rsidRPr="0089160D" w:rsidRDefault="00A11736" w:rsidP="001860A4">
      <w:pPr>
        <w:spacing w:after="120" w:line="240" w:lineRule="auto"/>
        <w:ind w:firstLine="851"/>
        <w:jc w:val="both"/>
        <w:rPr>
          <w:rFonts w:ascii="Times New Roman" w:eastAsia="Times New Roman" w:hAnsi="Times New Roman"/>
          <w:sz w:val="24"/>
          <w:szCs w:val="24"/>
          <w:lang w:eastAsia="pt-BR"/>
        </w:rPr>
      </w:pPr>
      <w:r w:rsidRPr="0089160D">
        <w:rPr>
          <w:rFonts w:ascii="Times New Roman" w:eastAsia="Times New Roman" w:hAnsi="Times New Roman"/>
          <w:sz w:val="24"/>
          <w:szCs w:val="24"/>
          <w:lang w:eastAsia="pt-BR"/>
        </w:rPr>
        <w:t>Estão os municípios de pequeno porte</w:t>
      </w:r>
      <w:r w:rsidR="00430C54">
        <w:rPr>
          <w:rStyle w:val="Refdenotaderodap"/>
          <w:rFonts w:ascii="Times New Roman" w:eastAsia="Times New Roman" w:hAnsi="Times New Roman"/>
          <w:sz w:val="24"/>
          <w:szCs w:val="24"/>
          <w:lang w:eastAsia="pt-BR"/>
        </w:rPr>
        <w:footnoteReference w:id="3"/>
      </w:r>
      <w:r w:rsidRPr="0089160D">
        <w:rPr>
          <w:rFonts w:ascii="Times New Roman" w:eastAsia="Times New Roman" w:hAnsi="Times New Roman"/>
          <w:sz w:val="24"/>
          <w:szCs w:val="24"/>
          <w:lang w:eastAsia="pt-BR"/>
        </w:rPr>
        <w:t>, principalmente aqueles com economia frágil</w:t>
      </w:r>
      <w:r>
        <w:rPr>
          <w:rFonts w:ascii="Times New Roman" w:eastAsia="Times New Roman" w:hAnsi="Times New Roman"/>
          <w:sz w:val="24"/>
          <w:szCs w:val="24"/>
          <w:lang w:eastAsia="pt-BR"/>
        </w:rPr>
        <w:t>,</w:t>
      </w:r>
      <w:r w:rsidRPr="0089160D">
        <w:rPr>
          <w:rFonts w:ascii="Times New Roman" w:eastAsia="Times New Roman" w:hAnsi="Times New Roman"/>
          <w:sz w:val="24"/>
          <w:szCs w:val="24"/>
          <w:lang w:eastAsia="pt-BR"/>
        </w:rPr>
        <w:t xml:space="preserve"> preparados para as novas formalidades instituídas pela nova Lei de Licitações?</w:t>
      </w:r>
    </w:p>
    <w:p w14:paraId="65386BFD" w14:textId="1477AD07" w:rsidR="008D0413" w:rsidRPr="0089160D" w:rsidRDefault="008D0413" w:rsidP="001860A4">
      <w:pPr>
        <w:spacing w:after="120" w:line="240" w:lineRule="auto"/>
        <w:ind w:firstLine="851"/>
        <w:jc w:val="both"/>
        <w:rPr>
          <w:rFonts w:ascii="Times New Roman" w:eastAsia="Times New Roman" w:hAnsi="Times New Roman"/>
          <w:sz w:val="24"/>
          <w:szCs w:val="24"/>
          <w:lang w:eastAsia="pt-BR"/>
        </w:rPr>
      </w:pPr>
      <w:r w:rsidRPr="0089160D">
        <w:rPr>
          <w:rFonts w:ascii="Times New Roman" w:eastAsia="Times New Roman" w:hAnsi="Times New Roman"/>
          <w:sz w:val="24"/>
          <w:szCs w:val="24"/>
          <w:lang w:eastAsia="pt-BR"/>
        </w:rPr>
        <w:t>Independente de períodos de bonança ou de receita reduzida, para cumprir com suas obrigações com eficiência, é exigido do Estado primoroso planejamento de sua atividade financeira. Somente com gestão eficiente e responsável é possível conseguir o equilíbrio entre os recursos captados pelo Estado e o atendimento das necessidades públicas. Logo, a boa gestão da atividade financeira do Estado é fundamental.</w:t>
      </w:r>
    </w:p>
    <w:p w14:paraId="4093AC6A" w14:textId="77777777" w:rsidR="008D0413" w:rsidRPr="0089160D" w:rsidRDefault="008D0413" w:rsidP="001860A4">
      <w:pPr>
        <w:spacing w:after="120" w:line="240" w:lineRule="auto"/>
        <w:ind w:firstLine="851"/>
        <w:jc w:val="both"/>
        <w:rPr>
          <w:rFonts w:ascii="Times New Roman" w:eastAsia="Times New Roman" w:hAnsi="Times New Roman"/>
          <w:sz w:val="24"/>
          <w:szCs w:val="24"/>
          <w:lang w:eastAsia="pt-BR"/>
        </w:rPr>
      </w:pPr>
      <w:r w:rsidRPr="0089160D">
        <w:rPr>
          <w:rFonts w:ascii="Times New Roman" w:eastAsia="Times New Roman" w:hAnsi="Times New Roman"/>
          <w:sz w:val="24"/>
          <w:szCs w:val="24"/>
          <w:lang w:eastAsia="pt-BR"/>
        </w:rPr>
        <w:t>A atividade financeira se desenvolve em três campos: 1) receita – obtenção de recursos; 2) gestão – administração e conservação do patrimônio público; e, 3) despesa – emprego de recursos para realização dos fins visados pelo Estado.</w:t>
      </w:r>
    </w:p>
    <w:p w14:paraId="7C4A40BC" w14:textId="25DA1E59" w:rsidR="008D0413" w:rsidRPr="0089160D" w:rsidRDefault="00F87A73" w:rsidP="001860A4">
      <w:pPr>
        <w:spacing w:after="120" w:line="240" w:lineRule="auto"/>
        <w:ind w:firstLine="851"/>
        <w:jc w:val="both"/>
        <w:rPr>
          <w:rFonts w:ascii="Times New Roman" w:eastAsia="Times New Roman" w:hAnsi="Times New Roman"/>
          <w:sz w:val="24"/>
          <w:szCs w:val="24"/>
          <w:lang w:eastAsia="pt-BR"/>
        </w:rPr>
      </w:pPr>
      <w:r>
        <w:rPr>
          <w:rFonts w:ascii="Times New Roman" w:eastAsia="Times New Roman" w:hAnsi="Times New Roman"/>
          <w:sz w:val="24"/>
          <w:szCs w:val="24"/>
          <w:lang w:eastAsia="pt-BR"/>
        </w:rPr>
        <w:t>Re</w:t>
      </w:r>
      <w:r w:rsidR="008D0413" w:rsidRPr="0089160D">
        <w:rPr>
          <w:rFonts w:ascii="Times New Roman" w:eastAsia="Times New Roman" w:hAnsi="Times New Roman"/>
          <w:sz w:val="24"/>
          <w:szCs w:val="24"/>
          <w:lang w:eastAsia="pt-BR"/>
        </w:rPr>
        <w:t xml:space="preserve">gras insculpidas na legislação infraconstitucional traçam diretrizes do planejamento da atividade financeira do Estado, atuando como verdadeiro manual de procedimentos para a correta gestão </w:t>
      </w:r>
      <w:r>
        <w:rPr>
          <w:rFonts w:ascii="Times New Roman" w:eastAsia="Times New Roman" w:hAnsi="Times New Roman"/>
          <w:sz w:val="24"/>
          <w:szCs w:val="24"/>
          <w:lang w:eastAsia="pt-BR"/>
        </w:rPr>
        <w:t xml:space="preserve">da coisa </w:t>
      </w:r>
      <w:r w:rsidR="008D0413" w:rsidRPr="0089160D">
        <w:rPr>
          <w:rFonts w:ascii="Times New Roman" w:eastAsia="Times New Roman" w:hAnsi="Times New Roman"/>
          <w:sz w:val="24"/>
          <w:szCs w:val="24"/>
          <w:lang w:eastAsia="pt-BR"/>
        </w:rPr>
        <w:t xml:space="preserve">pública.  </w:t>
      </w:r>
    </w:p>
    <w:p w14:paraId="374D6522" w14:textId="77777777" w:rsidR="00B369ED" w:rsidRPr="0089160D" w:rsidRDefault="008D0413" w:rsidP="001860A4">
      <w:pPr>
        <w:spacing w:after="120" w:line="240" w:lineRule="auto"/>
        <w:ind w:firstLine="851"/>
        <w:jc w:val="both"/>
        <w:rPr>
          <w:rFonts w:ascii="Times New Roman" w:eastAsia="Times New Roman" w:hAnsi="Times New Roman"/>
          <w:sz w:val="24"/>
          <w:szCs w:val="24"/>
          <w:lang w:eastAsia="pt-BR"/>
        </w:rPr>
      </w:pPr>
      <w:r w:rsidRPr="0089160D">
        <w:rPr>
          <w:rFonts w:ascii="Times New Roman" w:eastAsia="Times New Roman" w:hAnsi="Times New Roman"/>
          <w:sz w:val="24"/>
          <w:szCs w:val="24"/>
          <w:lang w:eastAsia="pt-BR"/>
        </w:rPr>
        <w:t>O fiel cumprimento dos caminhos e objetivos traçados na legislação atinente ao Direito Financeiro, especialmente na Lei de Responsabilidade Fiscal</w:t>
      </w:r>
      <w:r w:rsidRPr="0089160D">
        <w:rPr>
          <w:rStyle w:val="Refdenotaderodap"/>
          <w:rFonts w:ascii="Times New Roman" w:hAnsi="Times New Roman"/>
          <w:color w:val="202124"/>
          <w:sz w:val="24"/>
          <w:szCs w:val="24"/>
          <w:shd w:val="clear" w:color="auto" w:fill="FFFFFF"/>
        </w:rPr>
        <w:footnoteReference w:id="4"/>
      </w:r>
      <w:r w:rsidRPr="0089160D">
        <w:rPr>
          <w:rFonts w:ascii="Times New Roman" w:eastAsia="Times New Roman" w:hAnsi="Times New Roman"/>
          <w:sz w:val="24"/>
          <w:szCs w:val="24"/>
          <w:lang w:eastAsia="pt-BR"/>
        </w:rPr>
        <w:t xml:space="preserve">, é passo seguro para eficiência na gestão da atividade financeira dos entes federados. </w:t>
      </w:r>
    </w:p>
    <w:p w14:paraId="47A27185" w14:textId="03C49DE3" w:rsidR="008D0413" w:rsidRPr="0089160D" w:rsidRDefault="008D0413" w:rsidP="001860A4">
      <w:pPr>
        <w:spacing w:after="120" w:line="240" w:lineRule="auto"/>
        <w:ind w:firstLine="851"/>
        <w:jc w:val="both"/>
        <w:rPr>
          <w:rFonts w:ascii="Times New Roman" w:eastAsia="Times New Roman" w:hAnsi="Times New Roman"/>
          <w:sz w:val="24"/>
          <w:szCs w:val="24"/>
          <w:lang w:eastAsia="pt-BR"/>
        </w:rPr>
      </w:pPr>
      <w:r w:rsidRPr="0089160D">
        <w:rPr>
          <w:rFonts w:ascii="Times New Roman" w:eastAsia="Times New Roman" w:hAnsi="Times New Roman"/>
          <w:sz w:val="24"/>
          <w:szCs w:val="24"/>
          <w:lang w:eastAsia="pt-BR"/>
        </w:rPr>
        <w:t>Especificamente no campo da despesa pública, o planejamento de compras e contratações se torna imprescindível</w:t>
      </w:r>
      <w:r w:rsidR="00B369ED" w:rsidRPr="0089160D">
        <w:rPr>
          <w:rFonts w:ascii="Times New Roman" w:eastAsia="Times New Roman" w:hAnsi="Times New Roman"/>
          <w:sz w:val="24"/>
          <w:szCs w:val="24"/>
          <w:lang w:eastAsia="pt-BR"/>
        </w:rPr>
        <w:t xml:space="preserve"> para execução de políticas públicas dotadas de efetividade. O planejamento bem delineado propicia otimização de gastos, aquisições com qualidade, redução de riscos, enfim, eficiência.</w:t>
      </w:r>
    </w:p>
    <w:p w14:paraId="2981FBE6" w14:textId="1EED010B" w:rsidR="0089160D" w:rsidRDefault="00787295" w:rsidP="001860A4">
      <w:pPr>
        <w:spacing w:after="120" w:line="240" w:lineRule="auto"/>
        <w:ind w:firstLine="851"/>
        <w:jc w:val="both"/>
        <w:rPr>
          <w:rFonts w:ascii="Times New Roman" w:eastAsia="Times New Roman" w:hAnsi="Times New Roman"/>
          <w:sz w:val="24"/>
          <w:szCs w:val="24"/>
          <w:lang w:eastAsia="pt-BR"/>
        </w:rPr>
      </w:pPr>
      <w:r>
        <w:rPr>
          <w:rFonts w:ascii="Times New Roman" w:eastAsia="Times New Roman" w:hAnsi="Times New Roman"/>
          <w:sz w:val="24"/>
          <w:szCs w:val="24"/>
          <w:lang w:eastAsia="pt-BR"/>
        </w:rPr>
        <w:t>O</w:t>
      </w:r>
      <w:r w:rsidR="0089160D" w:rsidRPr="0089160D">
        <w:rPr>
          <w:rFonts w:ascii="Times New Roman" w:eastAsia="Times New Roman" w:hAnsi="Times New Roman"/>
          <w:sz w:val="24"/>
          <w:szCs w:val="24"/>
          <w:lang w:eastAsia="pt-BR"/>
        </w:rPr>
        <w:t xml:space="preserve"> aumento das tarefas do Estado Social o torna quantitativamente débil</w:t>
      </w:r>
      <w:r>
        <w:rPr>
          <w:rFonts w:ascii="Times New Roman" w:eastAsia="Times New Roman" w:hAnsi="Times New Roman"/>
          <w:sz w:val="24"/>
          <w:szCs w:val="24"/>
          <w:lang w:eastAsia="pt-BR"/>
        </w:rPr>
        <w:t>, e</w:t>
      </w:r>
      <w:r w:rsidR="0089160D" w:rsidRPr="0089160D">
        <w:rPr>
          <w:rFonts w:ascii="Times New Roman" w:eastAsia="Times New Roman" w:hAnsi="Times New Roman"/>
          <w:sz w:val="24"/>
          <w:szCs w:val="24"/>
          <w:lang w:eastAsia="pt-BR"/>
        </w:rPr>
        <w:t xml:space="preserve"> isto se torna um problema porque uma vez assumida a obrigação na prestação de direito, a força política </w:t>
      </w:r>
      <w:r w:rsidR="0089160D" w:rsidRPr="0089160D">
        <w:rPr>
          <w:rFonts w:ascii="Times New Roman" w:eastAsia="Times New Roman" w:hAnsi="Times New Roman"/>
          <w:sz w:val="24"/>
          <w:szCs w:val="24"/>
          <w:lang w:eastAsia="pt-BR"/>
        </w:rPr>
        <w:lastRenderedPageBreak/>
        <w:t>para rejeitá-las é praticamente nula. Logo a eficiência na execução das políticas públicas e faz imperativa.</w:t>
      </w:r>
      <w:r>
        <w:rPr>
          <w:rStyle w:val="Refdenotaderodap"/>
          <w:rFonts w:ascii="Times New Roman" w:eastAsia="Times New Roman" w:hAnsi="Times New Roman"/>
          <w:sz w:val="24"/>
          <w:szCs w:val="24"/>
          <w:lang w:eastAsia="pt-BR"/>
        </w:rPr>
        <w:footnoteReference w:id="5"/>
      </w:r>
    </w:p>
    <w:p w14:paraId="1F8CA0D9" w14:textId="497F0C0F" w:rsidR="00A11736" w:rsidRPr="0089160D" w:rsidRDefault="00A11736" w:rsidP="001860A4">
      <w:pPr>
        <w:spacing w:after="120" w:line="240" w:lineRule="auto"/>
        <w:ind w:firstLine="851"/>
        <w:jc w:val="both"/>
        <w:rPr>
          <w:rFonts w:ascii="Times New Roman" w:eastAsia="Times New Roman" w:hAnsi="Times New Roman"/>
          <w:sz w:val="24"/>
          <w:szCs w:val="24"/>
          <w:lang w:eastAsia="pt-BR"/>
        </w:rPr>
      </w:pPr>
      <w:r>
        <w:rPr>
          <w:rFonts w:ascii="Times New Roman" w:eastAsia="Times New Roman" w:hAnsi="Times New Roman"/>
          <w:sz w:val="24"/>
          <w:szCs w:val="24"/>
          <w:lang w:eastAsia="pt-BR"/>
        </w:rPr>
        <w:t xml:space="preserve">A organização administrativa </w:t>
      </w:r>
      <w:r w:rsidR="00A97EE7">
        <w:rPr>
          <w:rFonts w:ascii="Times New Roman" w:eastAsia="Times New Roman" w:hAnsi="Times New Roman"/>
          <w:sz w:val="24"/>
          <w:szCs w:val="24"/>
          <w:lang w:eastAsia="pt-BR"/>
        </w:rPr>
        <w:t>deficiente e a ausência de cultura de planejamento enraizada em pequenos municípios podem se apresentar como entraves à efetivação de políticas públicas com uso racional dos recursos.</w:t>
      </w:r>
    </w:p>
    <w:p w14:paraId="02C7F005" w14:textId="0F6995F3" w:rsidR="00C50D83" w:rsidRPr="0089160D" w:rsidRDefault="00C50D83" w:rsidP="001860A4">
      <w:pPr>
        <w:spacing w:after="120" w:line="240" w:lineRule="auto"/>
        <w:ind w:firstLine="851"/>
        <w:jc w:val="both"/>
        <w:rPr>
          <w:rFonts w:ascii="Times New Roman" w:eastAsia="Times New Roman" w:hAnsi="Times New Roman"/>
          <w:sz w:val="24"/>
          <w:szCs w:val="24"/>
          <w:lang w:eastAsia="pt-BR"/>
        </w:rPr>
      </w:pPr>
      <w:r w:rsidRPr="0089160D">
        <w:rPr>
          <w:rFonts w:ascii="Times New Roman" w:eastAsia="Times New Roman" w:hAnsi="Times New Roman"/>
          <w:sz w:val="24"/>
          <w:szCs w:val="24"/>
          <w:lang w:eastAsia="pt-BR"/>
        </w:rPr>
        <w:t>Como delimitação do tema, neste trabalho foram analisados os instrumentos de planejamento insertos na nova Lei de Licitações e a aplicabilidade de tais instrumentos em municípios de pequeno porte.</w:t>
      </w:r>
    </w:p>
    <w:p w14:paraId="3AEAD2C6" w14:textId="77777777" w:rsidR="00F87A73" w:rsidRDefault="00B369ED" w:rsidP="001860A4">
      <w:pPr>
        <w:spacing w:after="120" w:line="240" w:lineRule="auto"/>
        <w:ind w:firstLine="851"/>
        <w:jc w:val="both"/>
        <w:rPr>
          <w:rFonts w:ascii="Times New Roman" w:eastAsia="Times New Roman" w:hAnsi="Times New Roman"/>
          <w:sz w:val="24"/>
          <w:szCs w:val="24"/>
          <w:lang w:eastAsia="pt-BR"/>
        </w:rPr>
      </w:pPr>
      <w:r w:rsidRPr="0089160D">
        <w:rPr>
          <w:rFonts w:ascii="Times New Roman" w:eastAsia="Times New Roman" w:hAnsi="Times New Roman"/>
          <w:sz w:val="24"/>
          <w:szCs w:val="24"/>
          <w:lang w:eastAsia="pt-BR"/>
        </w:rPr>
        <w:t>Para se alcançar o proposto foi utilizada a pesquisa bibliográfica e teórica, priorizando a análise de conteúdo.</w:t>
      </w:r>
      <w:r w:rsidR="00F87A73">
        <w:rPr>
          <w:rFonts w:ascii="Times New Roman" w:eastAsia="Times New Roman" w:hAnsi="Times New Roman"/>
          <w:sz w:val="24"/>
          <w:szCs w:val="24"/>
          <w:lang w:eastAsia="pt-BR"/>
        </w:rPr>
        <w:t xml:space="preserve"> </w:t>
      </w:r>
    </w:p>
    <w:p w14:paraId="7DC5B805" w14:textId="5211B5CD" w:rsidR="00B369ED" w:rsidRDefault="00F87A73" w:rsidP="001860A4">
      <w:pPr>
        <w:spacing w:after="120" w:line="240" w:lineRule="auto"/>
        <w:ind w:firstLine="851"/>
        <w:jc w:val="both"/>
        <w:rPr>
          <w:rFonts w:ascii="Times New Roman" w:eastAsia="Times New Roman" w:hAnsi="Times New Roman"/>
          <w:sz w:val="24"/>
          <w:szCs w:val="24"/>
          <w:lang w:eastAsia="pt-BR"/>
        </w:rPr>
      </w:pPr>
      <w:r>
        <w:rPr>
          <w:rFonts w:ascii="Times New Roman" w:eastAsia="Times New Roman" w:hAnsi="Times New Roman"/>
          <w:sz w:val="24"/>
          <w:szCs w:val="24"/>
          <w:lang w:eastAsia="pt-BR"/>
        </w:rPr>
        <w:t>Ainda, foram utilizados dados relativos à estrutura organizacional de municípios e dados relativos ao quadro de pessoal de municípios com menos de 10.000 habitantes na região do Triângulo Mineiro, ma</w:t>
      </w:r>
      <w:r w:rsidR="00AA6955">
        <w:rPr>
          <w:rFonts w:ascii="Times New Roman" w:eastAsia="Times New Roman" w:hAnsi="Times New Roman"/>
          <w:sz w:val="24"/>
          <w:szCs w:val="24"/>
          <w:lang w:eastAsia="pt-BR"/>
        </w:rPr>
        <w:t>i</w:t>
      </w:r>
      <w:r>
        <w:rPr>
          <w:rFonts w:ascii="Times New Roman" w:eastAsia="Times New Roman" w:hAnsi="Times New Roman"/>
          <w:sz w:val="24"/>
          <w:szCs w:val="24"/>
          <w:lang w:eastAsia="pt-BR"/>
        </w:rPr>
        <w:t xml:space="preserve">s especificamente daqueles </w:t>
      </w:r>
      <w:r w:rsidR="00AA6955">
        <w:rPr>
          <w:rFonts w:ascii="Times New Roman" w:eastAsia="Times New Roman" w:hAnsi="Times New Roman"/>
          <w:sz w:val="24"/>
          <w:szCs w:val="24"/>
          <w:lang w:eastAsia="pt-BR"/>
        </w:rPr>
        <w:t>f</w:t>
      </w:r>
      <w:r>
        <w:rPr>
          <w:rFonts w:ascii="Times New Roman" w:eastAsia="Times New Roman" w:hAnsi="Times New Roman"/>
          <w:sz w:val="24"/>
          <w:szCs w:val="24"/>
          <w:lang w:eastAsia="pt-BR"/>
        </w:rPr>
        <w:t xml:space="preserve">iliados à Associação dos </w:t>
      </w:r>
      <w:r w:rsidR="00AA6955">
        <w:rPr>
          <w:rFonts w:ascii="Times New Roman" w:eastAsia="Times New Roman" w:hAnsi="Times New Roman"/>
          <w:sz w:val="24"/>
          <w:szCs w:val="24"/>
          <w:lang w:eastAsia="pt-BR"/>
        </w:rPr>
        <w:t>Municípios</w:t>
      </w:r>
      <w:r>
        <w:rPr>
          <w:rFonts w:ascii="Times New Roman" w:eastAsia="Times New Roman" w:hAnsi="Times New Roman"/>
          <w:sz w:val="24"/>
          <w:szCs w:val="24"/>
          <w:lang w:eastAsia="pt-BR"/>
        </w:rPr>
        <w:t xml:space="preserve"> do Vale do Paranaíba </w:t>
      </w:r>
      <w:r w:rsidR="00AA6955">
        <w:rPr>
          <w:rFonts w:ascii="Times New Roman" w:eastAsia="Times New Roman" w:hAnsi="Times New Roman"/>
          <w:sz w:val="24"/>
          <w:szCs w:val="24"/>
          <w:lang w:eastAsia="pt-BR"/>
        </w:rPr>
        <w:t>–</w:t>
      </w:r>
      <w:r>
        <w:rPr>
          <w:rFonts w:ascii="Times New Roman" w:eastAsia="Times New Roman" w:hAnsi="Times New Roman"/>
          <w:sz w:val="24"/>
          <w:szCs w:val="24"/>
          <w:lang w:eastAsia="pt-BR"/>
        </w:rPr>
        <w:t xml:space="preserve"> AMVAP</w:t>
      </w:r>
      <w:r w:rsidR="00640068">
        <w:rPr>
          <w:rStyle w:val="Refdenotaderodap"/>
          <w:rFonts w:ascii="Times New Roman" w:eastAsia="Times New Roman" w:hAnsi="Times New Roman"/>
          <w:sz w:val="24"/>
          <w:szCs w:val="24"/>
          <w:lang w:eastAsia="pt-BR"/>
        </w:rPr>
        <w:footnoteReference w:id="6"/>
      </w:r>
    </w:p>
    <w:p w14:paraId="0C786DFD" w14:textId="77777777" w:rsidR="00FE4AB7" w:rsidRDefault="00FE4AB7" w:rsidP="003F4F52">
      <w:pPr>
        <w:spacing w:after="0" w:line="240" w:lineRule="auto"/>
        <w:ind w:firstLine="1418"/>
        <w:jc w:val="both"/>
        <w:rPr>
          <w:rFonts w:ascii="Times New Roman" w:eastAsia="Times New Roman" w:hAnsi="Times New Roman"/>
          <w:sz w:val="24"/>
          <w:szCs w:val="24"/>
          <w:lang w:eastAsia="pt-BR"/>
        </w:rPr>
      </w:pPr>
    </w:p>
    <w:p w14:paraId="48232B77" w14:textId="303A5E3C" w:rsidR="008D0413" w:rsidRDefault="008D0413" w:rsidP="003F4F52">
      <w:pPr>
        <w:pStyle w:val="PargrafodaLista"/>
        <w:numPr>
          <w:ilvl w:val="0"/>
          <w:numId w:val="5"/>
        </w:numPr>
        <w:tabs>
          <w:tab w:val="left" w:pos="284"/>
        </w:tabs>
        <w:spacing w:after="0" w:line="240" w:lineRule="auto"/>
        <w:ind w:left="0" w:firstLine="0"/>
        <w:jc w:val="both"/>
        <w:rPr>
          <w:rFonts w:ascii="Times New Roman" w:eastAsia="Times New Roman" w:hAnsi="Times New Roman"/>
          <w:b/>
          <w:bCs/>
          <w:sz w:val="24"/>
          <w:szCs w:val="24"/>
          <w:lang w:eastAsia="pt-BR"/>
        </w:rPr>
      </w:pPr>
      <w:r w:rsidRPr="00640068">
        <w:rPr>
          <w:rFonts w:ascii="Times New Roman" w:eastAsia="Times New Roman" w:hAnsi="Times New Roman"/>
          <w:b/>
          <w:bCs/>
          <w:sz w:val="24"/>
          <w:szCs w:val="24"/>
          <w:lang w:eastAsia="pt-BR"/>
        </w:rPr>
        <w:t>PLANEJAMENTO E ADMINISTRAÇÃO PÚBLICA – EXPECTATIVA E REALIDADE</w:t>
      </w:r>
    </w:p>
    <w:p w14:paraId="4A3DF95D" w14:textId="77777777" w:rsidR="00215ACA" w:rsidRPr="00640068" w:rsidRDefault="00215ACA" w:rsidP="003F4F52">
      <w:pPr>
        <w:pStyle w:val="PargrafodaLista"/>
        <w:tabs>
          <w:tab w:val="left" w:pos="284"/>
        </w:tabs>
        <w:spacing w:after="0" w:line="240" w:lineRule="auto"/>
        <w:ind w:left="0"/>
        <w:jc w:val="both"/>
        <w:rPr>
          <w:rFonts w:ascii="Times New Roman" w:eastAsia="Times New Roman" w:hAnsi="Times New Roman"/>
          <w:b/>
          <w:bCs/>
          <w:sz w:val="24"/>
          <w:szCs w:val="24"/>
          <w:lang w:eastAsia="pt-BR"/>
        </w:rPr>
      </w:pPr>
    </w:p>
    <w:p w14:paraId="356D98FA" w14:textId="032047B3" w:rsidR="008D0413" w:rsidRPr="0089160D" w:rsidRDefault="008D0413" w:rsidP="001860A4">
      <w:pPr>
        <w:spacing w:after="120" w:line="240" w:lineRule="auto"/>
        <w:ind w:firstLine="851"/>
        <w:jc w:val="both"/>
        <w:rPr>
          <w:rFonts w:ascii="Times New Roman" w:eastAsia="Times New Roman" w:hAnsi="Times New Roman"/>
          <w:sz w:val="24"/>
          <w:szCs w:val="24"/>
          <w:lang w:eastAsia="pt-BR"/>
        </w:rPr>
      </w:pPr>
      <w:r w:rsidRPr="0089160D">
        <w:rPr>
          <w:rFonts w:ascii="Times New Roman" w:eastAsia="Times New Roman" w:hAnsi="Times New Roman"/>
          <w:sz w:val="24"/>
          <w:szCs w:val="24"/>
          <w:lang w:eastAsia="pt-BR"/>
        </w:rPr>
        <w:t>Na esfera privada, o planejamento foi tratado por Frederick Winslow Taylor</w:t>
      </w:r>
      <w:r w:rsidRPr="0089160D">
        <w:rPr>
          <w:rStyle w:val="Refdenotaderodap"/>
          <w:rFonts w:ascii="Times New Roman" w:eastAsia="Times New Roman" w:hAnsi="Times New Roman"/>
          <w:sz w:val="24"/>
          <w:szCs w:val="24"/>
          <w:lang w:eastAsia="pt-BR"/>
        </w:rPr>
        <w:footnoteReference w:id="7"/>
      </w:r>
      <w:r w:rsidRPr="0089160D">
        <w:rPr>
          <w:rFonts w:ascii="Times New Roman" w:eastAsia="Times New Roman" w:hAnsi="Times New Roman"/>
          <w:sz w:val="24"/>
          <w:szCs w:val="24"/>
          <w:lang w:eastAsia="pt-BR"/>
        </w:rPr>
        <w:t xml:space="preserve"> como princípio da administração científica, no início do século passado. </w:t>
      </w:r>
      <w:r w:rsidR="000D3586">
        <w:rPr>
          <w:rFonts w:ascii="Times New Roman" w:eastAsia="Times New Roman" w:hAnsi="Times New Roman"/>
          <w:sz w:val="24"/>
          <w:szCs w:val="24"/>
          <w:lang w:eastAsia="pt-BR"/>
        </w:rPr>
        <w:t>De maneira resumida</w:t>
      </w:r>
      <w:r w:rsidRPr="0089160D">
        <w:rPr>
          <w:rFonts w:ascii="Times New Roman" w:eastAsia="Times New Roman" w:hAnsi="Times New Roman"/>
          <w:sz w:val="24"/>
          <w:szCs w:val="24"/>
          <w:lang w:eastAsia="pt-BR"/>
        </w:rPr>
        <w:t>, propunha-se substituir a improvisação e o empirismo por métodos planejados e testados. A proposta, aplicável a produção industrial, implicava, em uma abordagem rasa, no aproveitamento das experiencias individuais de cada operário para traçar um novo método de produção integrando todas as etapas.</w:t>
      </w:r>
    </w:p>
    <w:p w14:paraId="092B5C36" w14:textId="2ADEA40F" w:rsidR="008555B6" w:rsidRDefault="008D0413" w:rsidP="001860A4">
      <w:pPr>
        <w:spacing w:after="120" w:line="240" w:lineRule="auto"/>
        <w:ind w:firstLine="851"/>
        <w:jc w:val="both"/>
        <w:rPr>
          <w:rFonts w:ascii="Times New Roman" w:eastAsia="Times New Roman" w:hAnsi="Times New Roman"/>
          <w:sz w:val="24"/>
          <w:szCs w:val="24"/>
          <w:lang w:eastAsia="pt-BR"/>
        </w:rPr>
      </w:pPr>
      <w:r w:rsidRPr="0089160D">
        <w:rPr>
          <w:rFonts w:ascii="Times New Roman" w:eastAsia="Times New Roman" w:hAnsi="Times New Roman"/>
          <w:sz w:val="24"/>
          <w:szCs w:val="24"/>
          <w:lang w:eastAsia="pt-BR"/>
        </w:rPr>
        <w:t>Na Administração Pública, por sua vez, pelo menos desde 1967</w:t>
      </w:r>
      <w:r w:rsidRPr="0089160D">
        <w:rPr>
          <w:rStyle w:val="Refdenotaderodap"/>
          <w:rFonts w:ascii="Times New Roman" w:eastAsia="Times New Roman" w:hAnsi="Times New Roman"/>
          <w:sz w:val="24"/>
          <w:szCs w:val="24"/>
          <w:lang w:eastAsia="pt-BR"/>
        </w:rPr>
        <w:footnoteReference w:id="8"/>
      </w:r>
      <w:r w:rsidRPr="0089160D">
        <w:rPr>
          <w:rFonts w:ascii="Times New Roman" w:eastAsia="Times New Roman" w:hAnsi="Times New Roman"/>
          <w:sz w:val="24"/>
          <w:szCs w:val="24"/>
          <w:lang w:eastAsia="pt-BR"/>
        </w:rPr>
        <w:t>, o planejamento também é tratado como um dos princípios fundamentais das atividades da administração federal. Curiosamente, o Brasil vivia sob regime autoritário e com administração centralizada, mas que reforçou a valorização do planejamento como instrumento do desenvolvimento e de resolução de problemas públicos.</w:t>
      </w:r>
    </w:p>
    <w:p w14:paraId="35025610" w14:textId="372E6026" w:rsidR="008D0413" w:rsidRPr="008555B6" w:rsidRDefault="008D0413" w:rsidP="001860A4">
      <w:pPr>
        <w:spacing w:after="120" w:line="240" w:lineRule="auto"/>
        <w:ind w:firstLine="851"/>
        <w:jc w:val="both"/>
        <w:rPr>
          <w:rFonts w:ascii="Times New Roman" w:eastAsia="Times New Roman" w:hAnsi="Times New Roman"/>
          <w:sz w:val="24"/>
          <w:szCs w:val="24"/>
          <w:lang w:eastAsia="pt-BR"/>
        </w:rPr>
      </w:pPr>
      <w:r w:rsidRPr="0089160D">
        <w:rPr>
          <w:rFonts w:ascii="Times New Roman" w:eastAsia="Times New Roman" w:hAnsi="Times New Roman"/>
          <w:sz w:val="24"/>
          <w:szCs w:val="24"/>
          <w:lang w:eastAsia="pt-BR"/>
        </w:rPr>
        <w:t xml:space="preserve">Sem desprezar projetos desenvolvidos da década seguinte à vigência do Decreto-Lei 200/1967, a exemplo do </w:t>
      </w:r>
      <w:proofErr w:type="spellStart"/>
      <w:r w:rsidRPr="0089160D">
        <w:rPr>
          <w:rFonts w:ascii="Times New Roman" w:eastAsia="Times New Roman" w:hAnsi="Times New Roman"/>
          <w:sz w:val="24"/>
          <w:szCs w:val="24"/>
          <w:lang w:eastAsia="pt-BR"/>
        </w:rPr>
        <w:t>Pro-álcool</w:t>
      </w:r>
      <w:proofErr w:type="spellEnd"/>
      <w:r w:rsidRPr="0089160D">
        <w:rPr>
          <w:rFonts w:ascii="Times New Roman" w:eastAsia="Times New Roman" w:hAnsi="Times New Roman"/>
          <w:sz w:val="24"/>
          <w:szCs w:val="24"/>
          <w:lang w:eastAsia="pt-BR"/>
        </w:rPr>
        <w:t xml:space="preserve"> e do </w:t>
      </w:r>
      <w:proofErr w:type="spellStart"/>
      <w:r w:rsidRPr="0089160D">
        <w:rPr>
          <w:rFonts w:ascii="Times New Roman" w:eastAsia="Times New Roman" w:hAnsi="Times New Roman"/>
          <w:sz w:val="24"/>
          <w:szCs w:val="24"/>
          <w:lang w:eastAsia="pt-BR"/>
        </w:rPr>
        <w:t>Polocentro</w:t>
      </w:r>
      <w:proofErr w:type="spellEnd"/>
      <w:r w:rsidRPr="0089160D">
        <w:rPr>
          <w:rStyle w:val="Refdenotaderodap"/>
          <w:rFonts w:ascii="Times New Roman" w:eastAsia="Times New Roman" w:hAnsi="Times New Roman"/>
          <w:sz w:val="24"/>
          <w:szCs w:val="24"/>
          <w:lang w:eastAsia="pt-BR"/>
        </w:rPr>
        <w:footnoteReference w:id="9"/>
      </w:r>
      <w:r w:rsidRPr="0089160D">
        <w:rPr>
          <w:rFonts w:ascii="Times New Roman" w:eastAsia="Times New Roman" w:hAnsi="Times New Roman"/>
          <w:sz w:val="24"/>
          <w:szCs w:val="24"/>
          <w:lang w:eastAsia="pt-BR"/>
        </w:rPr>
        <w:t xml:space="preserve">, o período de hiperinflação, vivenciado </w:t>
      </w:r>
      <w:r w:rsidRPr="0089160D">
        <w:rPr>
          <w:rFonts w:ascii="Times New Roman" w:eastAsia="Times New Roman" w:hAnsi="Times New Roman"/>
          <w:sz w:val="24"/>
          <w:szCs w:val="24"/>
          <w:lang w:eastAsia="pt-BR"/>
        </w:rPr>
        <w:lastRenderedPageBreak/>
        <w:t xml:space="preserve">entre os </w:t>
      </w:r>
      <w:r w:rsidRPr="0089160D">
        <w:rPr>
          <w:rFonts w:ascii="Times New Roman" w:hAnsi="Times New Roman"/>
          <w:color w:val="202124"/>
          <w:sz w:val="24"/>
          <w:szCs w:val="24"/>
          <w:shd w:val="clear" w:color="auto" w:fill="FFFFFF"/>
        </w:rPr>
        <w:t>anos 80 e início dos anos 90, representaram um desafio ao planejamento das ações da Administração Pública no Brasil.</w:t>
      </w:r>
    </w:p>
    <w:p w14:paraId="35AC7F3A" w14:textId="77777777" w:rsidR="008D0413" w:rsidRPr="0089160D" w:rsidRDefault="008D0413" w:rsidP="001860A4">
      <w:pPr>
        <w:spacing w:after="120" w:line="240" w:lineRule="auto"/>
        <w:ind w:firstLine="851"/>
        <w:jc w:val="both"/>
        <w:rPr>
          <w:rFonts w:ascii="Times New Roman" w:hAnsi="Times New Roman"/>
          <w:color w:val="202124"/>
          <w:sz w:val="24"/>
          <w:szCs w:val="24"/>
          <w:shd w:val="clear" w:color="auto" w:fill="FFFFFF"/>
        </w:rPr>
      </w:pPr>
      <w:r w:rsidRPr="0089160D">
        <w:rPr>
          <w:rFonts w:ascii="Times New Roman" w:hAnsi="Times New Roman"/>
          <w:color w:val="202124"/>
          <w:sz w:val="24"/>
          <w:szCs w:val="24"/>
          <w:shd w:val="clear" w:color="auto" w:fill="FFFFFF"/>
        </w:rPr>
        <w:t>Os orçamentos, sobretudo os dos municípios, eram considerados verdadeiras peças de ficção, servindo apenas para nortear ações pouco planejadas e, por conseguinte, executadas de forma desestruturada. A paralisação de obras e a falta de continuidade de projetos e atividades, a tônica da época, foram a consequência.</w:t>
      </w:r>
    </w:p>
    <w:p w14:paraId="35999EA0" w14:textId="77777777" w:rsidR="008D0413" w:rsidRPr="0089160D" w:rsidRDefault="008D0413" w:rsidP="001860A4">
      <w:pPr>
        <w:spacing w:after="120" w:line="240" w:lineRule="auto"/>
        <w:ind w:firstLine="851"/>
        <w:jc w:val="both"/>
        <w:rPr>
          <w:rFonts w:ascii="Times New Roman" w:hAnsi="Times New Roman"/>
          <w:color w:val="202124"/>
          <w:sz w:val="24"/>
          <w:szCs w:val="24"/>
          <w:shd w:val="clear" w:color="auto" w:fill="FFFFFF"/>
        </w:rPr>
      </w:pPr>
      <w:r w:rsidRPr="0089160D">
        <w:rPr>
          <w:rFonts w:ascii="Times New Roman" w:hAnsi="Times New Roman"/>
          <w:color w:val="202124"/>
          <w:sz w:val="24"/>
          <w:szCs w:val="24"/>
          <w:shd w:val="clear" w:color="auto" w:fill="FFFFFF"/>
        </w:rPr>
        <w:t>Ainda na primeira metade dos anos 90, a promulgação de uma série de leis com caráter moralizador e disciplinador das atividades da administração pública - destaque para a Lei nº 8.429/1992 (Lei de Improbidade Administrativa) e para a Lei nº 8.666/1993 (Lei de Licitações e Contratos da Administração Pública) – e, principalmente com a estabilidade econômica promovida pelo Plano Real, novos horizontes começaram a surgir.</w:t>
      </w:r>
    </w:p>
    <w:p w14:paraId="61672FB2" w14:textId="77777777" w:rsidR="008D0413" w:rsidRPr="0089160D" w:rsidRDefault="008D0413" w:rsidP="001860A4">
      <w:pPr>
        <w:spacing w:after="120" w:line="240" w:lineRule="auto"/>
        <w:ind w:firstLine="851"/>
        <w:jc w:val="both"/>
        <w:rPr>
          <w:rFonts w:ascii="Times New Roman" w:hAnsi="Times New Roman"/>
          <w:color w:val="202124"/>
          <w:sz w:val="24"/>
          <w:szCs w:val="24"/>
          <w:shd w:val="clear" w:color="auto" w:fill="FFFFFF"/>
        </w:rPr>
      </w:pPr>
      <w:r w:rsidRPr="0089160D">
        <w:rPr>
          <w:rFonts w:ascii="Times New Roman" w:hAnsi="Times New Roman"/>
          <w:color w:val="202124"/>
          <w:sz w:val="24"/>
          <w:szCs w:val="24"/>
          <w:shd w:val="clear" w:color="auto" w:fill="FFFFFF"/>
        </w:rPr>
        <w:t>Nesse cenário de menos incertezas orçamentárias e ante a necessidade de se evitar retrocessos, a Lei de Responsabilidade Fiscal trouxe como um dos pilares da gestão fiscal responsável o Planejamento. A Lei deu nova roupagem e importância à legislação que visa o estabelecimento das diretrizes orçamentárias e criou instrumentos que possibilitam o melhor controle da gestão, prestigiando o planejamento das atividades.</w:t>
      </w:r>
    </w:p>
    <w:p w14:paraId="4E9DBC1F" w14:textId="77777777" w:rsidR="008D0413" w:rsidRPr="0089160D" w:rsidRDefault="008D0413" w:rsidP="001860A4">
      <w:pPr>
        <w:spacing w:after="120" w:line="240" w:lineRule="auto"/>
        <w:ind w:firstLine="851"/>
        <w:jc w:val="both"/>
        <w:rPr>
          <w:rFonts w:ascii="Times New Roman" w:hAnsi="Times New Roman"/>
          <w:color w:val="202124"/>
          <w:sz w:val="24"/>
          <w:szCs w:val="24"/>
          <w:shd w:val="clear" w:color="auto" w:fill="FFFFFF"/>
        </w:rPr>
      </w:pPr>
      <w:r w:rsidRPr="0089160D">
        <w:rPr>
          <w:rFonts w:ascii="Times New Roman" w:hAnsi="Times New Roman"/>
          <w:color w:val="202124"/>
          <w:sz w:val="24"/>
          <w:szCs w:val="24"/>
          <w:shd w:val="clear" w:color="auto" w:fill="FFFFFF"/>
        </w:rPr>
        <w:t>Com o período de estabilidade econômica, direitos sociais garantidos na Constituição Federal passaram a ser cobrados – exigidos - pela população, implicando, com isso, na necessidade de a Administração Pública melhor planejar suas políticas públicas.</w:t>
      </w:r>
    </w:p>
    <w:p w14:paraId="1446BFCA" w14:textId="77777777" w:rsidR="008D0413" w:rsidRPr="0089160D" w:rsidRDefault="008D0413" w:rsidP="001860A4">
      <w:pPr>
        <w:spacing w:after="120" w:line="240" w:lineRule="auto"/>
        <w:ind w:firstLine="851"/>
        <w:jc w:val="both"/>
        <w:rPr>
          <w:rFonts w:ascii="Times New Roman" w:hAnsi="Times New Roman"/>
          <w:color w:val="202124"/>
          <w:sz w:val="24"/>
          <w:szCs w:val="24"/>
          <w:shd w:val="clear" w:color="auto" w:fill="FFFFFF"/>
        </w:rPr>
      </w:pPr>
      <w:r w:rsidRPr="0089160D">
        <w:rPr>
          <w:rFonts w:ascii="Times New Roman" w:hAnsi="Times New Roman"/>
          <w:color w:val="202124"/>
          <w:sz w:val="24"/>
          <w:szCs w:val="24"/>
          <w:shd w:val="clear" w:color="auto" w:fill="FFFFFF"/>
        </w:rPr>
        <w:t xml:space="preserve">Na esfera da administração pública federal e até mesmo em alguns estados e municípios de grande e médio porte foi possível perceber avanços na estrutura de planejamento e gestão das atividades administrativas. </w:t>
      </w:r>
    </w:p>
    <w:p w14:paraId="793869A4" w14:textId="3B14510D" w:rsidR="008D0413" w:rsidRPr="0089160D" w:rsidRDefault="008D0413" w:rsidP="001860A4">
      <w:pPr>
        <w:spacing w:after="120" w:line="240" w:lineRule="auto"/>
        <w:ind w:firstLine="851"/>
        <w:jc w:val="both"/>
        <w:rPr>
          <w:rFonts w:ascii="Times New Roman" w:hAnsi="Times New Roman"/>
          <w:color w:val="202124"/>
          <w:sz w:val="24"/>
          <w:szCs w:val="24"/>
          <w:shd w:val="clear" w:color="auto" w:fill="FFFFFF"/>
        </w:rPr>
      </w:pPr>
      <w:r w:rsidRPr="0089160D">
        <w:rPr>
          <w:rFonts w:ascii="Times New Roman" w:hAnsi="Times New Roman"/>
          <w:color w:val="202124"/>
          <w:sz w:val="24"/>
          <w:szCs w:val="24"/>
          <w:shd w:val="clear" w:color="auto" w:fill="FFFFFF"/>
        </w:rPr>
        <w:t xml:space="preserve">Entretanto, na maioria dos municípios pequenos e com baixa renda per capita, que já tinham recebido diversas novas obrigações atribuídas pela nova formatação de competências </w:t>
      </w:r>
      <w:r w:rsidR="00AA5833">
        <w:rPr>
          <w:rFonts w:ascii="Times New Roman" w:hAnsi="Times New Roman"/>
          <w:color w:val="202124"/>
          <w:sz w:val="24"/>
          <w:szCs w:val="24"/>
          <w:shd w:val="clear" w:color="auto" w:fill="FFFFFF"/>
        </w:rPr>
        <w:t xml:space="preserve">administrativas </w:t>
      </w:r>
      <w:r w:rsidRPr="0089160D">
        <w:rPr>
          <w:rFonts w:ascii="Times New Roman" w:hAnsi="Times New Roman"/>
          <w:color w:val="202124"/>
          <w:sz w:val="24"/>
          <w:szCs w:val="24"/>
          <w:shd w:val="clear" w:color="auto" w:fill="FFFFFF"/>
        </w:rPr>
        <w:t>delineada pela Constituição de 1988, a gestão planejada ainda está longe da realidade almejada.</w:t>
      </w:r>
    </w:p>
    <w:p w14:paraId="0439C0CD" w14:textId="77777777" w:rsidR="008D0413" w:rsidRPr="0089160D" w:rsidRDefault="008D0413" w:rsidP="001860A4">
      <w:pPr>
        <w:spacing w:after="120" w:line="240" w:lineRule="auto"/>
        <w:ind w:firstLine="851"/>
        <w:jc w:val="both"/>
        <w:rPr>
          <w:rFonts w:ascii="Times New Roman" w:hAnsi="Times New Roman"/>
          <w:color w:val="202124"/>
          <w:sz w:val="24"/>
          <w:szCs w:val="24"/>
          <w:shd w:val="clear" w:color="auto" w:fill="FFFFFF"/>
        </w:rPr>
      </w:pPr>
      <w:r w:rsidRPr="0089160D">
        <w:rPr>
          <w:rFonts w:ascii="Times New Roman" w:hAnsi="Times New Roman"/>
          <w:color w:val="202124"/>
          <w:sz w:val="24"/>
          <w:szCs w:val="24"/>
          <w:shd w:val="clear" w:color="auto" w:fill="FFFFFF"/>
        </w:rPr>
        <w:t>Não cabe, no presente trabalho, discutir o pacto federativo ou mesmo a extinção de municípios, conforme proposta</w:t>
      </w:r>
      <w:r w:rsidRPr="0089160D">
        <w:rPr>
          <w:rStyle w:val="Refdenotaderodap"/>
          <w:rFonts w:ascii="Times New Roman" w:hAnsi="Times New Roman"/>
          <w:color w:val="202124"/>
          <w:sz w:val="24"/>
          <w:szCs w:val="24"/>
          <w:shd w:val="clear" w:color="auto" w:fill="FFFFFF"/>
        </w:rPr>
        <w:footnoteReference w:id="10"/>
      </w:r>
      <w:r w:rsidRPr="0089160D">
        <w:rPr>
          <w:rFonts w:ascii="Times New Roman" w:hAnsi="Times New Roman"/>
          <w:color w:val="202124"/>
          <w:sz w:val="24"/>
          <w:szCs w:val="24"/>
          <w:shd w:val="clear" w:color="auto" w:fill="FFFFFF"/>
        </w:rPr>
        <w:t xml:space="preserve"> enviada pelo Governo Federal ao Congresso em 2019. Entretanto, faz-se necessário que, no delineamento das políticas públicas nacionais, os pequenos municípios passem a ser percebidos sob uma ótica própria. </w:t>
      </w:r>
    </w:p>
    <w:p w14:paraId="36A634A4" w14:textId="77777777" w:rsidR="008D0413" w:rsidRPr="0089160D" w:rsidRDefault="008D0413" w:rsidP="001860A4">
      <w:pPr>
        <w:spacing w:after="120" w:line="240" w:lineRule="auto"/>
        <w:ind w:firstLine="851"/>
        <w:jc w:val="both"/>
        <w:rPr>
          <w:rFonts w:ascii="Times New Roman" w:hAnsi="Times New Roman"/>
          <w:color w:val="202124"/>
          <w:sz w:val="24"/>
          <w:szCs w:val="24"/>
          <w:shd w:val="clear" w:color="auto" w:fill="FFFFFF"/>
        </w:rPr>
      </w:pPr>
      <w:r w:rsidRPr="0089160D">
        <w:rPr>
          <w:rFonts w:ascii="Times New Roman" w:hAnsi="Times New Roman"/>
          <w:color w:val="202124"/>
          <w:sz w:val="24"/>
          <w:szCs w:val="24"/>
          <w:shd w:val="clear" w:color="auto" w:fill="FFFFFF"/>
        </w:rPr>
        <w:t>Por vezes textos legais, sobretudo aqueles que demandam especialização técnica para sua elaboração, criam mecanismos e traçam metas observando apenas a realidade da União ou de grandes municípios. Assim, os encargos transferidos aos pequenos municípios não são cumpridos e aos gestores e servidores públicos é aplicada a chancela da ineficiência e, por vezes, da improbidade e da ilegalidade.</w:t>
      </w:r>
    </w:p>
    <w:p w14:paraId="213E4BF3" w14:textId="77777777" w:rsidR="008D0413" w:rsidRPr="0089160D" w:rsidRDefault="008D0413" w:rsidP="001860A4">
      <w:pPr>
        <w:spacing w:after="120" w:line="240" w:lineRule="auto"/>
        <w:ind w:firstLine="851"/>
        <w:jc w:val="both"/>
        <w:rPr>
          <w:rFonts w:ascii="Times New Roman" w:hAnsi="Times New Roman"/>
          <w:color w:val="202124"/>
          <w:sz w:val="24"/>
          <w:szCs w:val="24"/>
          <w:shd w:val="clear" w:color="auto" w:fill="FFFFFF"/>
        </w:rPr>
      </w:pPr>
      <w:r w:rsidRPr="0089160D">
        <w:rPr>
          <w:rFonts w:ascii="Times New Roman" w:hAnsi="Times New Roman"/>
          <w:color w:val="202124"/>
          <w:sz w:val="24"/>
          <w:szCs w:val="24"/>
          <w:shd w:val="clear" w:color="auto" w:fill="FFFFFF"/>
        </w:rPr>
        <w:t xml:space="preserve">A nova lei de licitações veio com a intenção clara de implantar, de maneira plena, a cultura do planejamento no regime de compras e contratações. Novos instrumentos de planejamento foram inseridos nos ritos e, com certeza, são dignos de elogios. </w:t>
      </w:r>
    </w:p>
    <w:p w14:paraId="6DF470FB" w14:textId="77777777" w:rsidR="008D0413" w:rsidRPr="0089160D" w:rsidRDefault="008D0413" w:rsidP="001860A4">
      <w:pPr>
        <w:spacing w:after="120" w:line="240" w:lineRule="auto"/>
        <w:ind w:firstLine="851"/>
        <w:jc w:val="both"/>
        <w:rPr>
          <w:rFonts w:ascii="Times New Roman" w:hAnsi="Times New Roman"/>
          <w:color w:val="202124"/>
          <w:sz w:val="24"/>
          <w:szCs w:val="24"/>
          <w:shd w:val="clear" w:color="auto" w:fill="FFFFFF"/>
        </w:rPr>
      </w:pPr>
      <w:r w:rsidRPr="0089160D">
        <w:rPr>
          <w:rFonts w:ascii="Times New Roman" w:hAnsi="Times New Roman"/>
          <w:color w:val="202124"/>
          <w:sz w:val="24"/>
          <w:szCs w:val="24"/>
          <w:shd w:val="clear" w:color="auto" w:fill="FFFFFF"/>
        </w:rPr>
        <w:t xml:space="preserve">Por outro lado, a aplicabilidade e a real eficiência dos novos instrumentos podem não ser tão perceptíveis naqueles municípios que não possuem corpo técnico qualificado. </w:t>
      </w:r>
    </w:p>
    <w:p w14:paraId="559F46DE" w14:textId="226AA39C" w:rsidR="008D0413" w:rsidRDefault="008D0413" w:rsidP="001860A4">
      <w:pPr>
        <w:spacing w:after="120" w:line="240" w:lineRule="auto"/>
        <w:ind w:firstLine="851"/>
        <w:jc w:val="both"/>
        <w:rPr>
          <w:rFonts w:ascii="Times New Roman" w:hAnsi="Times New Roman"/>
          <w:color w:val="202124"/>
          <w:sz w:val="24"/>
          <w:szCs w:val="24"/>
          <w:shd w:val="clear" w:color="auto" w:fill="FFFFFF"/>
        </w:rPr>
      </w:pPr>
      <w:r w:rsidRPr="0089160D">
        <w:rPr>
          <w:rFonts w:ascii="Times New Roman" w:hAnsi="Times New Roman"/>
          <w:color w:val="202124"/>
          <w:sz w:val="24"/>
          <w:szCs w:val="24"/>
          <w:shd w:val="clear" w:color="auto" w:fill="FFFFFF"/>
        </w:rPr>
        <w:lastRenderedPageBreak/>
        <w:t>Há risco de que a real intenção – planejamento de compras e contratações – se perca e as novas regras impliquem apenas em aumento de burocracia para dar aparência de cumprimento das disposições legais, sem, no entanto, ter qualquer ganho em eficiência.</w:t>
      </w:r>
    </w:p>
    <w:p w14:paraId="2F7BBF60" w14:textId="44B28371" w:rsidR="00A97EE7" w:rsidRDefault="00A97EE7" w:rsidP="001860A4">
      <w:pPr>
        <w:spacing w:after="120" w:line="240" w:lineRule="auto"/>
        <w:ind w:firstLine="851"/>
        <w:jc w:val="both"/>
        <w:rPr>
          <w:rFonts w:ascii="Times New Roman" w:hAnsi="Times New Roman"/>
          <w:color w:val="202124"/>
          <w:sz w:val="24"/>
          <w:szCs w:val="24"/>
          <w:shd w:val="clear" w:color="auto" w:fill="FFFFFF"/>
        </w:rPr>
      </w:pPr>
      <w:r w:rsidRPr="00A97EE7">
        <w:rPr>
          <w:rFonts w:ascii="Times New Roman" w:hAnsi="Times New Roman"/>
          <w:color w:val="202124"/>
          <w:sz w:val="24"/>
          <w:szCs w:val="24"/>
          <w:shd w:val="clear" w:color="auto" w:fill="FFFFFF"/>
        </w:rPr>
        <w:t xml:space="preserve">É neste quadro geral, que a </w:t>
      </w:r>
      <w:r>
        <w:rPr>
          <w:rFonts w:ascii="Times New Roman" w:hAnsi="Times New Roman"/>
          <w:color w:val="202124"/>
          <w:sz w:val="24"/>
          <w:szCs w:val="24"/>
          <w:shd w:val="clear" w:color="auto" w:fill="FFFFFF"/>
        </w:rPr>
        <w:t xml:space="preserve">nova Lei </w:t>
      </w:r>
      <w:r w:rsidRPr="00A97EE7">
        <w:rPr>
          <w:rFonts w:ascii="Times New Roman" w:hAnsi="Times New Roman"/>
          <w:color w:val="202124"/>
          <w:sz w:val="24"/>
          <w:szCs w:val="24"/>
          <w:shd w:val="clear" w:color="auto" w:fill="FFFFFF"/>
        </w:rPr>
        <w:t xml:space="preserve">institui </w:t>
      </w:r>
      <w:r>
        <w:rPr>
          <w:rFonts w:ascii="Times New Roman" w:hAnsi="Times New Roman"/>
          <w:color w:val="202124"/>
          <w:sz w:val="24"/>
          <w:szCs w:val="24"/>
          <w:shd w:val="clear" w:color="auto" w:fill="FFFFFF"/>
        </w:rPr>
        <w:t xml:space="preserve">mecanismos de </w:t>
      </w:r>
      <w:r w:rsidRPr="00A97EE7">
        <w:rPr>
          <w:rFonts w:ascii="Times New Roman" w:hAnsi="Times New Roman"/>
          <w:color w:val="202124"/>
          <w:sz w:val="24"/>
          <w:szCs w:val="24"/>
          <w:shd w:val="clear" w:color="auto" w:fill="FFFFFF"/>
        </w:rPr>
        <w:t xml:space="preserve">planejamento </w:t>
      </w:r>
      <w:r>
        <w:rPr>
          <w:rFonts w:ascii="Times New Roman" w:hAnsi="Times New Roman"/>
          <w:color w:val="202124"/>
          <w:sz w:val="24"/>
          <w:szCs w:val="24"/>
          <w:shd w:val="clear" w:color="auto" w:fill="FFFFFF"/>
        </w:rPr>
        <w:t>de compras e contratações, obrigatórios a</w:t>
      </w:r>
      <w:r w:rsidRPr="00A97EE7">
        <w:rPr>
          <w:rFonts w:ascii="Times New Roman" w:hAnsi="Times New Roman"/>
          <w:color w:val="202124"/>
          <w:sz w:val="24"/>
          <w:szCs w:val="24"/>
          <w:shd w:val="clear" w:color="auto" w:fill="FFFFFF"/>
        </w:rPr>
        <w:t xml:space="preserve"> todos os municípios brasileiros</w:t>
      </w:r>
      <w:r>
        <w:rPr>
          <w:rFonts w:ascii="Times New Roman" w:hAnsi="Times New Roman"/>
          <w:color w:val="202124"/>
          <w:sz w:val="24"/>
          <w:szCs w:val="24"/>
          <w:shd w:val="clear" w:color="auto" w:fill="FFFFFF"/>
        </w:rPr>
        <w:t>,</w:t>
      </w:r>
      <w:r w:rsidRPr="00A97EE7">
        <w:rPr>
          <w:rFonts w:ascii="Times New Roman" w:hAnsi="Times New Roman"/>
          <w:color w:val="202124"/>
          <w:sz w:val="24"/>
          <w:szCs w:val="24"/>
          <w:shd w:val="clear" w:color="auto" w:fill="FFFFFF"/>
        </w:rPr>
        <w:t xml:space="preserve"> sem considerar as diferentes realidades </w:t>
      </w:r>
      <w:r>
        <w:rPr>
          <w:rFonts w:ascii="Times New Roman" w:hAnsi="Times New Roman"/>
          <w:color w:val="202124"/>
          <w:sz w:val="24"/>
          <w:szCs w:val="24"/>
          <w:shd w:val="clear" w:color="auto" w:fill="FFFFFF"/>
        </w:rPr>
        <w:t>do Brasil.</w:t>
      </w:r>
    </w:p>
    <w:p w14:paraId="0F695B66" w14:textId="77777777" w:rsidR="00A97EE7" w:rsidRPr="00A97EE7" w:rsidRDefault="00A97EE7" w:rsidP="003F4F52">
      <w:pPr>
        <w:spacing w:after="0" w:line="240" w:lineRule="auto"/>
        <w:ind w:firstLine="851"/>
        <w:jc w:val="both"/>
        <w:rPr>
          <w:rFonts w:ascii="Times New Roman" w:hAnsi="Times New Roman"/>
          <w:color w:val="202124"/>
          <w:sz w:val="24"/>
          <w:szCs w:val="24"/>
          <w:shd w:val="clear" w:color="auto" w:fill="FFFFFF"/>
        </w:rPr>
      </w:pPr>
    </w:p>
    <w:p w14:paraId="4468D4E5" w14:textId="1112E1C2" w:rsidR="008D0413" w:rsidRPr="00B050F2" w:rsidRDefault="008D0413" w:rsidP="003F4F52">
      <w:pPr>
        <w:pStyle w:val="PargrafodaLista"/>
        <w:numPr>
          <w:ilvl w:val="0"/>
          <w:numId w:val="5"/>
        </w:numPr>
        <w:tabs>
          <w:tab w:val="left" w:pos="284"/>
        </w:tabs>
        <w:spacing w:after="0" w:line="240" w:lineRule="auto"/>
        <w:ind w:left="0" w:firstLine="0"/>
        <w:jc w:val="both"/>
        <w:rPr>
          <w:rFonts w:ascii="Times New Roman" w:eastAsia="Times New Roman" w:hAnsi="Times New Roman"/>
          <w:b/>
          <w:bCs/>
          <w:sz w:val="24"/>
          <w:szCs w:val="24"/>
          <w:lang w:eastAsia="pt-BR"/>
        </w:rPr>
      </w:pPr>
      <w:r w:rsidRPr="00B050F2">
        <w:rPr>
          <w:rFonts w:ascii="Times New Roman" w:eastAsia="Times New Roman" w:hAnsi="Times New Roman"/>
          <w:b/>
          <w:bCs/>
          <w:sz w:val="24"/>
          <w:szCs w:val="24"/>
          <w:lang w:eastAsia="pt-BR"/>
        </w:rPr>
        <w:t>PLANEJAMENTO</w:t>
      </w:r>
      <w:r w:rsidR="00C34848" w:rsidRPr="00B050F2">
        <w:rPr>
          <w:rFonts w:ascii="Times New Roman" w:eastAsia="Times New Roman" w:hAnsi="Times New Roman"/>
          <w:b/>
          <w:bCs/>
          <w:sz w:val="24"/>
          <w:szCs w:val="24"/>
          <w:lang w:eastAsia="pt-BR"/>
        </w:rPr>
        <w:t xml:space="preserve"> E</w:t>
      </w:r>
      <w:r w:rsidRPr="00B050F2">
        <w:rPr>
          <w:rFonts w:ascii="Times New Roman" w:eastAsia="Times New Roman" w:hAnsi="Times New Roman"/>
          <w:b/>
          <w:bCs/>
          <w:sz w:val="24"/>
          <w:szCs w:val="24"/>
          <w:lang w:eastAsia="pt-BR"/>
        </w:rPr>
        <w:t xml:space="preserve"> A NOVA LEI DE LICITAÇÕES</w:t>
      </w:r>
    </w:p>
    <w:p w14:paraId="01C1195F" w14:textId="77777777" w:rsidR="00FE4AB7" w:rsidRDefault="00FE4AB7" w:rsidP="003F4F52">
      <w:pPr>
        <w:spacing w:after="0" w:line="240" w:lineRule="auto"/>
        <w:ind w:firstLine="1418"/>
        <w:jc w:val="both"/>
        <w:rPr>
          <w:rFonts w:ascii="Times New Roman" w:eastAsia="Times New Roman" w:hAnsi="Times New Roman"/>
          <w:sz w:val="24"/>
          <w:szCs w:val="24"/>
          <w:lang w:eastAsia="pt-BR"/>
        </w:rPr>
      </w:pPr>
    </w:p>
    <w:p w14:paraId="04BC206C" w14:textId="16ACE45A" w:rsidR="008D0413" w:rsidRPr="0089160D" w:rsidRDefault="008D0413" w:rsidP="001860A4">
      <w:pPr>
        <w:spacing w:after="120" w:line="240" w:lineRule="auto"/>
        <w:ind w:firstLine="851"/>
        <w:jc w:val="both"/>
        <w:rPr>
          <w:rFonts w:ascii="Times New Roman" w:eastAsia="Times New Roman" w:hAnsi="Times New Roman"/>
          <w:sz w:val="24"/>
          <w:szCs w:val="24"/>
          <w:lang w:eastAsia="pt-BR"/>
        </w:rPr>
      </w:pPr>
      <w:r w:rsidRPr="0089160D">
        <w:rPr>
          <w:rFonts w:ascii="Times New Roman" w:eastAsia="Times New Roman" w:hAnsi="Times New Roman"/>
          <w:sz w:val="24"/>
          <w:szCs w:val="24"/>
          <w:lang w:eastAsia="pt-BR"/>
        </w:rPr>
        <w:t>Apesar de passível de críticas quanto as minudencias trazidas por uma lei que deveria tratar de normas gerais</w:t>
      </w:r>
      <w:r w:rsidRPr="0089160D">
        <w:rPr>
          <w:rStyle w:val="Refdenotaderodap"/>
          <w:rFonts w:ascii="Times New Roman" w:eastAsia="Times New Roman" w:hAnsi="Times New Roman"/>
          <w:sz w:val="24"/>
          <w:szCs w:val="24"/>
          <w:lang w:eastAsia="pt-BR"/>
        </w:rPr>
        <w:footnoteReference w:id="11"/>
      </w:r>
      <w:r w:rsidRPr="0089160D">
        <w:rPr>
          <w:rFonts w:ascii="Times New Roman" w:eastAsia="Times New Roman" w:hAnsi="Times New Roman"/>
          <w:sz w:val="24"/>
          <w:szCs w:val="24"/>
          <w:lang w:eastAsia="pt-BR"/>
        </w:rPr>
        <w:t>, a nova lei de licitações veio disciplinar, com bastante precisão, procedimentos específicos relativos ao planejamento de compras e contratações, o que é digno de elogios.</w:t>
      </w:r>
    </w:p>
    <w:p w14:paraId="403490CC" w14:textId="68E79E82" w:rsidR="008D0413" w:rsidRPr="0089160D" w:rsidRDefault="008D0413" w:rsidP="001860A4">
      <w:pPr>
        <w:spacing w:after="120" w:line="240" w:lineRule="auto"/>
        <w:ind w:firstLine="851"/>
        <w:jc w:val="both"/>
        <w:rPr>
          <w:rFonts w:ascii="Times New Roman" w:eastAsia="Times New Roman" w:hAnsi="Times New Roman"/>
          <w:sz w:val="24"/>
          <w:szCs w:val="24"/>
          <w:lang w:eastAsia="pt-BR"/>
        </w:rPr>
      </w:pPr>
      <w:r w:rsidRPr="0089160D">
        <w:rPr>
          <w:rFonts w:ascii="Times New Roman" w:eastAsia="Times New Roman" w:hAnsi="Times New Roman"/>
          <w:sz w:val="24"/>
          <w:szCs w:val="24"/>
          <w:lang w:eastAsia="pt-BR"/>
        </w:rPr>
        <w:t xml:space="preserve">Cumpre lembrar que grande parte das alterações, sobretudo aquelas relacionadas ao planejamento, não são inovações jurídicas por completo. A nova lei trouxe à categoria de dispositivos legais ordinários, válidos para toda Federação, normas internas federais, estabelecidas, sem sua maioria, em instruções normativas ou extraídas de decisões emanadas do Tribunal de Contas da União. Portanto, parte do que propõe a Lei, já </w:t>
      </w:r>
      <w:r w:rsidR="00505A07">
        <w:rPr>
          <w:rFonts w:ascii="Times New Roman" w:eastAsia="Times New Roman" w:hAnsi="Times New Roman"/>
          <w:sz w:val="24"/>
          <w:szCs w:val="24"/>
          <w:lang w:eastAsia="pt-BR"/>
        </w:rPr>
        <w:t>era</w:t>
      </w:r>
      <w:r w:rsidRPr="0089160D">
        <w:rPr>
          <w:rFonts w:ascii="Times New Roman" w:eastAsia="Times New Roman" w:hAnsi="Times New Roman"/>
          <w:sz w:val="24"/>
          <w:szCs w:val="24"/>
          <w:lang w:eastAsia="pt-BR"/>
        </w:rPr>
        <w:t xml:space="preserve"> realidade na administração pública federal, conforme será adiante retratado.</w:t>
      </w:r>
    </w:p>
    <w:p w14:paraId="3BA3B97A" w14:textId="3DC6E087" w:rsidR="008D0413" w:rsidRDefault="008D0413" w:rsidP="001860A4">
      <w:pPr>
        <w:spacing w:after="120" w:line="240" w:lineRule="auto"/>
        <w:ind w:firstLine="851"/>
        <w:jc w:val="both"/>
        <w:rPr>
          <w:rFonts w:ascii="Times New Roman" w:eastAsia="Times New Roman" w:hAnsi="Times New Roman"/>
          <w:sz w:val="24"/>
          <w:szCs w:val="24"/>
          <w:lang w:eastAsia="pt-BR"/>
        </w:rPr>
      </w:pPr>
      <w:r w:rsidRPr="0089160D">
        <w:rPr>
          <w:rFonts w:ascii="Times New Roman" w:eastAsia="Times New Roman" w:hAnsi="Times New Roman"/>
          <w:sz w:val="24"/>
          <w:szCs w:val="24"/>
          <w:lang w:eastAsia="pt-BR"/>
        </w:rPr>
        <w:t xml:space="preserve">Conforme já mencionado, a Lei de Licitações e Contratos Administrativos, logo em seu artigo 5º, aumenta o rol de princípios expressamente aplicáveis ao processo licitatório, incluindo, ao lado da igualdade, da probidade administrativa, do julgamento objetivo e de inúmeros outros, o planejamento. </w:t>
      </w:r>
    </w:p>
    <w:p w14:paraId="11A065E6" w14:textId="77777777" w:rsidR="001860A4" w:rsidRPr="0089160D" w:rsidRDefault="001860A4" w:rsidP="001860A4">
      <w:pPr>
        <w:spacing w:after="120" w:line="240" w:lineRule="auto"/>
        <w:ind w:firstLine="851"/>
        <w:jc w:val="both"/>
        <w:rPr>
          <w:rFonts w:ascii="Times New Roman" w:eastAsia="Times New Roman" w:hAnsi="Times New Roman"/>
          <w:sz w:val="24"/>
          <w:szCs w:val="24"/>
          <w:lang w:eastAsia="pt-BR"/>
        </w:rPr>
      </w:pPr>
    </w:p>
    <w:p w14:paraId="4D5EDF46" w14:textId="5171EDA3" w:rsidR="008D0413" w:rsidRDefault="008D0413" w:rsidP="001860A4">
      <w:pPr>
        <w:spacing w:after="120" w:line="240" w:lineRule="auto"/>
        <w:ind w:left="2268"/>
        <w:jc w:val="both"/>
        <w:rPr>
          <w:rFonts w:ascii="Times New Roman" w:hAnsi="Times New Roman"/>
          <w:color w:val="000000"/>
        </w:rPr>
      </w:pPr>
      <w:r w:rsidRPr="0089160D">
        <w:rPr>
          <w:rFonts w:ascii="Times New Roman" w:hAnsi="Times New Roman"/>
          <w:color w:val="000000"/>
        </w:rPr>
        <w:t>Art. 5º Na aplicação desta Lei, serão observados os princípios da legalidade, da impessoalidade, da moralidade, da publicidade, da eficiência, do interesse público, da probidade administrativa, da igualdade, do planejamento, da transparência, da eficácia, da segregação de funções, da motivação, da vinculação ao edital, do julgamento objetivo, da segurança jurídica, da razoabilidade, da competitividade, da proporcionalidade, da celeridade, da economicidade e do desenvolvimento nacional sustentável, assim como as disposições do </w:t>
      </w:r>
      <w:r w:rsidRPr="0089160D">
        <w:rPr>
          <w:rFonts w:ascii="Times New Roman" w:hAnsi="Times New Roman"/>
        </w:rPr>
        <w:t>Decreto-Lei nº 4.657, de 4 de setembro de 1942 (Lei de Introdução às Normas do Direito Brasileiro)</w:t>
      </w:r>
      <w:r w:rsidRPr="0089160D">
        <w:rPr>
          <w:rFonts w:ascii="Times New Roman" w:hAnsi="Times New Roman"/>
          <w:color w:val="000000"/>
        </w:rPr>
        <w:t>.</w:t>
      </w:r>
    </w:p>
    <w:p w14:paraId="1AB67230" w14:textId="77777777" w:rsidR="001860A4" w:rsidRPr="0089160D" w:rsidRDefault="001860A4" w:rsidP="001860A4">
      <w:pPr>
        <w:spacing w:after="120" w:line="240" w:lineRule="auto"/>
        <w:ind w:left="2268"/>
        <w:jc w:val="both"/>
        <w:rPr>
          <w:rFonts w:ascii="Times New Roman" w:eastAsia="Times New Roman" w:hAnsi="Times New Roman"/>
          <w:lang w:eastAsia="pt-BR"/>
        </w:rPr>
      </w:pPr>
    </w:p>
    <w:p w14:paraId="16C3C1E9" w14:textId="77777777" w:rsidR="008D0413" w:rsidRPr="0089160D" w:rsidRDefault="008D0413" w:rsidP="001860A4">
      <w:pPr>
        <w:spacing w:after="120" w:line="240" w:lineRule="auto"/>
        <w:ind w:firstLine="851"/>
        <w:jc w:val="both"/>
        <w:rPr>
          <w:rFonts w:ascii="Times New Roman" w:eastAsia="Times New Roman" w:hAnsi="Times New Roman"/>
          <w:sz w:val="24"/>
          <w:szCs w:val="24"/>
          <w:lang w:eastAsia="pt-BR"/>
        </w:rPr>
      </w:pPr>
      <w:r w:rsidRPr="0089160D">
        <w:rPr>
          <w:rFonts w:ascii="Times New Roman" w:eastAsia="Times New Roman" w:hAnsi="Times New Roman"/>
          <w:sz w:val="24"/>
          <w:szCs w:val="24"/>
          <w:lang w:eastAsia="pt-BR"/>
        </w:rPr>
        <w:t xml:space="preserve">Não podia ser diferente, o planejamento correto, técnica e contextualmente adequado, é essencial, não só para lisura do processo licitatório, mas para a boa contratação. </w:t>
      </w:r>
    </w:p>
    <w:p w14:paraId="6EF2C90E" w14:textId="2399B462" w:rsidR="008D0413" w:rsidRDefault="008D0413" w:rsidP="001860A4">
      <w:pPr>
        <w:spacing w:after="120" w:line="240" w:lineRule="auto"/>
        <w:ind w:firstLine="851"/>
        <w:jc w:val="both"/>
        <w:rPr>
          <w:rFonts w:ascii="Times New Roman" w:eastAsia="Times New Roman" w:hAnsi="Times New Roman"/>
          <w:sz w:val="24"/>
          <w:szCs w:val="24"/>
          <w:lang w:eastAsia="pt-BR"/>
        </w:rPr>
      </w:pPr>
      <w:r w:rsidRPr="0089160D">
        <w:rPr>
          <w:rFonts w:ascii="Times New Roman" w:eastAsia="Times New Roman" w:hAnsi="Times New Roman"/>
          <w:sz w:val="24"/>
          <w:szCs w:val="24"/>
          <w:lang w:eastAsia="pt-BR"/>
        </w:rPr>
        <w:t>Uma vez elevado</w:t>
      </w:r>
      <w:r w:rsidR="00505A07">
        <w:rPr>
          <w:rFonts w:ascii="Times New Roman" w:eastAsia="Times New Roman" w:hAnsi="Times New Roman"/>
          <w:sz w:val="24"/>
          <w:szCs w:val="24"/>
          <w:lang w:eastAsia="pt-BR"/>
        </w:rPr>
        <w:t xml:space="preserve">, expressamente, </w:t>
      </w:r>
      <w:r w:rsidRPr="0089160D">
        <w:rPr>
          <w:rFonts w:ascii="Times New Roman" w:eastAsia="Times New Roman" w:hAnsi="Times New Roman"/>
          <w:sz w:val="24"/>
          <w:szCs w:val="24"/>
          <w:lang w:eastAsia="pt-BR"/>
        </w:rPr>
        <w:t>à categoria de princípio do processo licitatório, o planejamento passou a contar, na nova Lei, com importantes mecanismos formais especialmente delineados para sua consecução.</w:t>
      </w:r>
    </w:p>
    <w:p w14:paraId="1BCFDA3A" w14:textId="77777777" w:rsidR="008651CD" w:rsidRDefault="008651CD" w:rsidP="001860A4">
      <w:pPr>
        <w:spacing w:after="120" w:line="240" w:lineRule="auto"/>
        <w:ind w:firstLine="851"/>
        <w:jc w:val="both"/>
        <w:rPr>
          <w:rFonts w:ascii="Times New Roman" w:eastAsia="Times New Roman" w:hAnsi="Times New Roman"/>
          <w:sz w:val="24"/>
          <w:szCs w:val="24"/>
          <w:lang w:eastAsia="pt-BR"/>
        </w:rPr>
      </w:pPr>
      <w:r>
        <w:rPr>
          <w:rFonts w:ascii="Times New Roman" w:eastAsia="Times New Roman" w:hAnsi="Times New Roman"/>
          <w:sz w:val="24"/>
          <w:szCs w:val="24"/>
          <w:lang w:eastAsia="pt-BR"/>
        </w:rPr>
        <w:t>Toda</w:t>
      </w:r>
      <w:r w:rsidRPr="00AA5833">
        <w:rPr>
          <w:rFonts w:ascii="Times New Roman" w:eastAsia="Times New Roman" w:hAnsi="Times New Roman"/>
          <w:sz w:val="24"/>
          <w:szCs w:val="24"/>
          <w:lang w:eastAsia="pt-BR"/>
        </w:rPr>
        <w:t xml:space="preserve"> fase preparatória do processo licitatório é caracterizada pelo planejamento e deve compatibilizar-se com o plano de contratações anual de que trata o inciso VII do caput do art. 12 da </w:t>
      </w:r>
      <w:r>
        <w:rPr>
          <w:rFonts w:ascii="Times New Roman" w:eastAsia="Times New Roman" w:hAnsi="Times New Roman"/>
          <w:sz w:val="24"/>
          <w:szCs w:val="24"/>
          <w:lang w:eastAsia="pt-BR"/>
        </w:rPr>
        <w:t xml:space="preserve">nova Lei, </w:t>
      </w:r>
      <w:r w:rsidRPr="00AA5833">
        <w:rPr>
          <w:rFonts w:ascii="Times New Roman" w:eastAsia="Times New Roman" w:hAnsi="Times New Roman"/>
          <w:sz w:val="24"/>
          <w:szCs w:val="24"/>
          <w:lang w:eastAsia="pt-BR"/>
        </w:rPr>
        <w:t>sempre que elaborado, e com as leis orçamentárias</w:t>
      </w:r>
    </w:p>
    <w:p w14:paraId="10068255" w14:textId="7189966B" w:rsidR="008651CD" w:rsidRPr="00AA5833" w:rsidRDefault="00640068" w:rsidP="001860A4">
      <w:pPr>
        <w:spacing w:after="120" w:line="240" w:lineRule="auto"/>
        <w:ind w:left="2268"/>
        <w:jc w:val="both"/>
        <w:rPr>
          <w:rFonts w:ascii="Times New Roman" w:hAnsi="Times New Roman"/>
          <w:color w:val="000000"/>
        </w:rPr>
      </w:pPr>
      <w:r>
        <w:rPr>
          <w:rFonts w:ascii="Times New Roman" w:hAnsi="Times New Roman"/>
          <w:color w:val="000000"/>
        </w:rPr>
        <w:lastRenderedPageBreak/>
        <w:t>V</w:t>
      </w:r>
      <w:r w:rsidR="008651CD" w:rsidRPr="00AA5833">
        <w:rPr>
          <w:rFonts w:ascii="Times New Roman" w:hAnsi="Times New Roman"/>
          <w:color w:val="000000"/>
        </w:rPr>
        <w:t xml:space="preserve">II - a partir de documentos de formalização de demandas, os órgãos responsáveis pelo planejamento de cada ente federativo </w:t>
      </w:r>
      <w:r w:rsidR="008651CD" w:rsidRPr="008555B6">
        <w:rPr>
          <w:rFonts w:ascii="Times New Roman" w:hAnsi="Times New Roman"/>
          <w:color w:val="000000"/>
        </w:rPr>
        <w:t>poderão</w:t>
      </w:r>
      <w:r w:rsidR="008651CD" w:rsidRPr="00AA5833">
        <w:rPr>
          <w:rFonts w:ascii="Times New Roman" w:hAnsi="Times New Roman"/>
          <w:color w:val="000000"/>
        </w:rPr>
        <w:t>, na forma de regulamento</w:t>
      </w:r>
      <w:r w:rsidR="008651CD" w:rsidRPr="00F3398A">
        <w:rPr>
          <w:rFonts w:ascii="Times New Roman" w:hAnsi="Times New Roman"/>
          <w:b/>
          <w:bCs/>
          <w:color w:val="000000"/>
        </w:rPr>
        <w:t xml:space="preserve">, </w:t>
      </w:r>
      <w:r w:rsidR="008651CD" w:rsidRPr="008555B6">
        <w:rPr>
          <w:rFonts w:ascii="Times New Roman" w:hAnsi="Times New Roman"/>
          <w:color w:val="000000"/>
        </w:rPr>
        <w:t xml:space="preserve">elaborar </w:t>
      </w:r>
      <w:r w:rsidR="008651CD" w:rsidRPr="00AA5833">
        <w:rPr>
          <w:rFonts w:ascii="Times New Roman" w:hAnsi="Times New Roman"/>
          <w:color w:val="000000"/>
        </w:rPr>
        <w:t>plano de contratações anual, com o objetivo de racionalizar as contratações dos órgãos e entidades sob sua competência, garantir o alinhamento com o seu planejamento estratégico e subsidiar a elaboração das respectivas leis orçamentárias.</w:t>
      </w:r>
    </w:p>
    <w:p w14:paraId="22F26769" w14:textId="77777777" w:rsidR="001860A4" w:rsidRDefault="001860A4" w:rsidP="001860A4">
      <w:pPr>
        <w:spacing w:after="120" w:line="240" w:lineRule="auto"/>
        <w:ind w:firstLine="851"/>
        <w:jc w:val="both"/>
        <w:rPr>
          <w:rFonts w:ascii="Times New Roman" w:eastAsia="Times New Roman" w:hAnsi="Times New Roman"/>
          <w:sz w:val="24"/>
          <w:szCs w:val="24"/>
          <w:lang w:eastAsia="pt-BR"/>
        </w:rPr>
      </w:pPr>
    </w:p>
    <w:p w14:paraId="16FF1012" w14:textId="64476B76" w:rsidR="008651CD" w:rsidRDefault="008651CD" w:rsidP="001860A4">
      <w:pPr>
        <w:spacing w:after="120" w:line="240" w:lineRule="auto"/>
        <w:ind w:firstLine="851"/>
        <w:jc w:val="both"/>
        <w:rPr>
          <w:rFonts w:ascii="Times New Roman" w:eastAsia="Times New Roman" w:hAnsi="Times New Roman"/>
          <w:sz w:val="24"/>
          <w:szCs w:val="24"/>
          <w:lang w:eastAsia="pt-BR"/>
        </w:rPr>
      </w:pPr>
      <w:r>
        <w:rPr>
          <w:rFonts w:ascii="Times New Roman" w:eastAsia="Times New Roman" w:hAnsi="Times New Roman"/>
          <w:sz w:val="24"/>
          <w:szCs w:val="24"/>
          <w:lang w:eastAsia="pt-BR"/>
        </w:rPr>
        <w:t>Vale notar que o dispositivo traz a faculdade – “poderão... elaborar” – quanto à elaboração do plano de contratações anual. No entanto, é indubitável que é peça de suma importância não só para o planejamento das contratações, mas para o bom desempenho orçamentário e financeiro do ente federativo.</w:t>
      </w:r>
    </w:p>
    <w:p w14:paraId="1D3AD61C" w14:textId="33F578DD" w:rsidR="002B60FE" w:rsidRDefault="008651CD" w:rsidP="001860A4">
      <w:pPr>
        <w:spacing w:after="120" w:line="240" w:lineRule="auto"/>
        <w:ind w:firstLine="851"/>
        <w:jc w:val="both"/>
        <w:rPr>
          <w:rFonts w:ascii="Times New Roman" w:eastAsia="Times New Roman" w:hAnsi="Times New Roman"/>
          <w:sz w:val="24"/>
          <w:szCs w:val="24"/>
          <w:lang w:eastAsia="pt-BR"/>
        </w:rPr>
      </w:pPr>
      <w:r>
        <w:rPr>
          <w:rFonts w:ascii="Times New Roman" w:eastAsia="Times New Roman" w:hAnsi="Times New Roman"/>
          <w:sz w:val="24"/>
          <w:szCs w:val="24"/>
          <w:lang w:eastAsia="pt-BR"/>
        </w:rPr>
        <w:t>O planejamento das contratações, com certeza, ganhou destaqu</w:t>
      </w:r>
      <w:r w:rsidR="002B60FE">
        <w:rPr>
          <w:rFonts w:ascii="Times New Roman" w:eastAsia="Times New Roman" w:hAnsi="Times New Roman"/>
          <w:sz w:val="24"/>
          <w:szCs w:val="24"/>
          <w:lang w:eastAsia="pt-BR"/>
        </w:rPr>
        <w:t xml:space="preserve">e com novos mecanismos de aplicação. </w:t>
      </w:r>
    </w:p>
    <w:p w14:paraId="73180DE0" w14:textId="00F537C8" w:rsidR="008D0413" w:rsidRPr="0089160D" w:rsidRDefault="008D0413" w:rsidP="001860A4">
      <w:pPr>
        <w:spacing w:after="120" w:line="240" w:lineRule="auto"/>
        <w:ind w:firstLine="851"/>
        <w:jc w:val="both"/>
        <w:rPr>
          <w:rFonts w:ascii="Times New Roman" w:eastAsia="Times New Roman" w:hAnsi="Times New Roman"/>
          <w:sz w:val="24"/>
          <w:szCs w:val="24"/>
          <w:lang w:eastAsia="pt-BR"/>
        </w:rPr>
      </w:pPr>
      <w:r w:rsidRPr="0089160D">
        <w:rPr>
          <w:rFonts w:ascii="Times New Roman" w:eastAsia="Times New Roman" w:hAnsi="Times New Roman"/>
          <w:sz w:val="24"/>
          <w:szCs w:val="24"/>
          <w:lang w:eastAsia="pt-BR"/>
        </w:rPr>
        <w:t xml:space="preserve">A Lei 8.666/1993, ainda vigente, não </w:t>
      </w:r>
      <w:r w:rsidR="008651CD">
        <w:rPr>
          <w:rFonts w:ascii="Times New Roman" w:eastAsia="Times New Roman" w:hAnsi="Times New Roman"/>
          <w:sz w:val="24"/>
          <w:szCs w:val="24"/>
          <w:lang w:eastAsia="pt-BR"/>
        </w:rPr>
        <w:t xml:space="preserve">havia </w:t>
      </w:r>
      <w:r w:rsidRPr="0089160D">
        <w:rPr>
          <w:rFonts w:ascii="Times New Roman" w:eastAsia="Times New Roman" w:hAnsi="Times New Roman"/>
          <w:sz w:val="24"/>
          <w:szCs w:val="24"/>
          <w:lang w:eastAsia="pt-BR"/>
        </w:rPr>
        <w:t>confer</w:t>
      </w:r>
      <w:r w:rsidR="00505A07">
        <w:rPr>
          <w:rFonts w:ascii="Times New Roman" w:eastAsia="Times New Roman" w:hAnsi="Times New Roman"/>
          <w:sz w:val="24"/>
          <w:szCs w:val="24"/>
          <w:lang w:eastAsia="pt-BR"/>
        </w:rPr>
        <w:t>i</w:t>
      </w:r>
      <w:r w:rsidR="008651CD">
        <w:rPr>
          <w:rFonts w:ascii="Times New Roman" w:eastAsia="Times New Roman" w:hAnsi="Times New Roman"/>
          <w:sz w:val="24"/>
          <w:szCs w:val="24"/>
          <w:lang w:eastAsia="pt-BR"/>
        </w:rPr>
        <w:t>do</w:t>
      </w:r>
      <w:r w:rsidRPr="0089160D">
        <w:rPr>
          <w:rFonts w:ascii="Times New Roman" w:eastAsia="Times New Roman" w:hAnsi="Times New Roman"/>
          <w:sz w:val="24"/>
          <w:szCs w:val="24"/>
          <w:lang w:eastAsia="pt-BR"/>
        </w:rPr>
        <w:t xml:space="preserve">, mesmo após várias alterações, a devida importância ao planejamento. Em termos concretos de mecanismos, prévios à instauração do certame licitatório, a “antiga” Lei de Licitações destaca apenas a figura do projeto básico, destinado à caracterização de obras e serviços. </w:t>
      </w:r>
    </w:p>
    <w:p w14:paraId="7CD94AE0" w14:textId="6D2A5582" w:rsidR="008D0413" w:rsidRPr="0089160D" w:rsidRDefault="008D0413" w:rsidP="001860A4">
      <w:pPr>
        <w:spacing w:after="120" w:line="240" w:lineRule="auto"/>
        <w:ind w:firstLine="851"/>
        <w:jc w:val="both"/>
        <w:rPr>
          <w:rFonts w:ascii="Times New Roman" w:eastAsia="Times New Roman" w:hAnsi="Times New Roman"/>
          <w:sz w:val="24"/>
          <w:szCs w:val="24"/>
          <w:lang w:eastAsia="pt-BR"/>
        </w:rPr>
      </w:pPr>
      <w:r w:rsidRPr="0089160D">
        <w:rPr>
          <w:rFonts w:ascii="Times New Roman" w:eastAsia="Times New Roman" w:hAnsi="Times New Roman"/>
          <w:sz w:val="24"/>
          <w:szCs w:val="24"/>
          <w:lang w:eastAsia="pt-BR"/>
        </w:rPr>
        <w:t>Na prática, sobretudo em se tratando de pequenos municípios, por muitos anos, só eram elaborados projetos básicos, ainda que de forma precária, para licitações destinadas à contratação de obras e serviços de engenharia. Aquisições de bens e contratação de serviços comuns eram tratados, na fase preliminar, apenas em requisições de compras ou de contratações, com p</w:t>
      </w:r>
      <w:r w:rsidR="00505A07">
        <w:rPr>
          <w:rFonts w:ascii="Times New Roman" w:eastAsia="Times New Roman" w:hAnsi="Times New Roman"/>
          <w:sz w:val="24"/>
          <w:szCs w:val="24"/>
          <w:lang w:eastAsia="pt-BR"/>
        </w:rPr>
        <w:t>ouc</w:t>
      </w:r>
      <w:r w:rsidRPr="0089160D">
        <w:rPr>
          <w:rFonts w:ascii="Times New Roman" w:eastAsia="Times New Roman" w:hAnsi="Times New Roman"/>
          <w:sz w:val="24"/>
          <w:szCs w:val="24"/>
          <w:lang w:eastAsia="pt-BR"/>
        </w:rPr>
        <w:t xml:space="preserve">a clareza </w:t>
      </w:r>
      <w:r w:rsidR="00505A07">
        <w:rPr>
          <w:rFonts w:ascii="Times New Roman" w:eastAsia="Times New Roman" w:hAnsi="Times New Roman"/>
          <w:sz w:val="24"/>
          <w:szCs w:val="24"/>
          <w:lang w:eastAsia="pt-BR"/>
        </w:rPr>
        <w:t>nas especificações</w:t>
      </w:r>
      <w:r w:rsidRPr="0089160D">
        <w:rPr>
          <w:rFonts w:ascii="Times New Roman" w:eastAsia="Times New Roman" w:hAnsi="Times New Roman"/>
          <w:sz w:val="24"/>
          <w:szCs w:val="24"/>
          <w:lang w:eastAsia="pt-BR"/>
        </w:rPr>
        <w:t>.</w:t>
      </w:r>
    </w:p>
    <w:p w14:paraId="371A60FF" w14:textId="546F960B" w:rsidR="008D0413" w:rsidRPr="0089160D" w:rsidRDefault="008D0413" w:rsidP="001860A4">
      <w:pPr>
        <w:spacing w:after="120" w:line="240" w:lineRule="auto"/>
        <w:ind w:firstLine="851"/>
        <w:jc w:val="both"/>
        <w:rPr>
          <w:rFonts w:ascii="Times New Roman" w:eastAsia="Times New Roman" w:hAnsi="Times New Roman"/>
          <w:sz w:val="24"/>
          <w:szCs w:val="24"/>
          <w:lang w:eastAsia="pt-BR"/>
        </w:rPr>
      </w:pPr>
      <w:r w:rsidRPr="0089160D">
        <w:rPr>
          <w:rFonts w:ascii="Times New Roman" w:eastAsia="Times New Roman" w:hAnsi="Times New Roman"/>
          <w:sz w:val="24"/>
          <w:szCs w:val="24"/>
          <w:lang w:eastAsia="pt-BR"/>
        </w:rPr>
        <w:t>Assim, logicamente, nem sempre se realiza</w:t>
      </w:r>
      <w:r w:rsidR="00505A07">
        <w:rPr>
          <w:rFonts w:ascii="Times New Roman" w:eastAsia="Times New Roman" w:hAnsi="Times New Roman"/>
          <w:sz w:val="24"/>
          <w:szCs w:val="24"/>
          <w:lang w:eastAsia="pt-BR"/>
        </w:rPr>
        <w:t>v</w:t>
      </w:r>
      <w:r w:rsidRPr="0089160D">
        <w:rPr>
          <w:rFonts w:ascii="Times New Roman" w:eastAsia="Times New Roman" w:hAnsi="Times New Roman"/>
          <w:sz w:val="24"/>
          <w:szCs w:val="24"/>
          <w:lang w:eastAsia="pt-BR"/>
        </w:rPr>
        <w:t xml:space="preserve">a uma compra adequada. Se o pedido de compras não é bem formulado, a compra não </w:t>
      </w:r>
      <w:r w:rsidR="00505A07">
        <w:rPr>
          <w:rFonts w:ascii="Times New Roman" w:eastAsia="Times New Roman" w:hAnsi="Times New Roman"/>
          <w:sz w:val="24"/>
          <w:szCs w:val="24"/>
          <w:lang w:eastAsia="pt-BR"/>
        </w:rPr>
        <w:t>é</w:t>
      </w:r>
      <w:r w:rsidRPr="0089160D">
        <w:rPr>
          <w:rFonts w:ascii="Times New Roman" w:eastAsia="Times New Roman" w:hAnsi="Times New Roman"/>
          <w:sz w:val="24"/>
          <w:szCs w:val="24"/>
          <w:lang w:eastAsia="pt-BR"/>
        </w:rPr>
        <w:t xml:space="preserve"> bem executada – sujeita-se a interpretações e, por conseguinte, a aceitação de produtos de má qualidade ou até mesmo inservíveis para os objetivos iniciais.</w:t>
      </w:r>
    </w:p>
    <w:p w14:paraId="0A07E697" w14:textId="0B8F1C7F" w:rsidR="008D0413" w:rsidRPr="0089160D" w:rsidRDefault="008D0413" w:rsidP="001860A4">
      <w:pPr>
        <w:spacing w:after="120" w:line="240" w:lineRule="auto"/>
        <w:ind w:firstLine="851"/>
        <w:jc w:val="both"/>
        <w:rPr>
          <w:rFonts w:ascii="Times New Roman" w:eastAsia="Times New Roman" w:hAnsi="Times New Roman"/>
          <w:sz w:val="24"/>
          <w:szCs w:val="24"/>
          <w:lang w:eastAsia="pt-BR"/>
        </w:rPr>
      </w:pPr>
      <w:r w:rsidRPr="0089160D">
        <w:rPr>
          <w:rFonts w:ascii="Times New Roman" w:eastAsia="Times New Roman" w:hAnsi="Times New Roman"/>
          <w:sz w:val="24"/>
          <w:szCs w:val="24"/>
          <w:lang w:eastAsia="pt-BR"/>
        </w:rPr>
        <w:t>Apenas com a regulamentação da modalidade de licitação denominada Pregão,</w:t>
      </w:r>
      <w:r w:rsidR="003B297D">
        <w:rPr>
          <w:rFonts w:ascii="Times New Roman" w:eastAsia="Times New Roman" w:hAnsi="Times New Roman"/>
          <w:sz w:val="24"/>
          <w:szCs w:val="24"/>
          <w:lang w:eastAsia="pt-BR"/>
        </w:rPr>
        <w:t xml:space="preserve"> conforme art. 8º, II, do Decreto 3.555, de 8 de agosto de 2000,</w:t>
      </w:r>
      <w:r w:rsidRPr="0089160D">
        <w:rPr>
          <w:rFonts w:ascii="Times New Roman" w:eastAsia="Times New Roman" w:hAnsi="Times New Roman"/>
          <w:sz w:val="24"/>
          <w:szCs w:val="24"/>
          <w:lang w:eastAsia="pt-BR"/>
        </w:rPr>
        <w:t xml:space="preserve"> é que surgiu a figura do “termo de referência”, como:</w:t>
      </w:r>
    </w:p>
    <w:p w14:paraId="5E916EFD" w14:textId="77777777" w:rsidR="001860A4" w:rsidRDefault="001860A4" w:rsidP="001860A4">
      <w:pPr>
        <w:spacing w:after="120" w:line="240" w:lineRule="auto"/>
        <w:ind w:left="2268"/>
        <w:jc w:val="both"/>
        <w:rPr>
          <w:rFonts w:ascii="Times New Roman" w:hAnsi="Times New Roman"/>
          <w:color w:val="000000"/>
        </w:rPr>
      </w:pPr>
    </w:p>
    <w:p w14:paraId="0351D519" w14:textId="4EEC6953" w:rsidR="008D0413" w:rsidRPr="0089160D" w:rsidRDefault="003B297D" w:rsidP="001860A4">
      <w:pPr>
        <w:spacing w:after="120" w:line="240" w:lineRule="auto"/>
        <w:ind w:left="2268"/>
        <w:jc w:val="both"/>
        <w:rPr>
          <w:rFonts w:ascii="Times New Roman" w:hAnsi="Times New Roman"/>
          <w:color w:val="000000"/>
        </w:rPr>
      </w:pPr>
      <w:r>
        <w:rPr>
          <w:rFonts w:ascii="Times New Roman" w:hAnsi="Times New Roman"/>
          <w:color w:val="000000"/>
        </w:rPr>
        <w:t>[</w:t>
      </w:r>
      <w:r w:rsidR="008D0413" w:rsidRPr="0089160D">
        <w:rPr>
          <w:rFonts w:ascii="Times New Roman" w:hAnsi="Times New Roman"/>
          <w:color w:val="000000"/>
        </w:rPr>
        <w:t>...</w:t>
      </w:r>
      <w:r>
        <w:rPr>
          <w:rFonts w:ascii="Times New Roman" w:hAnsi="Times New Roman"/>
          <w:color w:val="000000"/>
        </w:rPr>
        <w:t>]</w:t>
      </w:r>
      <w:r w:rsidR="008D0413" w:rsidRPr="0089160D">
        <w:rPr>
          <w:rFonts w:ascii="Times New Roman" w:hAnsi="Times New Roman"/>
          <w:color w:val="000000"/>
        </w:rPr>
        <w:t xml:space="preserve"> documento que deverá conter elementos capazes de propiciar a avaliação do custo pela Administração, diante de orçamento detalhado, considerando os preços praticados no mercado, a definição dos métodos, a estratégia de suprimento e o prazo de execução do contrato. </w:t>
      </w:r>
    </w:p>
    <w:p w14:paraId="6CA9F36C" w14:textId="77777777" w:rsidR="001860A4" w:rsidRDefault="001860A4" w:rsidP="001860A4">
      <w:pPr>
        <w:spacing w:after="120" w:line="240" w:lineRule="auto"/>
        <w:ind w:firstLine="851"/>
        <w:jc w:val="both"/>
        <w:rPr>
          <w:rFonts w:ascii="Times New Roman" w:eastAsia="Times New Roman" w:hAnsi="Times New Roman"/>
          <w:sz w:val="24"/>
          <w:szCs w:val="24"/>
          <w:lang w:eastAsia="pt-BR"/>
        </w:rPr>
      </w:pPr>
    </w:p>
    <w:p w14:paraId="01C72F46" w14:textId="4875DCF1" w:rsidR="008D0413" w:rsidRPr="0089160D" w:rsidRDefault="008D0413" w:rsidP="001860A4">
      <w:pPr>
        <w:spacing w:after="120" w:line="240" w:lineRule="auto"/>
        <w:ind w:firstLine="851"/>
        <w:jc w:val="both"/>
        <w:rPr>
          <w:rFonts w:ascii="Times New Roman" w:eastAsia="Times New Roman" w:hAnsi="Times New Roman"/>
          <w:sz w:val="24"/>
          <w:szCs w:val="24"/>
          <w:lang w:eastAsia="pt-BR"/>
        </w:rPr>
      </w:pPr>
      <w:r w:rsidRPr="0089160D">
        <w:rPr>
          <w:rFonts w:ascii="Times New Roman" w:eastAsia="Times New Roman" w:hAnsi="Times New Roman"/>
          <w:sz w:val="24"/>
          <w:szCs w:val="24"/>
          <w:lang w:eastAsia="pt-BR"/>
        </w:rPr>
        <w:t>A partir da nova proposição do decreto regulamentador da legislação do pregão, o instrumento termo de referência passou a orientar as compras e contratações governamentais e teve especial atenção da doutrina e dos tribunais de contas. Aos poucos, os pedidos de compras “simplificados” passaram a ser substituídos pelos termos de referência que, em tese, continham informações detalhadas, não só do objeto, mas da justificativa da compra, dos critérios definidores dos quantitativos, da forma de entrega, dos objetivos a serem alcançados com a compra e de outros aspectos necessários para aquisição adequada ao interesse público.</w:t>
      </w:r>
    </w:p>
    <w:p w14:paraId="516D3824" w14:textId="46FF57B1" w:rsidR="008D0413" w:rsidRDefault="008D0413" w:rsidP="001860A4">
      <w:pPr>
        <w:spacing w:after="120" w:line="240" w:lineRule="auto"/>
        <w:ind w:firstLine="851"/>
        <w:jc w:val="both"/>
        <w:rPr>
          <w:rFonts w:ascii="Times New Roman" w:eastAsia="Times New Roman" w:hAnsi="Times New Roman"/>
          <w:sz w:val="24"/>
          <w:szCs w:val="24"/>
          <w:lang w:eastAsia="pt-BR"/>
        </w:rPr>
      </w:pPr>
      <w:r w:rsidRPr="0089160D">
        <w:rPr>
          <w:rFonts w:ascii="Times New Roman" w:eastAsia="Times New Roman" w:hAnsi="Times New Roman"/>
          <w:sz w:val="24"/>
          <w:szCs w:val="24"/>
          <w:lang w:eastAsia="pt-BR"/>
        </w:rPr>
        <w:t>Tatiana Camarão</w:t>
      </w:r>
      <w:r w:rsidR="006C6B40">
        <w:rPr>
          <w:rStyle w:val="Refdenotaderodap"/>
          <w:rFonts w:ascii="Times New Roman" w:eastAsia="Times New Roman" w:hAnsi="Times New Roman"/>
          <w:sz w:val="24"/>
          <w:szCs w:val="24"/>
          <w:lang w:eastAsia="pt-BR"/>
        </w:rPr>
        <w:footnoteReference w:id="12"/>
      </w:r>
      <w:r w:rsidR="0089160D" w:rsidRPr="0089160D">
        <w:rPr>
          <w:rFonts w:ascii="Times New Roman" w:eastAsia="Times New Roman" w:hAnsi="Times New Roman"/>
          <w:sz w:val="24"/>
          <w:szCs w:val="24"/>
          <w:lang w:eastAsia="pt-BR"/>
        </w:rPr>
        <w:t xml:space="preserve"> </w:t>
      </w:r>
      <w:r w:rsidRPr="0089160D">
        <w:rPr>
          <w:rFonts w:ascii="Times New Roman" w:eastAsia="Times New Roman" w:hAnsi="Times New Roman"/>
          <w:sz w:val="24"/>
          <w:szCs w:val="24"/>
          <w:lang w:eastAsia="pt-BR"/>
        </w:rPr>
        <w:t>lembra que:</w:t>
      </w:r>
    </w:p>
    <w:p w14:paraId="660FA142" w14:textId="533B17A1" w:rsidR="008D0413" w:rsidRPr="0089160D" w:rsidRDefault="003B297D" w:rsidP="001860A4">
      <w:pPr>
        <w:spacing w:after="120" w:line="240" w:lineRule="auto"/>
        <w:ind w:left="2268"/>
        <w:jc w:val="both"/>
        <w:rPr>
          <w:rFonts w:ascii="Times New Roman" w:hAnsi="Times New Roman"/>
          <w:color w:val="000000"/>
        </w:rPr>
      </w:pPr>
      <w:r>
        <w:rPr>
          <w:rFonts w:ascii="Times New Roman" w:hAnsi="Times New Roman"/>
          <w:color w:val="000000"/>
        </w:rPr>
        <w:lastRenderedPageBreak/>
        <w:t>[</w:t>
      </w:r>
      <w:r w:rsidR="008D0413" w:rsidRPr="0089160D">
        <w:rPr>
          <w:rFonts w:ascii="Times New Roman" w:hAnsi="Times New Roman"/>
          <w:color w:val="000000"/>
        </w:rPr>
        <w:t>...</w:t>
      </w:r>
      <w:r>
        <w:rPr>
          <w:rFonts w:ascii="Times New Roman" w:hAnsi="Times New Roman"/>
          <w:color w:val="000000"/>
        </w:rPr>
        <w:t>]</w:t>
      </w:r>
      <w:r w:rsidR="008D0413" w:rsidRPr="0089160D">
        <w:rPr>
          <w:rFonts w:ascii="Times New Roman" w:hAnsi="Times New Roman"/>
          <w:color w:val="000000"/>
        </w:rPr>
        <w:t xml:space="preserve"> ainda que os normativos exijam o termo de referência apenas para instruir a modalidade Pregão, o que vem ocorrendo, inclusive por meio de recomendação de alguns tribunais de contas, é que esse documento instrua todas as modalidades licitatórias, até mesmo a contratação por dispensa ou inexigibilidade, quando por objeto se elenque bens e serviços comuns.</w:t>
      </w:r>
    </w:p>
    <w:p w14:paraId="3A78384E" w14:textId="77777777" w:rsidR="001860A4" w:rsidRDefault="001860A4" w:rsidP="001860A4">
      <w:pPr>
        <w:spacing w:after="120" w:line="240" w:lineRule="auto"/>
        <w:ind w:firstLine="851"/>
        <w:jc w:val="both"/>
        <w:rPr>
          <w:rFonts w:ascii="Times New Roman" w:eastAsia="Times New Roman" w:hAnsi="Times New Roman"/>
          <w:sz w:val="24"/>
          <w:szCs w:val="24"/>
          <w:lang w:eastAsia="pt-BR"/>
        </w:rPr>
      </w:pPr>
    </w:p>
    <w:p w14:paraId="203A1799" w14:textId="0C5BD7F3" w:rsidR="008D0413" w:rsidRPr="0089160D" w:rsidRDefault="008D0413" w:rsidP="001860A4">
      <w:pPr>
        <w:spacing w:after="120" w:line="240" w:lineRule="auto"/>
        <w:ind w:firstLine="851"/>
        <w:jc w:val="both"/>
        <w:rPr>
          <w:rFonts w:ascii="Times New Roman" w:eastAsia="Times New Roman" w:hAnsi="Times New Roman"/>
          <w:sz w:val="24"/>
          <w:szCs w:val="24"/>
          <w:lang w:eastAsia="pt-BR"/>
        </w:rPr>
      </w:pPr>
      <w:r w:rsidRPr="0089160D">
        <w:rPr>
          <w:rFonts w:ascii="Times New Roman" w:eastAsia="Times New Roman" w:hAnsi="Times New Roman"/>
          <w:sz w:val="24"/>
          <w:szCs w:val="24"/>
          <w:lang w:eastAsia="pt-BR"/>
        </w:rPr>
        <w:t xml:space="preserve">Desta maneira, a utilização do termo de referência passou a fazer parte do cotidiano da Administração Pública em todas as suas esferas. </w:t>
      </w:r>
    </w:p>
    <w:p w14:paraId="6FA7FE9B" w14:textId="04A6E34E" w:rsidR="008D0413" w:rsidRPr="0089160D" w:rsidRDefault="008D0413" w:rsidP="001860A4">
      <w:pPr>
        <w:spacing w:after="120" w:line="240" w:lineRule="auto"/>
        <w:ind w:firstLine="851"/>
        <w:jc w:val="both"/>
        <w:rPr>
          <w:rFonts w:ascii="Times New Roman" w:eastAsia="Times New Roman" w:hAnsi="Times New Roman"/>
          <w:sz w:val="24"/>
          <w:szCs w:val="24"/>
          <w:lang w:eastAsia="pt-BR"/>
        </w:rPr>
      </w:pPr>
      <w:r w:rsidRPr="0089160D">
        <w:rPr>
          <w:rFonts w:ascii="Times New Roman" w:eastAsia="Times New Roman" w:hAnsi="Times New Roman"/>
          <w:sz w:val="24"/>
          <w:szCs w:val="24"/>
          <w:lang w:eastAsia="pt-BR"/>
        </w:rPr>
        <w:t xml:space="preserve">Obviamente, por questões já aventadas e que serão novamente entabuladas no próximo tópico, nem sempre a administração pública dos pequenos municípios consegue elaborar termos de referência </w:t>
      </w:r>
      <w:r w:rsidR="00505A07">
        <w:rPr>
          <w:rFonts w:ascii="Times New Roman" w:eastAsia="Times New Roman" w:hAnsi="Times New Roman"/>
          <w:sz w:val="24"/>
          <w:szCs w:val="24"/>
          <w:lang w:eastAsia="pt-BR"/>
        </w:rPr>
        <w:t>apropri</w:t>
      </w:r>
      <w:r w:rsidRPr="0089160D">
        <w:rPr>
          <w:rFonts w:ascii="Times New Roman" w:eastAsia="Times New Roman" w:hAnsi="Times New Roman"/>
          <w:sz w:val="24"/>
          <w:szCs w:val="24"/>
          <w:lang w:eastAsia="pt-BR"/>
        </w:rPr>
        <w:t>ados. As vezes são elaborados termos de referência com informações básicas, insuficientes, apenas para dar aparência de cumprimento da norma e, outras vezes, sequer são elaborados.</w:t>
      </w:r>
    </w:p>
    <w:p w14:paraId="1ADF643A" w14:textId="77777777" w:rsidR="008D0413" w:rsidRPr="0089160D" w:rsidRDefault="008D0413" w:rsidP="001860A4">
      <w:pPr>
        <w:spacing w:after="120" w:line="240" w:lineRule="auto"/>
        <w:ind w:firstLine="851"/>
        <w:jc w:val="both"/>
        <w:rPr>
          <w:rFonts w:ascii="Times New Roman" w:eastAsia="Times New Roman" w:hAnsi="Times New Roman"/>
          <w:sz w:val="24"/>
          <w:szCs w:val="24"/>
          <w:lang w:eastAsia="pt-BR"/>
        </w:rPr>
      </w:pPr>
      <w:r w:rsidRPr="0089160D">
        <w:rPr>
          <w:rFonts w:ascii="Times New Roman" w:eastAsia="Times New Roman" w:hAnsi="Times New Roman"/>
          <w:sz w:val="24"/>
          <w:szCs w:val="24"/>
          <w:lang w:eastAsia="pt-BR"/>
        </w:rPr>
        <w:t>Mesmo com a sensível melhora na qualidade das contratações públicas com a utilização do termo de referência, a própria dinâmica de licitações, a partir de questionamentos de licitantes e de constatações feitas por auditorias dos tribunais de contas, levou a necessidade de se dar ainda maior importância à fase prévia à licitação – ao planejamento.</w:t>
      </w:r>
    </w:p>
    <w:p w14:paraId="0714D420" w14:textId="40CEFE82" w:rsidR="008D0413" w:rsidRPr="0089160D" w:rsidRDefault="008D0413" w:rsidP="001860A4">
      <w:pPr>
        <w:spacing w:after="120" w:line="240" w:lineRule="auto"/>
        <w:ind w:firstLine="851"/>
        <w:jc w:val="both"/>
        <w:rPr>
          <w:rFonts w:ascii="Times New Roman" w:eastAsia="Times New Roman" w:hAnsi="Times New Roman"/>
          <w:sz w:val="24"/>
          <w:szCs w:val="24"/>
          <w:lang w:eastAsia="pt-BR"/>
        </w:rPr>
      </w:pPr>
      <w:r w:rsidRPr="0089160D">
        <w:rPr>
          <w:rFonts w:ascii="Times New Roman" w:eastAsia="Times New Roman" w:hAnsi="Times New Roman"/>
          <w:sz w:val="24"/>
          <w:szCs w:val="24"/>
          <w:lang w:eastAsia="pt-BR"/>
        </w:rPr>
        <w:t xml:space="preserve">Por mais que o termo de referência contenha elementos necessários e suficientes – identificação correta da demanda, adequação da demanda ao mercado e às novas tecnologias, verificação de disponibilidade orçamentária e de adequação ao Planejamento do órgão – para orientar a formulação de um edital que conduza a uma boa contratação, pode não representar, de forma isolada, garantia de tal resultado. </w:t>
      </w:r>
    </w:p>
    <w:p w14:paraId="451A74F0" w14:textId="77777777" w:rsidR="008D0413" w:rsidRPr="0089160D" w:rsidRDefault="008D0413" w:rsidP="001860A4">
      <w:pPr>
        <w:spacing w:after="120" w:line="240" w:lineRule="auto"/>
        <w:ind w:firstLine="851"/>
        <w:jc w:val="both"/>
        <w:rPr>
          <w:rFonts w:ascii="Times New Roman" w:eastAsia="Times New Roman" w:hAnsi="Times New Roman"/>
          <w:sz w:val="24"/>
          <w:szCs w:val="24"/>
          <w:lang w:eastAsia="pt-BR"/>
        </w:rPr>
      </w:pPr>
      <w:r w:rsidRPr="0089160D">
        <w:rPr>
          <w:rFonts w:ascii="Times New Roman" w:eastAsia="Times New Roman" w:hAnsi="Times New Roman"/>
          <w:sz w:val="24"/>
          <w:szCs w:val="24"/>
          <w:lang w:eastAsia="pt-BR"/>
        </w:rPr>
        <w:t xml:space="preserve">Apenas e tão somente o termo de referência, corretamente elaborado, pode não ser suficiente para o atingimento pleno do interesse público almejado ou para solução ideal de determinada situação-problema. </w:t>
      </w:r>
    </w:p>
    <w:p w14:paraId="23050690" w14:textId="3F53221F" w:rsidR="008D0413" w:rsidRPr="0089160D" w:rsidRDefault="008D0413" w:rsidP="001860A4">
      <w:pPr>
        <w:spacing w:after="120" w:line="240" w:lineRule="auto"/>
        <w:ind w:firstLine="851"/>
        <w:jc w:val="both"/>
        <w:rPr>
          <w:rFonts w:ascii="Times New Roman" w:eastAsia="Times New Roman" w:hAnsi="Times New Roman"/>
          <w:sz w:val="24"/>
          <w:szCs w:val="24"/>
          <w:lang w:eastAsia="pt-BR"/>
        </w:rPr>
      </w:pPr>
      <w:r w:rsidRPr="0089160D">
        <w:rPr>
          <w:rFonts w:ascii="Times New Roman" w:eastAsia="Times New Roman" w:hAnsi="Times New Roman"/>
          <w:sz w:val="24"/>
          <w:szCs w:val="24"/>
          <w:lang w:eastAsia="pt-BR"/>
        </w:rPr>
        <w:t xml:space="preserve">Exemplificando: i) é identificado pelo diretor de determinado departamento que o sistema de distribuição de malotes entre as diversas seções, localizadas em pontos variados, não tem se dado de maneira eficiente; </w:t>
      </w:r>
      <w:proofErr w:type="spellStart"/>
      <w:r w:rsidRPr="0089160D">
        <w:rPr>
          <w:rFonts w:ascii="Times New Roman" w:eastAsia="Times New Roman" w:hAnsi="Times New Roman"/>
          <w:sz w:val="24"/>
          <w:szCs w:val="24"/>
          <w:lang w:eastAsia="pt-BR"/>
        </w:rPr>
        <w:t>ii</w:t>
      </w:r>
      <w:proofErr w:type="spellEnd"/>
      <w:r w:rsidRPr="0089160D">
        <w:rPr>
          <w:rFonts w:ascii="Times New Roman" w:eastAsia="Times New Roman" w:hAnsi="Times New Roman"/>
          <w:sz w:val="24"/>
          <w:szCs w:val="24"/>
          <w:lang w:eastAsia="pt-BR"/>
        </w:rPr>
        <w:t xml:space="preserve">) os atrasos constantes tem gerado entraves ao bom funcionamento do departamento; </w:t>
      </w:r>
      <w:proofErr w:type="spellStart"/>
      <w:r w:rsidRPr="0089160D">
        <w:rPr>
          <w:rFonts w:ascii="Times New Roman" w:eastAsia="Times New Roman" w:hAnsi="Times New Roman"/>
          <w:sz w:val="24"/>
          <w:szCs w:val="24"/>
          <w:lang w:eastAsia="pt-BR"/>
        </w:rPr>
        <w:t>iii</w:t>
      </w:r>
      <w:proofErr w:type="spellEnd"/>
      <w:r w:rsidRPr="0089160D">
        <w:rPr>
          <w:rFonts w:ascii="Times New Roman" w:eastAsia="Times New Roman" w:hAnsi="Times New Roman"/>
          <w:sz w:val="24"/>
          <w:szCs w:val="24"/>
          <w:lang w:eastAsia="pt-BR"/>
        </w:rPr>
        <w:t xml:space="preserve">) o serviço de distribuição de malotes é feito por um servidor do departamento, com utilização de veículo do próprio do órgão; </w:t>
      </w:r>
      <w:proofErr w:type="spellStart"/>
      <w:r w:rsidRPr="0089160D">
        <w:rPr>
          <w:rFonts w:ascii="Times New Roman" w:eastAsia="Times New Roman" w:hAnsi="Times New Roman"/>
          <w:sz w:val="24"/>
          <w:szCs w:val="24"/>
          <w:lang w:eastAsia="pt-BR"/>
        </w:rPr>
        <w:t>iv</w:t>
      </w:r>
      <w:proofErr w:type="spellEnd"/>
      <w:r w:rsidRPr="0089160D">
        <w:rPr>
          <w:rFonts w:ascii="Times New Roman" w:eastAsia="Times New Roman" w:hAnsi="Times New Roman"/>
          <w:sz w:val="24"/>
          <w:szCs w:val="24"/>
          <w:lang w:eastAsia="pt-BR"/>
        </w:rPr>
        <w:t xml:space="preserve">) no departamento estão lotados outros servidores aptos a realizar o serviço; v) há previsão orçamentária para aquisição de bens e materiais permanentes; vi) a conclusão primeira do diretor é no sentido de se requisitar a compra de mais um veículo, mantendo o atual sistema de distribuição; </w:t>
      </w:r>
      <w:proofErr w:type="spellStart"/>
      <w:r w:rsidRPr="0089160D">
        <w:rPr>
          <w:rFonts w:ascii="Times New Roman" w:eastAsia="Times New Roman" w:hAnsi="Times New Roman"/>
          <w:sz w:val="24"/>
          <w:szCs w:val="24"/>
          <w:lang w:eastAsia="pt-BR"/>
        </w:rPr>
        <w:t>vii</w:t>
      </w:r>
      <w:proofErr w:type="spellEnd"/>
      <w:r w:rsidRPr="0089160D">
        <w:rPr>
          <w:rFonts w:ascii="Times New Roman" w:eastAsia="Times New Roman" w:hAnsi="Times New Roman"/>
          <w:sz w:val="24"/>
          <w:szCs w:val="24"/>
          <w:lang w:eastAsia="pt-BR"/>
        </w:rPr>
        <w:t xml:space="preserve">) elabora-se o termo de referência e se adquire o veículo, realizando uma compra considerada adequada; </w:t>
      </w:r>
      <w:proofErr w:type="spellStart"/>
      <w:r w:rsidRPr="0089160D">
        <w:rPr>
          <w:rFonts w:ascii="Times New Roman" w:eastAsia="Times New Roman" w:hAnsi="Times New Roman"/>
          <w:sz w:val="24"/>
          <w:szCs w:val="24"/>
          <w:lang w:eastAsia="pt-BR"/>
        </w:rPr>
        <w:t>viii</w:t>
      </w:r>
      <w:proofErr w:type="spellEnd"/>
      <w:r w:rsidRPr="0089160D">
        <w:rPr>
          <w:rFonts w:ascii="Times New Roman" w:eastAsia="Times New Roman" w:hAnsi="Times New Roman"/>
          <w:sz w:val="24"/>
          <w:szCs w:val="24"/>
          <w:lang w:eastAsia="pt-BR"/>
        </w:rPr>
        <w:t xml:space="preserve">) com o novo veículo, verifica-se melhora insignificante na distribuição dos malotes; </w:t>
      </w:r>
      <w:proofErr w:type="spellStart"/>
      <w:r w:rsidRPr="0089160D">
        <w:rPr>
          <w:rFonts w:ascii="Times New Roman" w:eastAsia="Times New Roman" w:hAnsi="Times New Roman"/>
          <w:sz w:val="24"/>
          <w:szCs w:val="24"/>
          <w:lang w:eastAsia="pt-BR"/>
        </w:rPr>
        <w:t>ix</w:t>
      </w:r>
      <w:proofErr w:type="spellEnd"/>
      <w:r w:rsidRPr="0089160D">
        <w:rPr>
          <w:rFonts w:ascii="Times New Roman" w:eastAsia="Times New Roman" w:hAnsi="Times New Roman"/>
          <w:sz w:val="24"/>
          <w:szCs w:val="24"/>
          <w:lang w:eastAsia="pt-BR"/>
        </w:rPr>
        <w:t xml:space="preserve">) o diretor, após nova e minuciosa análise da situação, identifica que os motivos dos atrasos não estavam relacionados ao transporte dos malotes, mas a questões operacionais </w:t>
      </w:r>
      <w:r w:rsidR="00505A07">
        <w:rPr>
          <w:rFonts w:ascii="Times New Roman" w:eastAsia="Times New Roman" w:hAnsi="Times New Roman"/>
          <w:sz w:val="24"/>
          <w:szCs w:val="24"/>
          <w:lang w:eastAsia="pt-BR"/>
        </w:rPr>
        <w:t>em</w:t>
      </w:r>
      <w:r w:rsidRPr="0089160D">
        <w:rPr>
          <w:rFonts w:ascii="Times New Roman" w:eastAsia="Times New Roman" w:hAnsi="Times New Roman"/>
          <w:sz w:val="24"/>
          <w:szCs w:val="24"/>
          <w:lang w:eastAsia="pt-BR"/>
        </w:rPr>
        <w:t xml:space="preserve"> alguns setores </w:t>
      </w:r>
      <w:r w:rsidR="00505A07">
        <w:rPr>
          <w:rFonts w:ascii="Times New Roman" w:eastAsia="Times New Roman" w:hAnsi="Times New Roman"/>
          <w:sz w:val="24"/>
          <w:szCs w:val="24"/>
          <w:lang w:eastAsia="pt-BR"/>
        </w:rPr>
        <w:t>com relação à</w:t>
      </w:r>
      <w:r w:rsidRPr="0089160D">
        <w:rPr>
          <w:rFonts w:ascii="Times New Roman" w:eastAsia="Times New Roman" w:hAnsi="Times New Roman"/>
          <w:sz w:val="24"/>
          <w:szCs w:val="24"/>
          <w:lang w:eastAsia="pt-BR"/>
        </w:rPr>
        <w:t xml:space="preserve"> preparação dos malotes.</w:t>
      </w:r>
    </w:p>
    <w:p w14:paraId="12D980F5" w14:textId="77777777" w:rsidR="008D0413" w:rsidRPr="0089160D" w:rsidRDefault="008D0413" w:rsidP="001860A4">
      <w:pPr>
        <w:spacing w:after="120" w:line="240" w:lineRule="auto"/>
        <w:ind w:firstLine="851"/>
        <w:jc w:val="both"/>
        <w:rPr>
          <w:rFonts w:ascii="Times New Roman" w:eastAsia="Times New Roman" w:hAnsi="Times New Roman"/>
          <w:sz w:val="24"/>
          <w:szCs w:val="24"/>
          <w:lang w:eastAsia="pt-BR"/>
        </w:rPr>
      </w:pPr>
      <w:r w:rsidRPr="0089160D">
        <w:rPr>
          <w:rFonts w:ascii="Times New Roman" w:eastAsia="Times New Roman" w:hAnsi="Times New Roman"/>
          <w:sz w:val="24"/>
          <w:szCs w:val="24"/>
          <w:lang w:eastAsia="pt-BR"/>
        </w:rPr>
        <w:t>No caso exemplificado, o termo de referência atendeu seu objetivo: a compra de um carro, conforme a necessidade identificada. No entanto, não atendeu o interesse público imediato, representado pela solução do problema identificado pelo requisitante. Foi realizada uma despesa totalmente desnecessária, com uma aquisição ineficaz.</w:t>
      </w:r>
    </w:p>
    <w:p w14:paraId="1A0000AA" w14:textId="1F970345" w:rsidR="00D31894" w:rsidRPr="0089160D" w:rsidRDefault="00D31894" w:rsidP="001860A4">
      <w:pPr>
        <w:spacing w:after="120" w:line="240" w:lineRule="auto"/>
        <w:ind w:firstLine="851"/>
        <w:jc w:val="both"/>
        <w:rPr>
          <w:rFonts w:ascii="Times New Roman" w:eastAsia="Times New Roman" w:hAnsi="Times New Roman"/>
          <w:sz w:val="24"/>
          <w:szCs w:val="24"/>
          <w:lang w:eastAsia="pt-BR"/>
        </w:rPr>
      </w:pPr>
      <w:r w:rsidRPr="0089160D">
        <w:rPr>
          <w:rFonts w:ascii="Times New Roman" w:eastAsia="Times New Roman" w:hAnsi="Times New Roman"/>
          <w:sz w:val="24"/>
          <w:szCs w:val="24"/>
          <w:lang w:eastAsia="pt-BR"/>
        </w:rPr>
        <w:t xml:space="preserve">Vale lembrar, ainda, que várias soluções poderiam ser utilizadas para solucionar o problema encontrado. Anteriormente à realização do termo de referência faz-se necessário o estudo de forma alargada de toda situação, de todo contexto fático atual e das perspectivas de futuro. Desde análise da causa do problema até o estudo de outras soluções acaso cabíveis. A </w:t>
      </w:r>
      <w:r w:rsidRPr="0089160D">
        <w:rPr>
          <w:rFonts w:ascii="Times New Roman" w:eastAsia="Times New Roman" w:hAnsi="Times New Roman"/>
          <w:sz w:val="24"/>
          <w:szCs w:val="24"/>
          <w:lang w:eastAsia="pt-BR"/>
        </w:rPr>
        <w:lastRenderedPageBreak/>
        <w:t>partir do levantamento de soluções viáveis, é possível identificar aquela que se apresente como ótima.</w:t>
      </w:r>
    </w:p>
    <w:p w14:paraId="02D97492" w14:textId="1A48D957" w:rsidR="00D31894" w:rsidRPr="0089160D" w:rsidRDefault="00D31894" w:rsidP="001860A4">
      <w:pPr>
        <w:spacing w:after="120" w:line="240" w:lineRule="auto"/>
        <w:ind w:firstLine="851"/>
        <w:jc w:val="both"/>
        <w:rPr>
          <w:rFonts w:ascii="Times New Roman" w:eastAsia="Times New Roman" w:hAnsi="Times New Roman"/>
          <w:sz w:val="24"/>
          <w:szCs w:val="24"/>
          <w:lang w:eastAsia="pt-BR"/>
        </w:rPr>
      </w:pPr>
      <w:r w:rsidRPr="0089160D">
        <w:rPr>
          <w:rFonts w:ascii="Times New Roman" w:eastAsia="Times New Roman" w:hAnsi="Times New Roman"/>
          <w:sz w:val="24"/>
          <w:szCs w:val="24"/>
          <w:lang w:eastAsia="pt-BR"/>
        </w:rPr>
        <w:t xml:space="preserve">Ante a situação hipotética do exemplo, ainda que o problema fosse a entrega o transporte dos malotes, várias soluções poderiam ou deveriam ser avaliadas: i) terceirização dos serviços; </w:t>
      </w:r>
      <w:proofErr w:type="spellStart"/>
      <w:r w:rsidRPr="0089160D">
        <w:rPr>
          <w:rFonts w:ascii="Times New Roman" w:eastAsia="Times New Roman" w:hAnsi="Times New Roman"/>
          <w:sz w:val="24"/>
          <w:szCs w:val="24"/>
          <w:lang w:eastAsia="pt-BR"/>
        </w:rPr>
        <w:t>ii</w:t>
      </w:r>
      <w:proofErr w:type="spellEnd"/>
      <w:r w:rsidRPr="0089160D">
        <w:rPr>
          <w:rFonts w:ascii="Times New Roman" w:eastAsia="Times New Roman" w:hAnsi="Times New Roman"/>
          <w:sz w:val="24"/>
          <w:szCs w:val="24"/>
          <w:lang w:eastAsia="pt-BR"/>
        </w:rPr>
        <w:t xml:space="preserve">) utilização de outros modais de transporte; </w:t>
      </w:r>
      <w:proofErr w:type="spellStart"/>
      <w:r w:rsidRPr="0089160D">
        <w:rPr>
          <w:rFonts w:ascii="Times New Roman" w:eastAsia="Times New Roman" w:hAnsi="Times New Roman"/>
          <w:sz w:val="24"/>
          <w:szCs w:val="24"/>
          <w:lang w:eastAsia="pt-BR"/>
        </w:rPr>
        <w:t>iii</w:t>
      </w:r>
      <w:proofErr w:type="spellEnd"/>
      <w:r w:rsidRPr="0089160D">
        <w:rPr>
          <w:rFonts w:ascii="Times New Roman" w:eastAsia="Times New Roman" w:hAnsi="Times New Roman"/>
          <w:sz w:val="24"/>
          <w:szCs w:val="24"/>
          <w:lang w:eastAsia="pt-BR"/>
        </w:rPr>
        <w:t xml:space="preserve">) realocação dos setores </w:t>
      </w:r>
      <w:r w:rsidR="005A2B47">
        <w:rPr>
          <w:rFonts w:ascii="Times New Roman" w:eastAsia="Times New Roman" w:hAnsi="Times New Roman"/>
          <w:sz w:val="24"/>
          <w:szCs w:val="24"/>
          <w:lang w:eastAsia="pt-BR"/>
        </w:rPr>
        <w:t xml:space="preserve">para </w:t>
      </w:r>
      <w:r w:rsidRPr="0089160D">
        <w:rPr>
          <w:rFonts w:ascii="Times New Roman" w:eastAsia="Times New Roman" w:hAnsi="Times New Roman"/>
          <w:sz w:val="24"/>
          <w:szCs w:val="24"/>
          <w:lang w:eastAsia="pt-BR"/>
        </w:rPr>
        <w:t xml:space="preserve">um mesmo local; </w:t>
      </w:r>
      <w:proofErr w:type="spellStart"/>
      <w:r w:rsidRPr="0089160D">
        <w:rPr>
          <w:rFonts w:ascii="Times New Roman" w:eastAsia="Times New Roman" w:hAnsi="Times New Roman"/>
          <w:sz w:val="24"/>
          <w:szCs w:val="24"/>
          <w:lang w:eastAsia="pt-BR"/>
        </w:rPr>
        <w:t>iv</w:t>
      </w:r>
      <w:proofErr w:type="spellEnd"/>
      <w:r w:rsidRPr="0089160D">
        <w:rPr>
          <w:rFonts w:ascii="Times New Roman" w:eastAsia="Times New Roman" w:hAnsi="Times New Roman"/>
          <w:sz w:val="24"/>
          <w:szCs w:val="24"/>
          <w:lang w:eastAsia="pt-BR"/>
        </w:rPr>
        <w:t>) criação de canais digitais de trocas de documentos. Essas são apenas algumas das várias soluções que poderiam servir para solucionar o problema. Geralmente, adota-se aquela que já era usual, mais fácil, perpetuando-se a falha.</w:t>
      </w:r>
    </w:p>
    <w:p w14:paraId="7D538AD2" w14:textId="3CF9805F" w:rsidR="00D31894" w:rsidRDefault="00E3594F" w:rsidP="001860A4">
      <w:pPr>
        <w:spacing w:after="120" w:line="240" w:lineRule="auto"/>
        <w:ind w:firstLine="851"/>
        <w:jc w:val="both"/>
        <w:rPr>
          <w:rFonts w:ascii="Times New Roman" w:eastAsia="Times New Roman" w:hAnsi="Times New Roman"/>
          <w:sz w:val="24"/>
          <w:szCs w:val="24"/>
          <w:lang w:eastAsia="pt-BR"/>
        </w:rPr>
      </w:pPr>
      <w:r w:rsidRPr="0089160D">
        <w:rPr>
          <w:rFonts w:ascii="Times New Roman" w:eastAsia="Times New Roman" w:hAnsi="Times New Roman"/>
          <w:sz w:val="24"/>
          <w:szCs w:val="24"/>
          <w:lang w:eastAsia="pt-BR"/>
        </w:rPr>
        <w:t>Conforme mencionado, os tribunais de contas, sobretudo o Tribunal de Contas da União, começ</w:t>
      </w:r>
      <w:r w:rsidR="005A2B47">
        <w:rPr>
          <w:rFonts w:ascii="Times New Roman" w:eastAsia="Times New Roman" w:hAnsi="Times New Roman"/>
          <w:sz w:val="24"/>
          <w:szCs w:val="24"/>
          <w:lang w:eastAsia="pt-BR"/>
        </w:rPr>
        <w:t>aram</w:t>
      </w:r>
      <w:r w:rsidRPr="0089160D">
        <w:rPr>
          <w:rFonts w:ascii="Times New Roman" w:eastAsia="Times New Roman" w:hAnsi="Times New Roman"/>
          <w:sz w:val="24"/>
          <w:szCs w:val="24"/>
          <w:lang w:eastAsia="pt-BR"/>
        </w:rPr>
        <w:t xml:space="preserve"> </w:t>
      </w:r>
      <w:r w:rsidR="005A2B47">
        <w:rPr>
          <w:rFonts w:ascii="Times New Roman" w:eastAsia="Times New Roman" w:hAnsi="Times New Roman"/>
          <w:sz w:val="24"/>
          <w:szCs w:val="24"/>
          <w:lang w:eastAsia="pt-BR"/>
        </w:rPr>
        <w:t xml:space="preserve">a </w:t>
      </w:r>
      <w:r w:rsidRPr="0089160D">
        <w:rPr>
          <w:rFonts w:ascii="Times New Roman" w:eastAsia="Times New Roman" w:hAnsi="Times New Roman"/>
          <w:sz w:val="24"/>
          <w:szCs w:val="24"/>
          <w:lang w:eastAsia="pt-BR"/>
        </w:rPr>
        <w:t>apontar a necessidade da realização de estudos técnicos preliminares</w:t>
      </w:r>
      <w:r w:rsidRPr="0089160D">
        <w:rPr>
          <w:rStyle w:val="Refdenotaderodap"/>
          <w:rFonts w:ascii="Times New Roman" w:eastAsia="Times New Roman" w:hAnsi="Times New Roman"/>
          <w:sz w:val="24"/>
          <w:szCs w:val="24"/>
          <w:lang w:eastAsia="pt-BR"/>
        </w:rPr>
        <w:footnoteReference w:id="13"/>
      </w:r>
      <w:r w:rsidRPr="0089160D">
        <w:rPr>
          <w:rFonts w:ascii="Times New Roman" w:eastAsia="Times New Roman" w:hAnsi="Times New Roman"/>
          <w:sz w:val="24"/>
          <w:szCs w:val="24"/>
          <w:lang w:eastAsia="pt-BR"/>
        </w:rPr>
        <w:t xml:space="preserve"> para balizamento de termos de referência e projetos básicos. Vale citar </w:t>
      </w:r>
      <w:r w:rsidR="003C3E88">
        <w:rPr>
          <w:rFonts w:ascii="Times New Roman" w:eastAsia="Times New Roman" w:hAnsi="Times New Roman"/>
          <w:sz w:val="24"/>
          <w:szCs w:val="24"/>
          <w:lang w:eastAsia="pt-BR"/>
        </w:rPr>
        <w:t>o</w:t>
      </w:r>
      <w:r w:rsidRPr="0089160D">
        <w:rPr>
          <w:rFonts w:ascii="Times New Roman" w:eastAsia="Times New Roman" w:hAnsi="Times New Roman"/>
          <w:sz w:val="24"/>
          <w:szCs w:val="24"/>
          <w:lang w:eastAsia="pt-BR"/>
        </w:rPr>
        <w:t xml:space="preserve"> acórdão do Tribunal de Contas da União</w:t>
      </w:r>
      <w:r w:rsidR="003C3E88">
        <w:rPr>
          <w:rStyle w:val="Refdenotaderodap"/>
          <w:rFonts w:ascii="Times New Roman" w:eastAsia="Times New Roman" w:hAnsi="Times New Roman"/>
          <w:sz w:val="24"/>
          <w:szCs w:val="24"/>
          <w:lang w:eastAsia="pt-BR"/>
        </w:rPr>
        <w:footnoteReference w:id="14"/>
      </w:r>
      <w:r w:rsidRPr="0089160D">
        <w:rPr>
          <w:rFonts w:ascii="Times New Roman" w:eastAsia="Times New Roman" w:hAnsi="Times New Roman"/>
          <w:sz w:val="24"/>
          <w:szCs w:val="24"/>
          <w:lang w:eastAsia="pt-BR"/>
        </w:rPr>
        <w:t xml:space="preserve"> que trata do assunto:</w:t>
      </w:r>
    </w:p>
    <w:p w14:paraId="0957ED3B" w14:textId="77777777" w:rsidR="00FE4AB7" w:rsidRDefault="00FE4AB7" w:rsidP="001860A4">
      <w:pPr>
        <w:spacing w:after="120" w:line="240" w:lineRule="auto"/>
        <w:ind w:left="2835"/>
        <w:jc w:val="both"/>
        <w:rPr>
          <w:rFonts w:ascii="Times New Roman" w:hAnsi="Times New Roman"/>
          <w:color w:val="000000"/>
        </w:rPr>
      </w:pPr>
    </w:p>
    <w:p w14:paraId="00224AFE" w14:textId="5F8D89C1" w:rsidR="00E3594F" w:rsidRPr="00B81A2E" w:rsidRDefault="00E3594F" w:rsidP="001860A4">
      <w:pPr>
        <w:spacing w:after="120" w:line="240" w:lineRule="auto"/>
        <w:ind w:left="2268"/>
        <w:jc w:val="both"/>
        <w:rPr>
          <w:rFonts w:ascii="Times New Roman" w:hAnsi="Times New Roman"/>
          <w:color w:val="000000"/>
        </w:rPr>
      </w:pPr>
      <w:r w:rsidRPr="0089160D">
        <w:rPr>
          <w:rFonts w:ascii="Times New Roman" w:hAnsi="Times New Roman"/>
          <w:color w:val="000000"/>
        </w:rPr>
        <w:t xml:space="preserve">TCU – Acórdão nº 265/2010 – Plenário </w:t>
      </w:r>
    </w:p>
    <w:p w14:paraId="3EA3AAB2" w14:textId="77777777" w:rsidR="00E3594F" w:rsidRPr="00B81A2E" w:rsidRDefault="00E3594F" w:rsidP="001860A4">
      <w:pPr>
        <w:spacing w:after="120" w:line="240" w:lineRule="auto"/>
        <w:ind w:left="2268"/>
        <w:jc w:val="both"/>
        <w:rPr>
          <w:rFonts w:ascii="Times New Roman" w:hAnsi="Times New Roman"/>
          <w:color w:val="000000"/>
        </w:rPr>
      </w:pPr>
      <w:r w:rsidRPr="0089160D">
        <w:rPr>
          <w:rFonts w:ascii="Times New Roman" w:hAnsi="Times New Roman"/>
          <w:color w:val="000000"/>
        </w:rPr>
        <w:t xml:space="preserve">Enunciado </w:t>
      </w:r>
    </w:p>
    <w:p w14:paraId="27D83FE4" w14:textId="77777777" w:rsidR="00E3594F" w:rsidRPr="00B81A2E" w:rsidRDefault="00E3594F" w:rsidP="001860A4">
      <w:pPr>
        <w:spacing w:after="120" w:line="240" w:lineRule="auto"/>
        <w:ind w:left="2268"/>
        <w:jc w:val="both"/>
        <w:rPr>
          <w:rFonts w:ascii="Times New Roman" w:hAnsi="Times New Roman"/>
          <w:color w:val="000000"/>
        </w:rPr>
      </w:pPr>
      <w:r w:rsidRPr="0089160D">
        <w:rPr>
          <w:rFonts w:ascii="Times New Roman" w:hAnsi="Times New Roman"/>
          <w:color w:val="000000"/>
        </w:rPr>
        <w:t xml:space="preserve">A Administração deve elaborar o projeto básico dos processos licitatórios relativos a TI com base em estudo técnico preliminar, o qual deve considerar, dentre outros pontos, o levantamento das soluções disponíveis no mercado e a justificativa pela solução escolhida, conforme art. 6º, inciso IX, e art. 46 da Lei 8.666/1993. </w:t>
      </w:r>
    </w:p>
    <w:p w14:paraId="07781E12" w14:textId="77777777" w:rsidR="001860A4" w:rsidRDefault="001860A4" w:rsidP="001860A4">
      <w:pPr>
        <w:spacing w:after="120" w:line="240" w:lineRule="auto"/>
        <w:ind w:firstLine="851"/>
        <w:jc w:val="both"/>
        <w:rPr>
          <w:rFonts w:ascii="Times New Roman" w:eastAsia="Times New Roman" w:hAnsi="Times New Roman"/>
          <w:sz w:val="24"/>
          <w:szCs w:val="24"/>
          <w:lang w:eastAsia="pt-BR"/>
        </w:rPr>
      </w:pPr>
    </w:p>
    <w:p w14:paraId="053E62E3" w14:textId="3114D690" w:rsidR="00B81A2E" w:rsidRDefault="008A5988" w:rsidP="001860A4">
      <w:pPr>
        <w:spacing w:after="120" w:line="240" w:lineRule="auto"/>
        <w:ind w:firstLine="851"/>
        <w:jc w:val="both"/>
        <w:rPr>
          <w:rFonts w:ascii="Times New Roman" w:eastAsia="Times New Roman" w:hAnsi="Times New Roman"/>
          <w:sz w:val="24"/>
          <w:szCs w:val="24"/>
          <w:lang w:eastAsia="pt-BR"/>
        </w:rPr>
      </w:pPr>
      <w:r w:rsidRPr="0089160D">
        <w:rPr>
          <w:rFonts w:ascii="Times New Roman" w:eastAsia="Times New Roman" w:hAnsi="Times New Roman"/>
          <w:sz w:val="24"/>
          <w:szCs w:val="24"/>
          <w:lang w:eastAsia="pt-BR"/>
        </w:rPr>
        <w:t>No âmbito da União, a Instrução Normativa nº 5, de 26 de maio de 2017, passou a prever</w:t>
      </w:r>
      <w:r w:rsidR="00B54B2C" w:rsidRPr="0089160D">
        <w:rPr>
          <w:rFonts w:ascii="Times New Roman" w:eastAsia="Times New Roman" w:hAnsi="Times New Roman"/>
          <w:sz w:val="24"/>
          <w:szCs w:val="24"/>
          <w:lang w:eastAsia="pt-BR"/>
        </w:rPr>
        <w:t>, em seu artigo 24,</w:t>
      </w:r>
      <w:r w:rsidRPr="0089160D">
        <w:rPr>
          <w:rFonts w:ascii="Times New Roman" w:eastAsia="Times New Roman" w:hAnsi="Times New Roman"/>
          <w:sz w:val="24"/>
          <w:szCs w:val="24"/>
          <w:lang w:eastAsia="pt-BR"/>
        </w:rPr>
        <w:t xml:space="preserve"> a necessidade de formalização de estudos preliminares, como procedimento prévio à contração de serviços sob regime de execução indireta no âmbito da Administração Pública Federal</w:t>
      </w:r>
      <w:r w:rsidR="005F6E2C">
        <w:rPr>
          <w:rFonts w:ascii="Times New Roman" w:eastAsia="Times New Roman" w:hAnsi="Times New Roman"/>
          <w:sz w:val="24"/>
          <w:szCs w:val="24"/>
          <w:lang w:eastAsia="pt-BR"/>
        </w:rPr>
        <w:t>. O dispositivo legal apresenta de forma detalhada o conteúdo que deverá estar contigo nos Estudos Preliminares</w:t>
      </w:r>
    </w:p>
    <w:p w14:paraId="242B3F0D" w14:textId="77777777" w:rsidR="001860A4" w:rsidRDefault="001860A4" w:rsidP="001860A4">
      <w:pPr>
        <w:spacing w:after="120" w:line="240" w:lineRule="auto"/>
        <w:ind w:left="2268"/>
        <w:jc w:val="both"/>
        <w:rPr>
          <w:rFonts w:ascii="Times New Roman" w:hAnsi="Times New Roman"/>
          <w:color w:val="000000"/>
        </w:rPr>
      </w:pPr>
    </w:p>
    <w:p w14:paraId="47B847A9" w14:textId="26263E28" w:rsidR="00B54B2C" w:rsidRPr="0089160D" w:rsidRDefault="00B54B2C" w:rsidP="001860A4">
      <w:pPr>
        <w:spacing w:after="120" w:line="240" w:lineRule="auto"/>
        <w:ind w:left="2268"/>
        <w:jc w:val="both"/>
        <w:rPr>
          <w:rFonts w:ascii="Times New Roman" w:hAnsi="Times New Roman"/>
          <w:color w:val="000000"/>
        </w:rPr>
      </w:pPr>
      <w:r w:rsidRPr="0089160D">
        <w:rPr>
          <w:rFonts w:ascii="Times New Roman" w:hAnsi="Times New Roman"/>
          <w:color w:val="000000"/>
        </w:rPr>
        <w:t>Art. 24. Com base no documento que formaliza a demanda, a equipe de Planejamento da Contratação deve realizar os Estudos Preliminares, conforme as diretrizes constantes do Anexo III.</w:t>
      </w:r>
    </w:p>
    <w:p w14:paraId="03A1FC0F" w14:textId="12BCC682" w:rsidR="00B54B2C" w:rsidRPr="0089160D" w:rsidRDefault="00B54B2C" w:rsidP="001860A4">
      <w:pPr>
        <w:spacing w:after="120" w:line="240" w:lineRule="auto"/>
        <w:ind w:left="2268"/>
        <w:jc w:val="both"/>
        <w:rPr>
          <w:rFonts w:ascii="Times New Roman" w:hAnsi="Times New Roman"/>
          <w:color w:val="000000"/>
        </w:rPr>
      </w:pPr>
      <w:r w:rsidRPr="0089160D">
        <w:rPr>
          <w:rFonts w:ascii="Times New Roman" w:hAnsi="Times New Roman"/>
          <w:color w:val="000000"/>
        </w:rPr>
        <w:t>§ 1º O documento que materializa os Estudos Preliminares deve conter, quando couber, o seguinte conteúdo:</w:t>
      </w:r>
    </w:p>
    <w:p w14:paraId="784F80DF" w14:textId="77777777" w:rsidR="00B54B2C" w:rsidRPr="0089160D" w:rsidRDefault="00B54B2C" w:rsidP="001860A4">
      <w:pPr>
        <w:spacing w:after="120" w:line="240" w:lineRule="auto"/>
        <w:ind w:left="2268"/>
        <w:jc w:val="both"/>
        <w:rPr>
          <w:rFonts w:ascii="Times New Roman" w:hAnsi="Times New Roman"/>
          <w:color w:val="000000"/>
        </w:rPr>
      </w:pPr>
      <w:r w:rsidRPr="0089160D">
        <w:rPr>
          <w:rFonts w:ascii="Times New Roman" w:hAnsi="Times New Roman"/>
          <w:color w:val="000000"/>
        </w:rPr>
        <w:t>I - necessidade da contratação;</w:t>
      </w:r>
    </w:p>
    <w:p w14:paraId="1D0FD869" w14:textId="6F181F66" w:rsidR="00B54B2C" w:rsidRPr="0089160D" w:rsidRDefault="00B54B2C" w:rsidP="001860A4">
      <w:pPr>
        <w:spacing w:after="120" w:line="240" w:lineRule="auto"/>
        <w:ind w:left="2268"/>
        <w:jc w:val="both"/>
        <w:rPr>
          <w:rFonts w:ascii="Times New Roman" w:hAnsi="Times New Roman"/>
          <w:color w:val="000000"/>
        </w:rPr>
      </w:pPr>
      <w:r w:rsidRPr="0089160D">
        <w:rPr>
          <w:rFonts w:ascii="Times New Roman" w:hAnsi="Times New Roman"/>
          <w:color w:val="000000"/>
        </w:rPr>
        <w:t>II - referência a outros instrumentos de planejamento do órgão ou entidade, se houver;</w:t>
      </w:r>
    </w:p>
    <w:p w14:paraId="03EDEF1E" w14:textId="77777777" w:rsidR="00B54B2C" w:rsidRPr="0089160D" w:rsidRDefault="00B54B2C" w:rsidP="001860A4">
      <w:pPr>
        <w:spacing w:after="120" w:line="240" w:lineRule="auto"/>
        <w:ind w:left="2268"/>
        <w:jc w:val="both"/>
        <w:rPr>
          <w:rFonts w:ascii="Times New Roman" w:hAnsi="Times New Roman"/>
          <w:color w:val="000000"/>
        </w:rPr>
      </w:pPr>
      <w:r w:rsidRPr="0089160D">
        <w:rPr>
          <w:rFonts w:ascii="Times New Roman" w:hAnsi="Times New Roman"/>
          <w:color w:val="000000"/>
        </w:rPr>
        <w:t>III - requisitos da contratação;</w:t>
      </w:r>
    </w:p>
    <w:p w14:paraId="59FB0380" w14:textId="0B797269" w:rsidR="00B54B2C" w:rsidRPr="0089160D" w:rsidRDefault="00B54B2C" w:rsidP="001860A4">
      <w:pPr>
        <w:spacing w:after="120" w:line="240" w:lineRule="auto"/>
        <w:ind w:left="2268"/>
        <w:jc w:val="both"/>
        <w:rPr>
          <w:rFonts w:ascii="Times New Roman" w:hAnsi="Times New Roman"/>
          <w:color w:val="000000"/>
        </w:rPr>
      </w:pPr>
      <w:r w:rsidRPr="0089160D">
        <w:rPr>
          <w:rFonts w:ascii="Times New Roman" w:hAnsi="Times New Roman"/>
          <w:color w:val="000000"/>
        </w:rPr>
        <w:lastRenderedPageBreak/>
        <w:t>IV - estimativa das quantidades, acompanhadas das memórias de cálculo e dos documentos que lhe dão suporte;</w:t>
      </w:r>
    </w:p>
    <w:p w14:paraId="0DC228C9" w14:textId="4D26DE6A" w:rsidR="00B54B2C" w:rsidRPr="0089160D" w:rsidRDefault="00B54B2C" w:rsidP="001860A4">
      <w:pPr>
        <w:spacing w:after="120" w:line="240" w:lineRule="auto"/>
        <w:ind w:left="2268"/>
        <w:jc w:val="both"/>
        <w:rPr>
          <w:rFonts w:ascii="Times New Roman" w:hAnsi="Times New Roman"/>
          <w:color w:val="000000"/>
        </w:rPr>
      </w:pPr>
      <w:r w:rsidRPr="0089160D">
        <w:rPr>
          <w:rFonts w:ascii="Times New Roman" w:hAnsi="Times New Roman"/>
          <w:color w:val="000000"/>
        </w:rPr>
        <w:t>V - levantamento de mercado e justificativa da escolha do tipo de solução a contratar;</w:t>
      </w:r>
    </w:p>
    <w:p w14:paraId="6CA34DFB" w14:textId="77777777" w:rsidR="00B54B2C" w:rsidRPr="0089160D" w:rsidRDefault="00B54B2C" w:rsidP="001860A4">
      <w:pPr>
        <w:spacing w:after="120" w:line="240" w:lineRule="auto"/>
        <w:ind w:left="2268"/>
        <w:jc w:val="both"/>
        <w:rPr>
          <w:rFonts w:ascii="Times New Roman" w:hAnsi="Times New Roman"/>
          <w:color w:val="000000"/>
        </w:rPr>
      </w:pPr>
      <w:r w:rsidRPr="0089160D">
        <w:rPr>
          <w:rFonts w:ascii="Times New Roman" w:hAnsi="Times New Roman"/>
          <w:color w:val="000000"/>
        </w:rPr>
        <w:t>VI - estimativas de preços ou preços referenciais;</w:t>
      </w:r>
    </w:p>
    <w:p w14:paraId="4FF38168" w14:textId="77777777" w:rsidR="00B54B2C" w:rsidRPr="0089160D" w:rsidRDefault="00B54B2C" w:rsidP="001860A4">
      <w:pPr>
        <w:spacing w:after="120" w:line="240" w:lineRule="auto"/>
        <w:ind w:left="2268"/>
        <w:jc w:val="both"/>
        <w:rPr>
          <w:rFonts w:ascii="Times New Roman" w:hAnsi="Times New Roman"/>
          <w:color w:val="000000"/>
        </w:rPr>
      </w:pPr>
      <w:r w:rsidRPr="0089160D">
        <w:rPr>
          <w:rFonts w:ascii="Times New Roman" w:hAnsi="Times New Roman"/>
          <w:color w:val="000000"/>
        </w:rPr>
        <w:t>VII - descrição da solução como um todo;</w:t>
      </w:r>
    </w:p>
    <w:p w14:paraId="4BB849EC" w14:textId="5714C0AE" w:rsidR="00B54B2C" w:rsidRPr="0089160D" w:rsidRDefault="00B54B2C" w:rsidP="001860A4">
      <w:pPr>
        <w:spacing w:after="120" w:line="240" w:lineRule="auto"/>
        <w:ind w:left="2268"/>
        <w:jc w:val="both"/>
        <w:rPr>
          <w:rFonts w:ascii="Times New Roman" w:hAnsi="Times New Roman"/>
          <w:color w:val="000000"/>
        </w:rPr>
      </w:pPr>
      <w:r w:rsidRPr="0089160D">
        <w:rPr>
          <w:rFonts w:ascii="Times New Roman" w:hAnsi="Times New Roman"/>
          <w:color w:val="000000"/>
        </w:rPr>
        <w:t>VIII - justificativas para o parcelamento ou não da solução quando necessária para individualização do objeto;</w:t>
      </w:r>
    </w:p>
    <w:p w14:paraId="77F8C616" w14:textId="223B46B8" w:rsidR="00B54B2C" w:rsidRPr="0089160D" w:rsidRDefault="00B54B2C" w:rsidP="001860A4">
      <w:pPr>
        <w:spacing w:after="120" w:line="240" w:lineRule="auto"/>
        <w:ind w:left="2268"/>
        <w:jc w:val="both"/>
        <w:rPr>
          <w:rFonts w:ascii="Times New Roman" w:hAnsi="Times New Roman"/>
          <w:color w:val="000000"/>
        </w:rPr>
      </w:pPr>
      <w:r w:rsidRPr="0089160D">
        <w:rPr>
          <w:rFonts w:ascii="Times New Roman" w:hAnsi="Times New Roman"/>
          <w:color w:val="000000"/>
        </w:rPr>
        <w:t>IX - demonstrativo dos resultados pretendidos em termos de economicidade e de melhor aproveitamento dos recursos humanos, materiais ou financeiros disponíveis;</w:t>
      </w:r>
    </w:p>
    <w:p w14:paraId="1DD434A7" w14:textId="77777777" w:rsidR="00B54B2C" w:rsidRPr="0089160D" w:rsidRDefault="00B54B2C" w:rsidP="001860A4">
      <w:pPr>
        <w:spacing w:after="120" w:line="240" w:lineRule="auto"/>
        <w:ind w:left="2268"/>
        <w:jc w:val="both"/>
        <w:rPr>
          <w:rFonts w:ascii="Times New Roman" w:hAnsi="Times New Roman"/>
          <w:color w:val="000000"/>
        </w:rPr>
      </w:pPr>
      <w:r w:rsidRPr="0089160D">
        <w:rPr>
          <w:rFonts w:ascii="Times New Roman" w:hAnsi="Times New Roman"/>
          <w:color w:val="000000"/>
        </w:rPr>
        <w:t>X - providências para adequação do ambiente do órgão;</w:t>
      </w:r>
    </w:p>
    <w:p w14:paraId="70F4AB7A" w14:textId="77777777" w:rsidR="00B54B2C" w:rsidRPr="0089160D" w:rsidRDefault="00B54B2C" w:rsidP="001860A4">
      <w:pPr>
        <w:spacing w:after="120" w:line="240" w:lineRule="auto"/>
        <w:ind w:left="2268"/>
        <w:jc w:val="both"/>
        <w:rPr>
          <w:rFonts w:ascii="Times New Roman" w:hAnsi="Times New Roman"/>
          <w:color w:val="000000"/>
        </w:rPr>
      </w:pPr>
      <w:r w:rsidRPr="0089160D">
        <w:rPr>
          <w:rFonts w:ascii="Times New Roman" w:hAnsi="Times New Roman"/>
          <w:color w:val="000000"/>
        </w:rPr>
        <w:t>XI - contratações correlatas e/ou interdependentes; e</w:t>
      </w:r>
    </w:p>
    <w:p w14:paraId="75636C17" w14:textId="77777777" w:rsidR="00B54B2C" w:rsidRPr="0089160D" w:rsidRDefault="00B54B2C" w:rsidP="001860A4">
      <w:pPr>
        <w:spacing w:after="120" w:line="240" w:lineRule="auto"/>
        <w:ind w:left="2268"/>
        <w:jc w:val="both"/>
        <w:rPr>
          <w:rFonts w:ascii="Times New Roman" w:hAnsi="Times New Roman"/>
          <w:color w:val="000000"/>
        </w:rPr>
      </w:pPr>
      <w:r w:rsidRPr="0089160D">
        <w:rPr>
          <w:rFonts w:ascii="Times New Roman" w:hAnsi="Times New Roman"/>
          <w:color w:val="000000"/>
        </w:rPr>
        <w:t>XII - declaração da viabilidade ou não da contratação.</w:t>
      </w:r>
    </w:p>
    <w:p w14:paraId="5B5E2476" w14:textId="77777777" w:rsidR="00F22D02" w:rsidRDefault="00F22D02" w:rsidP="001860A4">
      <w:pPr>
        <w:spacing w:after="120" w:line="240" w:lineRule="auto"/>
        <w:ind w:firstLine="851"/>
        <w:jc w:val="both"/>
        <w:rPr>
          <w:rFonts w:ascii="Times New Roman" w:eastAsia="Times New Roman" w:hAnsi="Times New Roman"/>
          <w:sz w:val="24"/>
          <w:szCs w:val="24"/>
          <w:lang w:eastAsia="pt-BR"/>
        </w:rPr>
      </w:pPr>
    </w:p>
    <w:p w14:paraId="34C6EB38" w14:textId="5404E8A7" w:rsidR="00B54B2C" w:rsidRPr="0089160D" w:rsidRDefault="00B54B2C" w:rsidP="001860A4">
      <w:pPr>
        <w:spacing w:after="120" w:line="240" w:lineRule="auto"/>
        <w:ind w:firstLine="851"/>
        <w:jc w:val="both"/>
        <w:rPr>
          <w:rFonts w:ascii="Times New Roman" w:eastAsia="Times New Roman" w:hAnsi="Times New Roman"/>
          <w:sz w:val="24"/>
          <w:szCs w:val="24"/>
          <w:lang w:eastAsia="pt-BR"/>
        </w:rPr>
      </w:pPr>
      <w:r w:rsidRPr="0089160D">
        <w:rPr>
          <w:rFonts w:ascii="Times New Roman" w:eastAsia="Times New Roman" w:hAnsi="Times New Roman"/>
          <w:sz w:val="24"/>
          <w:szCs w:val="24"/>
          <w:lang w:eastAsia="pt-BR"/>
        </w:rPr>
        <w:t>Em 2020, enquanto tramita</w:t>
      </w:r>
      <w:r w:rsidR="005A2B47">
        <w:rPr>
          <w:rFonts w:ascii="Times New Roman" w:eastAsia="Times New Roman" w:hAnsi="Times New Roman"/>
          <w:sz w:val="24"/>
          <w:szCs w:val="24"/>
          <w:lang w:eastAsia="pt-BR"/>
        </w:rPr>
        <w:t>va</w:t>
      </w:r>
      <w:r w:rsidRPr="0089160D">
        <w:rPr>
          <w:rFonts w:ascii="Times New Roman" w:eastAsia="Times New Roman" w:hAnsi="Times New Roman"/>
          <w:sz w:val="24"/>
          <w:szCs w:val="24"/>
          <w:lang w:eastAsia="pt-BR"/>
        </w:rPr>
        <w:t xml:space="preserve"> </w:t>
      </w:r>
      <w:r w:rsidR="005A2B47">
        <w:rPr>
          <w:rFonts w:ascii="Times New Roman" w:eastAsia="Times New Roman" w:hAnsi="Times New Roman"/>
          <w:sz w:val="24"/>
          <w:szCs w:val="24"/>
          <w:lang w:eastAsia="pt-BR"/>
        </w:rPr>
        <w:t>o</w:t>
      </w:r>
      <w:r w:rsidRPr="0089160D">
        <w:rPr>
          <w:rFonts w:ascii="Times New Roman" w:eastAsia="Times New Roman" w:hAnsi="Times New Roman"/>
          <w:sz w:val="24"/>
          <w:szCs w:val="24"/>
          <w:lang w:eastAsia="pt-BR"/>
        </w:rPr>
        <w:t xml:space="preserve"> projeto de lei originário da nova Lei de Licitações, sancionada em 2021, foi editada a Instrução Normativa nº </w:t>
      </w:r>
      <w:r w:rsidR="004F1B74" w:rsidRPr="0089160D">
        <w:rPr>
          <w:rFonts w:ascii="Times New Roman" w:eastAsia="Times New Roman" w:hAnsi="Times New Roman"/>
          <w:sz w:val="24"/>
          <w:szCs w:val="24"/>
          <w:lang w:eastAsia="pt-BR"/>
        </w:rPr>
        <w:t>40</w:t>
      </w:r>
      <w:r w:rsidRPr="0089160D">
        <w:rPr>
          <w:rFonts w:ascii="Times New Roman" w:eastAsia="Times New Roman" w:hAnsi="Times New Roman"/>
          <w:sz w:val="24"/>
          <w:szCs w:val="24"/>
          <w:lang w:eastAsia="pt-BR"/>
        </w:rPr>
        <w:t>,</w:t>
      </w:r>
      <w:r w:rsidR="004F1B74" w:rsidRPr="0089160D">
        <w:rPr>
          <w:rFonts w:ascii="Times New Roman" w:eastAsia="Times New Roman" w:hAnsi="Times New Roman"/>
          <w:sz w:val="24"/>
          <w:szCs w:val="24"/>
          <w:lang w:eastAsia="pt-BR"/>
        </w:rPr>
        <w:t xml:space="preserve"> dispondo “sobre a elaboração dos Estudos Técnicos Preliminares - ETP - para a aquisição de bens e a contratação de serviços e obras, no âmbito da Administração Pública federal direta, autárquica e fundacional, e sobre o Sistema ETP digital.”</w:t>
      </w:r>
    </w:p>
    <w:p w14:paraId="3E0948E2" w14:textId="1479BE05" w:rsidR="004F1B74" w:rsidRPr="0089160D" w:rsidRDefault="004F1B74" w:rsidP="001860A4">
      <w:pPr>
        <w:spacing w:after="120" w:line="240" w:lineRule="auto"/>
        <w:ind w:firstLine="851"/>
        <w:jc w:val="both"/>
        <w:rPr>
          <w:rFonts w:ascii="Times New Roman" w:eastAsia="Times New Roman" w:hAnsi="Times New Roman"/>
          <w:sz w:val="24"/>
          <w:szCs w:val="24"/>
          <w:lang w:eastAsia="pt-BR"/>
        </w:rPr>
      </w:pPr>
      <w:r w:rsidRPr="0089160D">
        <w:rPr>
          <w:rFonts w:ascii="Times New Roman" w:eastAsia="Times New Roman" w:hAnsi="Times New Roman"/>
          <w:sz w:val="24"/>
          <w:szCs w:val="24"/>
          <w:lang w:eastAsia="pt-BR"/>
        </w:rPr>
        <w:t>Logo, parte significativa da Lei nº 14.133/2021 já estava institucionalizada para a Administração Pública federal`.</w:t>
      </w:r>
    </w:p>
    <w:p w14:paraId="1D7B6F2E" w14:textId="30BE427D" w:rsidR="004F1B74" w:rsidRDefault="004F1B74" w:rsidP="001860A4">
      <w:pPr>
        <w:spacing w:after="120" w:line="240" w:lineRule="auto"/>
        <w:ind w:firstLine="851"/>
        <w:jc w:val="both"/>
        <w:rPr>
          <w:rFonts w:ascii="Times New Roman" w:eastAsia="Times New Roman" w:hAnsi="Times New Roman"/>
          <w:sz w:val="24"/>
          <w:szCs w:val="24"/>
          <w:lang w:eastAsia="pt-BR"/>
        </w:rPr>
      </w:pPr>
      <w:r w:rsidRPr="0089160D">
        <w:rPr>
          <w:rFonts w:ascii="Times New Roman" w:eastAsia="Times New Roman" w:hAnsi="Times New Roman"/>
          <w:sz w:val="24"/>
          <w:szCs w:val="24"/>
          <w:lang w:eastAsia="pt-BR"/>
        </w:rPr>
        <w:t xml:space="preserve">Tal qual previsto nas instruções normativas, </w:t>
      </w:r>
      <w:r w:rsidR="00C40892" w:rsidRPr="0089160D">
        <w:rPr>
          <w:rFonts w:ascii="Times New Roman" w:eastAsia="Times New Roman" w:hAnsi="Times New Roman"/>
          <w:sz w:val="24"/>
          <w:szCs w:val="24"/>
          <w:lang w:eastAsia="pt-BR"/>
        </w:rPr>
        <w:t>a nova Lei de Licitações detalhou, no parágrafo primeiro do artigo 18º, o conteúdo mínimo que deve constar no documento chamado de estudo técnico preliminar e que passa a ser peça obrigatória nos processos licitatórios iniciados sob regência do novo ordenamento</w:t>
      </w:r>
      <w:r w:rsidR="005F6E2C">
        <w:rPr>
          <w:rFonts w:ascii="Times New Roman" w:eastAsia="Times New Roman" w:hAnsi="Times New Roman"/>
          <w:sz w:val="24"/>
          <w:szCs w:val="24"/>
          <w:lang w:eastAsia="pt-BR"/>
        </w:rPr>
        <w:t>.</w:t>
      </w:r>
    </w:p>
    <w:p w14:paraId="3DF156C7" w14:textId="6006A242" w:rsidR="003C0985" w:rsidRDefault="009829BB" w:rsidP="001860A4">
      <w:pPr>
        <w:spacing w:after="120" w:line="240" w:lineRule="auto"/>
        <w:ind w:firstLine="851"/>
        <w:jc w:val="both"/>
        <w:rPr>
          <w:rFonts w:ascii="Times New Roman" w:eastAsia="Times New Roman" w:hAnsi="Times New Roman"/>
          <w:sz w:val="24"/>
          <w:szCs w:val="24"/>
          <w:lang w:eastAsia="pt-BR"/>
        </w:rPr>
      </w:pPr>
      <w:r w:rsidRPr="0089160D">
        <w:rPr>
          <w:rFonts w:ascii="Times New Roman" w:eastAsia="Times New Roman" w:hAnsi="Times New Roman"/>
          <w:sz w:val="24"/>
          <w:szCs w:val="24"/>
          <w:lang w:eastAsia="pt-BR"/>
        </w:rPr>
        <w:t xml:space="preserve">O </w:t>
      </w:r>
      <w:r w:rsidR="0089160D">
        <w:rPr>
          <w:rFonts w:ascii="Times New Roman" w:eastAsia="Times New Roman" w:hAnsi="Times New Roman"/>
          <w:sz w:val="24"/>
          <w:szCs w:val="24"/>
          <w:lang w:eastAsia="pt-BR"/>
        </w:rPr>
        <w:t xml:space="preserve">novo diploma legal </w:t>
      </w:r>
      <w:r w:rsidRPr="0089160D">
        <w:rPr>
          <w:rFonts w:ascii="Times New Roman" w:eastAsia="Times New Roman" w:hAnsi="Times New Roman"/>
          <w:sz w:val="24"/>
          <w:szCs w:val="24"/>
          <w:lang w:eastAsia="pt-BR"/>
        </w:rPr>
        <w:t xml:space="preserve">não deixa dúvidas quanto </w:t>
      </w:r>
      <w:r w:rsidR="001540EF" w:rsidRPr="0089160D">
        <w:rPr>
          <w:rFonts w:ascii="Times New Roman" w:eastAsia="Times New Roman" w:hAnsi="Times New Roman"/>
          <w:sz w:val="24"/>
          <w:szCs w:val="24"/>
          <w:lang w:eastAsia="pt-BR"/>
        </w:rPr>
        <w:t>essencialidade do planejamento</w:t>
      </w:r>
      <w:r w:rsidR="0089160D">
        <w:rPr>
          <w:rFonts w:ascii="Times New Roman" w:eastAsia="Times New Roman" w:hAnsi="Times New Roman"/>
          <w:sz w:val="24"/>
          <w:szCs w:val="24"/>
          <w:lang w:eastAsia="pt-BR"/>
        </w:rPr>
        <w:t xml:space="preserve"> das contratações públicas, o que é inquestionável. </w:t>
      </w:r>
    </w:p>
    <w:p w14:paraId="065C61D9" w14:textId="66E907A9" w:rsidR="0089160D" w:rsidRDefault="0089160D" w:rsidP="001860A4">
      <w:pPr>
        <w:spacing w:after="120" w:line="240" w:lineRule="auto"/>
        <w:ind w:firstLine="851"/>
        <w:jc w:val="both"/>
        <w:rPr>
          <w:rFonts w:ascii="Times New Roman" w:eastAsia="Times New Roman" w:hAnsi="Times New Roman"/>
          <w:sz w:val="24"/>
          <w:szCs w:val="24"/>
          <w:lang w:eastAsia="pt-BR"/>
        </w:rPr>
      </w:pPr>
      <w:r>
        <w:rPr>
          <w:rFonts w:ascii="Times New Roman" w:eastAsia="Times New Roman" w:hAnsi="Times New Roman"/>
          <w:sz w:val="24"/>
          <w:szCs w:val="24"/>
          <w:lang w:eastAsia="pt-BR"/>
        </w:rPr>
        <w:t>Entretanto a</w:t>
      </w:r>
      <w:r w:rsidR="00796D86">
        <w:rPr>
          <w:rFonts w:ascii="Times New Roman" w:eastAsia="Times New Roman" w:hAnsi="Times New Roman"/>
          <w:sz w:val="24"/>
          <w:szCs w:val="24"/>
          <w:lang w:eastAsia="pt-BR"/>
        </w:rPr>
        <w:t xml:space="preserve"> previsão legal de estrutura de planejamento prévio à licitação não assegura o cumprimento de sua finalidade</w:t>
      </w:r>
      <w:r w:rsidR="006E27C0">
        <w:rPr>
          <w:rFonts w:ascii="Times New Roman" w:eastAsia="Times New Roman" w:hAnsi="Times New Roman"/>
          <w:sz w:val="24"/>
          <w:szCs w:val="24"/>
          <w:lang w:eastAsia="pt-BR"/>
        </w:rPr>
        <w:t>.</w:t>
      </w:r>
    </w:p>
    <w:p w14:paraId="16102525" w14:textId="4A02A064" w:rsidR="009829BB" w:rsidRPr="005A2B47" w:rsidRDefault="006E27C0" w:rsidP="001860A4">
      <w:pPr>
        <w:spacing w:after="120" w:line="240" w:lineRule="auto"/>
        <w:ind w:firstLine="851"/>
        <w:jc w:val="both"/>
        <w:rPr>
          <w:rFonts w:ascii="Times New Roman" w:eastAsia="Times New Roman" w:hAnsi="Times New Roman"/>
          <w:sz w:val="24"/>
          <w:szCs w:val="24"/>
          <w:lang w:eastAsia="pt-BR"/>
        </w:rPr>
      </w:pPr>
      <w:r>
        <w:rPr>
          <w:rFonts w:ascii="Times New Roman" w:eastAsia="Times New Roman" w:hAnsi="Times New Roman"/>
          <w:sz w:val="24"/>
          <w:szCs w:val="24"/>
          <w:lang w:eastAsia="pt-BR"/>
        </w:rPr>
        <w:t xml:space="preserve">A efetivação das políticas públicas não se dá de forma linear. Peculiaridades regionais </w:t>
      </w:r>
      <w:r w:rsidRPr="005A2B47">
        <w:rPr>
          <w:rFonts w:ascii="Times New Roman" w:eastAsia="Times New Roman" w:hAnsi="Times New Roman"/>
          <w:sz w:val="24"/>
          <w:szCs w:val="24"/>
          <w:lang w:eastAsia="pt-BR"/>
        </w:rPr>
        <w:t xml:space="preserve">devem ser analisadas em todas as etapas de execução das políticas públicas, inclusive na fase de compras dos necessários insumos, por exemplo. </w:t>
      </w:r>
    </w:p>
    <w:p w14:paraId="2B8E772B" w14:textId="6E6039C6" w:rsidR="00796D86" w:rsidRPr="005A2B47" w:rsidRDefault="00796D86" w:rsidP="001860A4">
      <w:pPr>
        <w:spacing w:after="120" w:line="240" w:lineRule="auto"/>
        <w:ind w:firstLine="851"/>
        <w:jc w:val="both"/>
        <w:rPr>
          <w:rFonts w:ascii="Times New Roman" w:hAnsi="Times New Roman"/>
          <w:sz w:val="24"/>
          <w:szCs w:val="24"/>
          <w:shd w:val="clear" w:color="auto" w:fill="FFFFFF"/>
        </w:rPr>
      </w:pPr>
      <w:proofErr w:type="spellStart"/>
      <w:r w:rsidRPr="005A2B47">
        <w:rPr>
          <w:rFonts w:ascii="Times New Roman" w:hAnsi="Times New Roman"/>
          <w:sz w:val="24"/>
          <w:szCs w:val="24"/>
          <w:shd w:val="clear" w:color="auto" w:fill="FFFFFF"/>
        </w:rPr>
        <w:t>Suxberger</w:t>
      </w:r>
      <w:proofErr w:type="spellEnd"/>
      <w:r w:rsidR="00652FBD">
        <w:rPr>
          <w:rStyle w:val="Refdenotaderodap"/>
          <w:rFonts w:ascii="Times New Roman" w:hAnsi="Times New Roman"/>
          <w:sz w:val="24"/>
          <w:szCs w:val="24"/>
          <w:shd w:val="clear" w:color="auto" w:fill="FFFFFF"/>
        </w:rPr>
        <w:footnoteReference w:id="15"/>
      </w:r>
      <w:r w:rsidRPr="005A2B47">
        <w:rPr>
          <w:rFonts w:ascii="Times New Roman" w:hAnsi="Times New Roman"/>
          <w:sz w:val="24"/>
          <w:szCs w:val="24"/>
          <w:shd w:val="clear" w:color="auto" w:fill="FFFFFF"/>
        </w:rPr>
        <w:t xml:space="preserve">, tratando da compreensão do Direito a partir das abordagens das políticas públicas, assim aborda a questão: </w:t>
      </w:r>
    </w:p>
    <w:p w14:paraId="23336D33" w14:textId="77777777" w:rsidR="00D72DF2" w:rsidRDefault="00D72DF2" w:rsidP="001860A4">
      <w:pPr>
        <w:spacing w:after="120" w:line="240" w:lineRule="auto"/>
        <w:ind w:left="2835" w:firstLine="851"/>
        <w:jc w:val="both"/>
        <w:rPr>
          <w:rFonts w:ascii="Times New Roman" w:hAnsi="Times New Roman"/>
        </w:rPr>
      </w:pPr>
    </w:p>
    <w:p w14:paraId="762D433A" w14:textId="18522A74" w:rsidR="00796D86" w:rsidRPr="005A2B47" w:rsidRDefault="00796D86" w:rsidP="001860A4">
      <w:pPr>
        <w:spacing w:after="120" w:line="240" w:lineRule="auto"/>
        <w:ind w:left="2268"/>
        <w:jc w:val="both"/>
        <w:rPr>
          <w:rFonts w:ascii="Times New Roman" w:hAnsi="Times New Roman"/>
        </w:rPr>
      </w:pPr>
      <w:r w:rsidRPr="005A2B47">
        <w:rPr>
          <w:rFonts w:ascii="Times New Roman" w:hAnsi="Times New Roman"/>
        </w:rPr>
        <w:t xml:space="preserve">O funcionamento das soluções alvitradas pelas políticas públicas não observa uma conformação de linearidade, como na dogmática jurídica, mas um juízo </w:t>
      </w:r>
      <w:r w:rsidRPr="005A2B47">
        <w:rPr>
          <w:rFonts w:ascii="Times New Roman" w:hAnsi="Times New Roman"/>
        </w:rPr>
        <w:lastRenderedPageBreak/>
        <w:t xml:space="preserve">de sistematicidade. [...] diversamente do mecanismo lógico dedutivo do pensamento dogmático, nas políticas públicas observa-se indução e dedução, numa interação dinâmica e, não raro, conflitiva. A relação das respostas dadas pelas políticas públicas não (não deve ser!) de isolacionismo, com muitas vezes acontece com a dogmática jurídica. Ao contrário: trata-se de uma relação de interação com o contexto em que delineadas as alternativas e possibilidades de abordagem e enfrentamento dos problemas públicos. Por fim, se as normas jurídicas são eminentemente </w:t>
      </w:r>
      <w:proofErr w:type="spellStart"/>
      <w:r w:rsidRPr="005A2B47">
        <w:rPr>
          <w:rFonts w:ascii="Times New Roman" w:hAnsi="Times New Roman"/>
        </w:rPr>
        <w:t>deônticas</w:t>
      </w:r>
      <w:proofErr w:type="spellEnd"/>
      <w:r w:rsidRPr="005A2B47">
        <w:rPr>
          <w:rFonts w:ascii="Times New Roman" w:hAnsi="Times New Roman"/>
        </w:rPr>
        <w:t xml:space="preserve">, nas políticas públicas a orientação é essencialmente orientada pelo pragmatismo. </w:t>
      </w:r>
    </w:p>
    <w:p w14:paraId="16CDFEDA" w14:textId="77777777" w:rsidR="00F22D02" w:rsidRDefault="00F22D02" w:rsidP="001860A4">
      <w:pPr>
        <w:spacing w:after="120" w:line="240" w:lineRule="auto"/>
        <w:ind w:firstLine="851"/>
        <w:jc w:val="both"/>
        <w:rPr>
          <w:rFonts w:ascii="Times New Roman" w:hAnsi="Times New Roman"/>
          <w:sz w:val="24"/>
          <w:szCs w:val="24"/>
          <w:shd w:val="clear" w:color="auto" w:fill="FFFFFF"/>
        </w:rPr>
      </w:pPr>
    </w:p>
    <w:p w14:paraId="5C41EB89" w14:textId="45A99BE2" w:rsidR="00796D86" w:rsidRPr="005A2B47" w:rsidRDefault="00796D86" w:rsidP="001860A4">
      <w:pPr>
        <w:spacing w:after="120" w:line="240" w:lineRule="auto"/>
        <w:ind w:firstLine="851"/>
        <w:jc w:val="both"/>
        <w:rPr>
          <w:rFonts w:ascii="Times New Roman" w:hAnsi="Times New Roman"/>
          <w:sz w:val="24"/>
          <w:szCs w:val="24"/>
          <w:shd w:val="clear" w:color="auto" w:fill="FFFFFF"/>
        </w:rPr>
      </w:pPr>
      <w:r w:rsidRPr="005A2B47">
        <w:rPr>
          <w:rFonts w:ascii="Times New Roman" w:hAnsi="Times New Roman"/>
          <w:sz w:val="24"/>
          <w:szCs w:val="24"/>
          <w:shd w:val="clear" w:color="auto" w:fill="FFFFFF"/>
        </w:rPr>
        <w:t xml:space="preserve">Por sua vez, destaca </w:t>
      </w:r>
      <w:proofErr w:type="spellStart"/>
      <w:r w:rsidRPr="005A2B47">
        <w:rPr>
          <w:rFonts w:ascii="Times New Roman" w:hAnsi="Times New Roman"/>
          <w:sz w:val="24"/>
          <w:szCs w:val="24"/>
          <w:shd w:val="clear" w:color="auto" w:fill="FFFFFF"/>
        </w:rPr>
        <w:t>Dezan</w:t>
      </w:r>
      <w:proofErr w:type="spellEnd"/>
      <w:r w:rsidR="00652FBD">
        <w:rPr>
          <w:rStyle w:val="Refdenotaderodap"/>
          <w:rFonts w:ascii="Times New Roman" w:hAnsi="Times New Roman"/>
          <w:sz w:val="24"/>
          <w:szCs w:val="24"/>
          <w:shd w:val="clear" w:color="auto" w:fill="FFFFFF"/>
        </w:rPr>
        <w:footnoteReference w:id="16"/>
      </w:r>
      <w:r w:rsidR="00652FBD">
        <w:rPr>
          <w:rFonts w:ascii="Times New Roman" w:hAnsi="Times New Roman"/>
          <w:sz w:val="24"/>
          <w:szCs w:val="24"/>
          <w:shd w:val="clear" w:color="auto" w:fill="FFFFFF"/>
        </w:rPr>
        <w:t>:</w:t>
      </w:r>
    </w:p>
    <w:p w14:paraId="5CCDB11B" w14:textId="6EEFED6D" w:rsidR="00796D86" w:rsidRPr="005A2B47" w:rsidRDefault="00796D86" w:rsidP="001860A4">
      <w:pPr>
        <w:spacing w:after="120" w:line="240" w:lineRule="auto"/>
        <w:ind w:left="2268"/>
        <w:jc w:val="both"/>
        <w:rPr>
          <w:rFonts w:ascii="Times New Roman" w:hAnsi="Times New Roman"/>
        </w:rPr>
      </w:pPr>
      <w:r w:rsidRPr="005A2B47">
        <w:rPr>
          <w:rFonts w:ascii="Times New Roman" w:hAnsi="Times New Roman"/>
        </w:rPr>
        <w:t xml:space="preserve">O exame de valores axiomáticos e, assim, </w:t>
      </w:r>
      <w:proofErr w:type="spellStart"/>
      <w:r w:rsidRPr="005A2B47">
        <w:rPr>
          <w:rFonts w:ascii="Times New Roman" w:hAnsi="Times New Roman"/>
        </w:rPr>
        <w:t>deônticos</w:t>
      </w:r>
      <w:proofErr w:type="spellEnd"/>
      <w:r w:rsidRPr="005A2B47">
        <w:rPr>
          <w:rFonts w:ascii="Times New Roman" w:hAnsi="Times New Roman"/>
        </w:rPr>
        <w:t>, ou seja, jurídico-axiomáticos, leva a algo mais: propicia encarar o Direito à luz dos fatos e não os fatos à luz do Direito; e quero com isso dizer que o mundo do “</w:t>
      </w:r>
      <w:proofErr w:type="spellStart"/>
      <w:r w:rsidRPr="005A2B47">
        <w:rPr>
          <w:rFonts w:ascii="Times New Roman" w:hAnsi="Times New Roman"/>
        </w:rPr>
        <w:t>dever-ser</w:t>
      </w:r>
      <w:proofErr w:type="spellEnd"/>
      <w:r w:rsidRPr="005A2B47">
        <w:rPr>
          <w:rFonts w:ascii="Times New Roman" w:hAnsi="Times New Roman"/>
        </w:rPr>
        <w:t xml:space="preserve">” – por óbvio – deve respeitar as limitações impostas pelo mundo do “ser”. </w:t>
      </w:r>
    </w:p>
    <w:p w14:paraId="35D240E8" w14:textId="77777777" w:rsidR="00F22D02" w:rsidRDefault="00F22D02" w:rsidP="001860A4">
      <w:pPr>
        <w:spacing w:after="120" w:line="240" w:lineRule="auto"/>
        <w:ind w:firstLine="851"/>
        <w:jc w:val="both"/>
        <w:rPr>
          <w:rFonts w:ascii="Times New Roman" w:eastAsia="Times New Roman" w:hAnsi="Times New Roman"/>
          <w:sz w:val="24"/>
          <w:szCs w:val="24"/>
          <w:lang w:eastAsia="pt-BR"/>
        </w:rPr>
      </w:pPr>
    </w:p>
    <w:p w14:paraId="51426054" w14:textId="77B6AB30" w:rsidR="002A1FEC" w:rsidRDefault="00342328" w:rsidP="001860A4">
      <w:pPr>
        <w:spacing w:after="120" w:line="240" w:lineRule="auto"/>
        <w:ind w:firstLine="851"/>
        <w:jc w:val="both"/>
        <w:rPr>
          <w:rFonts w:ascii="Times New Roman" w:eastAsia="Times New Roman" w:hAnsi="Times New Roman"/>
          <w:sz w:val="24"/>
          <w:szCs w:val="24"/>
          <w:lang w:eastAsia="pt-BR"/>
        </w:rPr>
      </w:pPr>
      <w:r>
        <w:rPr>
          <w:rFonts w:ascii="Times New Roman" w:eastAsia="Times New Roman" w:hAnsi="Times New Roman"/>
          <w:sz w:val="24"/>
          <w:szCs w:val="24"/>
          <w:lang w:eastAsia="pt-BR"/>
        </w:rPr>
        <w:t>A imensidão territorial do Brasil, aliada às especificidades do sistema federativo estabelecidas na Constituição Federal, torna difícil a tarefa de se elaborar boas leis nacionais. O Congresso Nacional, ao legislar, sobre relevantes temas nacionais, por vezes, se valem de consultores técnicos, de juristas renomados</w:t>
      </w:r>
      <w:r w:rsidR="009C05D4">
        <w:rPr>
          <w:rFonts w:ascii="Times New Roman" w:eastAsia="Times New Roman" w:hAnsi="Times New Roman"/>
          <w:sz w:val="24"/>
          <w:szCs w:val="24"/>
          <w:lang w:eastAsia="pt-BR"/>
        </w:rPr>
        <w:t xml:space="preserve">, a procura de excelência. </w:t>
      </w:r>
    </w:p>
    <w:p w14:paraId="16E9ECB6" w14:textId="60AEF16E" w:rsidR="002A1FEC" w:rsidRDefault="009C05D4" w:rsidP="001860A4">
      <w:pPr>
        <w:spacing w:after="120" w:line="240" w:lineRule="auto"/>
        <w:ind w:firstLine="851"/>
        <w:jc w:val="both"/>
        <w:rPr>
          <w:rFonts w:ascii="Times New Roman" w:eastAsia="Times New Roman" w:hAnsi="Times New Roman"/>
          <w:sz w:val="24"/>
          <w:szCs w:val="24"/>
          <w:lang w:eastAsia="pt-BR"/>
        </w:rPr>
      </w:pPr>
      <w:r>
        <w:rPr>
          <w:rFonts w:ascii="Times New Roman" w:eastAsia="Times New Roman" w:hAnsi="Times New Roman"/>
          <w:sz w:val="24"/>
          <w:szCs w:val="24"/>
          <w:lang w:eastAsia="pt-BR"/>
        </w:rPr>
        <w:t>Seria natural que as disciplinas legais decorrentes de estudos técnicos</w:t>
      </w:r>
      <w:r w:rsidR="002A1FEC">
        <w:rPr>
          <w:rFonts w:ascii="Times New Roman" w:eastAsia="Times New Roman" w:hAnsi="Times New Roman"/>
          <w:sz w:val="24"/>
          <w:szCs w:val="24"/>
          <w:lang w:eastAsia="pt-BR"/>
        </w:rPr>
        <w:t xml:space="preserve"> fossem</w:t>
      </w:r>
      <w:r>
        <w:rPr>
          <w:rFonts w:ascii="Times New Roman" w:eastAsia="Times New Roman" w:hAnsi="Times New Roman"/>
          <w:sz w:val="24"/>
          <w:szCs w:val="24"/>
          <w:lang w:eastAsia="pt-BR"/>
        </w:rPr>
        <w:t xml:space="preserve"> precisas</w:t>
      </w:r>
      <w:r w:rsidR="002A1FEC">
        <w:rPr>
          <w:rFonts w:ascii="Times New Roman" w:eastAsia="Times New Roman" w:hAnsi="Times New Roman"/>
          <w:sz w:val="24"/>
          <w:szCs w:val="24"/>
          <w:lang w:eastAsia="pt-BR"/>
        </w:rPr>
        <w:t xml:space="preserve"> no atendimento dos objetivos a que se destinam. Por muitas vezes, essa é a realidade. Textos legais bem elaborados, com </w:t>
      </w:r>
      <w:r w:rsidR="004B0E91">
        <w:rPr>
          <w:rFonts w:ascii="Times New Roman" w:eastAsia="Times New Roman" w:hAnsi="Times New Roman"/>
          <w:sz w:val="24"/>
          <w:szCs w:val="24"/>
          <w:lang w:eastAsia="pt-BR"/>
        </w:rPr>
        <w:t>raríssima</w:t>
      </w:r>
      <w:r w:rsidR="002A1FEC">
        <w:rPr>
          <w:rFonts w:ascii="Times New Roman" w:eastAsia="Times New Roman" w:hAnsi="Times New Roman"/>
          <w:sz w:val="24"/>
          <w:szCs w:val="24"/>
          <w:lang w:eastAsia="pt-BR"/>
        </w:rPr>
        <w:t>s dubiedades.</w:t>
      </w:r>
    </w:p>
    <w:p w14:paraId="3FDE2766" w14:textId="17FB2589" w:rsidR="0059315C" w:rsidRDefault="002A1FEC" w:rsidP="001860A4">
      <w:pPr>
        <w:spacing w:after="120" w:line="240" w:lineRule="auto"/>
        <w:ind w:firstLine="851"/>
        <w:jc w:val="both"/>
        <w:rPr>
          <w:rFonts w:ascii="Times New Roman" w:eastAsia="Times New Roman" w:hAnsi="Times New Roman"/>
          <w:sz w:val="24"/>
          <w:szCs w:val="24"/>
          <w:lang w:eastAsia="pt-BR"/>
        </w:rPr>
      </w:pPr>
      <w:r>
        <w:rPr>
          <w:rFonts w:ascii="Times New Roman" w:eastAsia="Times New Roman" w:hAnsi="Times New Roman"/>
          <w:sz w:val="24"/>
          <w:szCs w:val="24"/>
          <w:lang w:eastAsia="pt-BR"/>
        </w:rPr>
        <w:t>Porém, não é rara a identificação de leis magnificas</w:t>
      </w:r>
      <w:r w:rsidR="0059315C">
        <w:rPr>
          <w:rFonts w:ascii="Times New Roman" w:eastAsia="Times New Roman" w:hAnsi="Times New Roman"/>
          <w:sz w:val="24"/>
          <w:szCs w:val="24"/>
          <w:lang w:eastAsia="pt-BR"/>
        </w:rPr>
        <w:t xml:space="preserve"> em termos de técnica legislativa</w:t>
      </w:r>
      <w:r>
        <w:rPr>
          <w:rFonts w:ascii="Times New Roman" w:eastAsia="Times New Roman" w:hAnsi="Times New Roman"/>
          <w:sz w:val="24"/>
          <w:szCs w:val="24"/>
          <w:lang w:eastAsia="pt-BR"/>
        </w:rPr>
        <w:t>, propositivas, que representam esperança e alento de melhoria para a sociedade, que, simplesmente, não se tornam plenamente efetivas.</w:t>
      </w:r>
    </w:p>
    <w:p w14:paraId="18DBB012" w14:textId="77777777" w:rsidR="00DB65DF" w:rsidRDefault="00DB65DF" w:rsidP="003F4F52">
      <w:pPr>
        <w:spacing w:after="0" w:line="240" w:lineRule="auto"/>
        <w:ind w:firstLine="1560"/>
        <w:jc w:val="both"/>
        <w:rPr>
          <w:rFonts w:ascii="Times New Roman" w:eastAsia="Times New Roman" w:hAnsi="Times New Roman"/>
          <w:sz w:val="24"/>
          <w:szCs w:val="24"/>
          <w:lang w:eastAsia="pt-BR"/>
        </w:rPr>
      </w:pPr>
    </w:p>
    <w:p w14:paraId="01831016" w14:textId="22F6B20C" w:rsidR="0059315C" w:rsidRPr="00640068" w:rsidRDefault="0059315C" w:rsidP="003F4F52">
      <w:pPr>
        <w:pStyle w:val="PargrafodaLista"/>
        <w:numPr>
          <w:ilvl w:val="0"/>
          <w:numId w:val="5"/>
        </w:numPr>
        <w:tabs>
          <w:tab w:val="left" w:pos="284"/>
        </w:tabs>
        <w:spacing w:after="0" w:line="240" w:lineRule="auto"/>
        <w:ind w:left="0" w:firstLine="0"/>
        <w:jc w:val="both"/>
        <w:rPr>
          <w:rFonts w:ascii="Times New Roman" w:eastAsia="Times New Roman" w:hAnsi="Times New Roman"/>
          <w:b/>
          <w:bCs/>
          <w:sz w:val="24"/>
          <w:szCs w:val="24"/>
          <w:lang w:eastAsia="pt-BR"/>
        </w:rPr>
      </w:pPr>
      <w:r w:rsidRPr="00640068">
        <w:rPr>
          <w:rFonts w:ascii="Times New Roman" w:eastAsia="Times New Roman" w:hAnsi="Times New Roman"/>
          <w:b/>
          <w:bCs/>
          <w:sz w:val="24"/>
          <w:szCs w:val="24"/>
          <w:lang w:eastAsia="pt-BR"/>
        </w:rPr>
        <w:t>OS PEQUENOS MUNICIPIOS</w:t>
      </w:r>
      <w:r w:rsidR="005F6E2C">
        <w:rPr>
          <w:rFonts w:ascii="Times New Roman" w:eastAsia="Times New Roman" w:hAnsi="Times New Roman"/>
          <w:b/>
          <w:bCs/>
          <w:sz w:val="24"/>
          <w:szCs w:val="24"/>
          <w:lang w:eastAsia="pt-BR"/>
        </w:rPr>
        <w:t xml:space="preserve"> NA NOVA LEI DE LICITAÇÕES</w:t>
      </w:r>
    </w:p>
    <w:p w14:paraId="3A03A31E" w14:textId="77777777" w:rsidR="00F373C2" w:rsidRDefault="00F373C2" w:rsidP="003F4F52">
      <w:pPr>
        <w:spacing w:after="0" w:line="240" w:lineRule="auto"/>
        <w:ind w:firstLine="1560"/>
        <w:jc w:val="both"/>
        <w:rPr>
          <w:rFonts w:ascii="Times New Roman" w:eastAsia="Times New Roman" w:hAnsi="Times New Roman"/>
          <w:sz w:val="24"/>
          <w:szCs w:val="24"/>
          <w:lang w:eastAsia="pt-BR"/>
        </w:rPr>
      </w:pPr>
    </w:p>
    <w:p w14:paraId="0CBDFD6D" w14:textId="6E97361B" w:rsidR="002A1FEC" w:rsidRDefault="0059315C" w:rsidP="001860A4">
      <w:pPr>
        <w:spacing w:after="120" w:line="240" w:lineRule="auto"/>
        <w:ind w:firstLine="851"/>
        <w:jc w:val="both"/>
        <w:rPr>
          <w:rFonts w:ascii="Times New Roman" w:eastAsia="Times New Roman" w:hAnsi="Times New Roman"/>
          <w:sz w:val="24"/>
          <w:szCs w:val="24"/>
          <w:lang w:eastAsia="pt-BR"/>
        </w:rPr>
      </w:pPr>
      <w:r>
        <w:rPr>
          <w:rFonts w:ascii="Times New Roman" w:eastAsia="Times New Roman" w:hAnsi="Times New Roman"/>
          <w:sz w:val="24"/>
          <w:szCs w:val="24"/>
          <w:lang w:eastAsia="pt-BR"/>
        </w:rPr>
        <w:t>E</w:t>
      </w:r>
      <w:r w:rsidR="002A1FEC">
        <w:rPr>
          <w:rFonts w:ascii="Times New Roman" w:eastAsia="Times New Roman" w:hAnsi="Times New Roman"/>
          <w:sz w:val="24"/>
          <w:szCs w:val="24"/>
          <w:lang w:eastAsia="pt-BR"/>
        </w:rPr>
        <w:t xml:space="preserve">m se tratando de leis nacionais, que trazem regras válidas para todos os entes da federação, o principal problema </w:t>
      </w:r>
      <w:r>
        <w:rPr>
          <w:rFonts w:ascii="Times New Roman" w:eastAsia="Times New Roman" w:hAnsi="Times New Roman"/>
          <w:sz w:val="24"/>
          <w:szCs w:val="24"/>
          <w:lang w:eastAsia="pt-BR"/>
        </w:rPr>
        <w:t xml:space="preserve">talvez </w:t>
      </w:r>
      <w:r w:rsidR="002A1FEC">
        <w:rPr>
          <w:rFonts w:ascii="Times New Roman" w:eastAsia="Times New Roman" w:hAnsi="Times New Roman"/>
          <w:sz w:val="24"/>
          <w:szCs w:val="24"/>
          <w:lang w:eastAsia="pt-BR"/>
        </w:rPr>
        <w:t xml:space="preserve">seja desconsiderar </w:t>
      </w:r>
      <w:r w:rsidR="001B0C1D">
        <w:rPr>
          <w:rFonts w:ascii="Times New Roman" w:eastAsia="Times New Roman" w:hAnsi="Times New Roman"/>
          <w:sz w:val="24"/>
          <w:szCs w:val="24"/>
          <w:lang w:eastAsia="pt-BR"/>
        </w:rPr>
        <w:t xml:space="preserve">as múltiplas realidades que sofrerão as imposições da norma. </w:t>
      </w:r>
    </w:p>
    <w:p w14:paraId="248D37AA" w14:textId="77777777" w:rsidR="003D273C" w:rsidRDefault="003D273C" w:rsidP="001860A4">
      <w:pPr>
        <w:spacing w:after="120" w:line="240" w:lineRule="auto"/>
        <w:ind w:firstLine="851"/>
        <w:jc w:val="both"/>
        <w:rPr>
          <w:rFonts w:ascii="Times New Roman" w:eastAsia="Times New Roman" w:hAnsi="Times New Roman"/>
          <w:sz w:val="24"/>
          <w:szCs w:val="24"/>
          <w:lang w:eastAsia="pt-BR"/>
        </w:rPr>
      </w:pPr>
      <w:r>
        <w:rPr>
          <w:rFonts w:ascii="Times New Roman" w:eastAsia="Times New Roman" w:hAnsi="Times New Roman"/>
          <w:sz w:val="24"/>
          <w:szCs w:val="24"/>
          <w:lang w:eastAsia="pt-BR"/>
        </w:rPr>
        <w:t>No caso da</w:t>
      </w:r>
      <w:r w:rsidR="001B0C1D">
        <w:rPr>
          <w:rFonts w:ascii="Times New Roman" w:eastAsia="Times New Roman" w:hAnsi="Times New Roman"/>
          <w:sz w:val="24"/>
          <w:szCs w:val="24"/>
          <w:lang w:eastAsia="pt-BR"/>
        </w:rPr>
        <w:t xml:space="preserve"> nova Lei Nacional de Licitações</w:t>
      </w:r>
      <w:r>
        <w:rPr>
          <w:rFonts w:ascii="Times New Roman" w:eastAsia="Times New Roman" w:hAnsi="Times New Roman"/>
          <w:sz w:val="24"/>
          <w:szCs w:val="24"/>
          <w:lang w:eastAsia="pt-BR"/>
        </w:rPr>
        <w:t>, por exemplo, a realidade vivenciada pelo governo federal está sendo imposta a todos os entes da federação.</w:t>
      </w:r>
    </w:p>
    <w:p w14:paraId="0CEBEF9F" w14:textId="537CB495" w:rsidR="003D273C" w:rsidRDefault="004315D2" w:rsidP="001860A4">
      <w:pPr>
        <w:spacing w:after="120" w:line="240" w:lineRule="auto"/>
        <w:ind w:firstLine="851"/>
        <w:jc w:val="both"/>
        <w:rPr>
          <w:rFonts w:ascii="Times New Roman" w:eastAsia="Times New Roman" w:hAnsi="Times New Roman"/>
          <w:sz w:val="24"/>
          <w:szCs w:val="24"/>
          <w:lang w:eastAsia="pt-BR"/>
        </w:rPr>
      </w:pPr>
      <w:r>
        <w:rPr>
          <w:rFonts w:ascii="Times New Roman" w:eastAsia="Times New Roman" w:hAnsi="Times New Roman"/>
          <w:sz w:val="24"/>
          <w:szCs w:val="24"/>
          <w:lang w:eastAsia="pt-BR"/>
        </w:rPr>
        <w:t>T</w:t>
      </w:r>
      <w:r w:rsidR="003D273C">
        <w:rPr>
          <w:rFonts w:ascii="Times New Roman" w:eastAsia="Times New Roman" w:hAnsi="Times New Roman"/>
          <w:sz w:val="24"/>
          <w:szCs w:val="24"/>
          <w:lang w:eastAsia="pt-BR"/>
        </w:rPr>
        <w:t>em-se a impressão de que não foi feito</w:t>
      </w:r>
      <w:r w:rsidR="0059315C">
        <w:rPr>
          <w:rFonts w:ascii="Times New Roman" w:eastAsia="Times New Roman" w:hAnsi="Times New Roman"/>
          <w:sz w:val="24"/>
          <w:szCs w:val="24"/>
          <w:lang w:eastAsia="pt-BR"/>
        </w:rPr>
        <w:t xml:space="preserve"> abrangente</w:t>
      </w:r>
      <w:r w:rsidR="003D273C">
        <w:rPr>
          <w:rFonts w:ascii="Times New Roman" w:eastAsia="Times New Roman" w:hAnsi="Times New Roman"/>
          <w:sz w:val="24"/>
          <w:szCs w:val="24"/>
          <w:lang w:eastAsia="pt-BR"/>
        </w:rPr>
        <w:t xml:space="preserve"> estudo técnico preliminar </w:t>
      </w:r>
      <w:r w:rsidR="0059315C">
        <w:rPr>
          <w:rFonts w:ascii="Times New Roman" w:eastAsia="Times New Roman" w:hAnsi="Times New Roman"/>
          <w:sz w:val="24"/>
          <w:szCs w:val="24"/>
          <w:lang w:eastAsia="pt-BR"/>
        </w:rPr>
        <w:t>indicando</w:t>
      </w:r>
      <w:r w:rsidR="003D273C">
        <w:rPr>
          <w:rFonts w:ascii="Times New Roman" w:eastAsia="Times New Roman" w:hAnsi="Times New Roman"/>
          <w:sz w:val="24"/>
          <w:szCs w:val="24"/>
          <w:lang w:eastAsia="pt-BR"/>
        </w:rPr>
        <w:t xml:space="preserve"> </w:t>
      </w:r>
      <w:r w:rsidR="0059315C">
        <w:rPr>
          <w:rFonts w:ascii="Times New Roman" w:eastAsia="Times New Roman" w:hAnsi="Times New Roman"/>
          <w:sz w:val="24"/>
          <w:szCs w:val="24"/>
          <w:lang w:eastAsia="pt-BR"/>
        </w:rPr>
        <w:t>como</w:t>
      </w:r>
      <w:r w:rsidR="003D273C">
        <w:rPr>
          <w:rFonts w:ascii="Times New Roman" w:eastAsia="Times New Roman" w:hAnsi="Times New Roman"/>
          <w:sz w:val="24"/>
          <w:szCs w:val="24"/>
          <w:lang w:eastAsia="pt-BR"/>
        </w:rPr>
        <w:t xml:space="preserve"> os mecanismos burocráticos formais apresentados possam ser assimilados, a contento, por todas as administrações municipais</w:t>
      </w:r>
      <w:r w:rsidR="0059315C">
        <w:rPr>
          <w:rFonts w:ascii="Times New Roman" w:eastAsia="Times New Roman" w:hAnsi="Times New Roman"/>
          <w:sz w:val="24"/>
          <w:szCs w:val="24"/>
          <w:lang w:eastAsia="pt-BR"/>
        </w:rPr>
        <w:t>.</w:t>
      </w:r>
    </w:p>
    <w:p w14:paraId="1FDE721B" w14:textId="45D7C025" w:rsidR="002B47FF" w:rsidRDefault="00BA61C7" w:rsidP="001860A4">
      <w:pPr>
        <w:spacing w:after="120" w:line="240" w:lineRule="auto"/>
        <w:ind w:firstLine="851"/>
        <w:jc w:val="both"/>
        <w:rPr>
          <w:rFonts w:ascii="Times New Roman" w:eastAsia="Times New Roman" w:hAnsi="Times New Roman"/>
          <w:sz w:val="24"/>
          <w:szCs w:val="24"/>
          <w:lang w:eastAsia="pt-BR"/>
        </w:rPr>
      </w:pPr>
      <w:r w:rsidRPr="0089160D">
        <w:rPr>
          <w:rFonts w:ascii="Times New Roman" w:eastAsia="Times New Roman" w:hAnsi="Times New Roman"/>
          <w:sz w:val="24"/>
          <w:szCs w:val="24"/>
          <w:lang w:eastAsia="pt-BR"/>
        </w:rPr>
        <w:t>Vale lembrar que, em 20</w:t>
      </w:r>
      <w:r w:rsidR="00237FCD">
        <w:rPr>
          <w:rFonts w:ascii="Times New Roman" w:eastAsia="Times New Roman" w:hAnsi="Times New Roman"/>
          <w:sz w:val="24"/>
          <w:szCs w:val="24"/>
          <w:lang w:eastAsia="pt-BR"/>
        </w:rPr>
        <w:t>19</w:t>
      </w:r>
      <w:r w:rsidRPr="0089160D">
        <w:rPr>
          <w:rFonts w:ascii="Times New Roman" w:eastAsia="Times New Roman" w:hAnsi="Times New Roman"/>
          <w:sz w:val="24"/>
          <w:szCs w:val="24"/>
          <w:lang w:eastAsia="pt-BR"/>
        </w:rPr>
        <w:t xml:space="preserve">, </w:t>
      </w:r>
      <w:r w:rsidR="004911EA">
        <w:rPr>
          <w:rFonts w:ascii="Times New Roman" w:eastAsia="Times New Roman" w:hAnsi="Times New Roman"/>
          <w:sz w:val="24"/>
          <w:szCs w:val="24"/>
          <w:lang w:eastAsia="pt-BR"/>
        </w:rPr>
        <w:t xml:space="preserve">segundo dados do IBGE, </w:t>
      </w:r>
      <w:r w:rsidRPr="0089160D">
        <w:rPr>
          <w:rFonts w:ascii="Times New Roman" w:eastAsia="Times New Roman" w:hAnsi="Times New Roman"/>
          <w:sz w:val="24"/>
          <w:szCs w:val="24"/>
          <w:lang w:eastAsia="pt-BR"/>
        </w:rPr>
        <w:t xml:space="preserve">dentre os 5.570 </w:t>
      </w:r>
      <w:r w:rsidR="00237FCD">
        <w:rPr>
          <w:rFonts w:ascii="Times New Roman" w:eastAsia="Times New Roman" w:hAnsi="Times New Roman"/>
          <w:sz w:val="24"/>
          <w:szCs w:val="24"/>
          <w:lang w:eastAsia="pt-BR"/>
        </w:rPr>
        <w:t>municípios brasileiros</w:t>
      </w:r>
      <w:r w:rsidRPr="0089160D">
        <w:rPr>
          <w:rFonts w:ascii="Times New Roman" w:eastAsia="Times New Roman" w:hAnsi="Times New Roman"/>
          <w:sz w:val="24"/>
          <w:szCs w:val="24"/>
          <w:lang w:eastAsia="pt-BR"/>
        </w:rPr>
        <w:t xml:space="preserve">, </w:t>
      </w:r>
      <w:r w:rsidR="00237FCD" w:rsidRPr="0089160D">
        <w:rPr>
          <w:rFonts w:ascii="Times New Roman" w:eastAsia="Times New Roman" w:hAnsi="Times New Roman"/>
          <w:sz w:val="24"/>
          <w:szCs w:val="24"/>
          <w:lang w:eastAsia="pt-BR"/>
        </w:rPr>
        <w:t>5.24</w:t>
      </w:r>
      <w:r w:rsidR="00237FCD">
        <w:rPr>
          <w:rFonts w:ascii="Times New Roman" w:eastAsia="Times New Roman" w:hAnsi="Times New Roman"/>
          <w:sz w:val="24"/>
          <w:szCs w:val="24"/>
          <w:lang w:eastAsia="pt-BR"/>
        </w:rPr>
        <w:t xml:space="preserve">6 </w:t>
      </w:r>
      <w:r w:rsidRPr="0089160D">
        <w:rPr>
          <w:rFonts w:ascii="Times New Roman" w:eastAsia="Times New Roman" w:hAnsi="Times New Roman"/>
          <w:sz w:val="24"/>
          <w:szCs w:val="24"/>
          <w:lang w:eastAsia="pt-BR"/>
        </w:rPr>
        <w:t xml:space="preserve">tinham população </w:t>
      </w:r>
      <w:r w:rsidR="00237FCD">
        <w:rPr>
          <w:rFonts w:ascii="Times New Roman" w:eastAsia="Times New Roman" w:hAnsi="Times New Roman"/>
          <w:sz w:val="24"/>
          <w:szCs w:val="24"/>
          <w:lang w:eastAsia="pt-BR"/>
        </w:rPr>
        <w:t>de até</w:t>
      </w:r>
      <w:r w:rsidRPr="0089160D">
        <w:rPr>
          <w:rFonts w:ascii="Times New Roman" w:eastAsia="Times New Roman" w:hAnsi="Times New Roman"/>
          <w:sz w:val="24"/>
          <w:szCs w:val="24"/>
          <w:lang w:eastAsia="pt-BR"/>
        </w:rPr>
        <w:t xml:space="preserve"> 100.000 habitantes</w:t>
      </w:r>
      <w:r w:rsidR="00237FCD">
        <w:rPr>
          <w:rFonts w:ascii="Times New Roman" w:eastAsia="Times New Roman" w:hAnsi="Times New Roman"/>
          <w:sz w:val="24"/>
          <w:szCs w:val="24"/>
          <w:lang w:eastAsia="pt-BR"/>
        </w:rPr>
        <w:t xml:space="preserve"> e 2.452 com até 10.000 habitantes</w:t>
      </w:r>
      <w:r w:rsidRPr="0089160D">
        <w:rPr>
          <w:rFonts w:ascii="Times New Roman" w:eastAsia="Times New Roman" w:hAnsi="Times New Roman"/>
          <w:sz w:val="24"/>
          <w:szCs w:val="24"/>
          <w:lang w:eastAsia="pt-BR"/>
        </w:rPr>
        <w:t>.</w:t>
      </w:r>
      <w:r w:rsidR="002B47FF">
        <w:rPr>
          <w:rFonts w:ascii="Times New Roman" w:eastAsia="Times New Roman" w:hAnsi="Times New Roman"/>
          <w:sz w:val="24"/>
          <w:szCs w:val="24"/>
          <w:lang w:eastAsia="pt-BR"/>
        </w:rPr>
        <w:t xml:space="preserve"> Em muitos destes municípios, a estrutura administrativa é extremamente reduzida. Em alguns não há sequer profissionais da área de contabilidade, do direito ou da engenharia integralmente dedicados à Administração. Em outros, há grande dificuldade de se encontrar fornecedores, aptos a contratar com a Administração Pública.</w:t>
      </w:r>
    </w:p>
    <w:p w14:paraId="0566AFFB" w14:textId="70C8FCC0" w:rsidR="00237FCD" w:rsidRDefault="00237FCD" w:rsidP="001860A4">
      <w:pPr>
        <w:spacing w:after="120" w:line="240" w:lineRule="auto"/>
        <w:ind w:firstLine="851"/>
        <w:jc w:val="both"/>
        <w:rPr>
          <w:rFonts w:ascii="Times New Roman" w:eastAsia="Times New Roman" w:hAnsi="Times New Roman"/>
          <w:sz w:val="24"/>
          <w:szCs w:val="24"/>
          <w:lang w:eastAsia="pt-BR"/>
        </w:rPr>
      </w:pPr>
      <w:r>
        <w:rPr>
          <w:rFonts w:ascii="Times New Roman" w:eastAsia="Times New Roman" w:hAnsi="Times New Roman"/>
          <w:sz w:val="24"/>
          <w:szCs w:val="24"/>
          <w:lang w:eastAsia="pt-BR"/>
        </w:rPr>
        <w:lastRenderedPageBreak/>
        <w:t>Levantamento feito junto aos portais de transparência dos municípios</w:t>
      </w:r>
      <w:r w:rsidR="004911EA">
        <w:rPr>
          <w:rFonts w:ascii="Times New Roman" w:eastAsia="Times New Roman" w:hAnsi="Times New Roman"/>
          <w:sz w:val="24"/>
          <w:szCs w:val="24"/>
          <w:lang w:eastAsia="pt-BR"/>
        </w:rPr>
        <w:t>, com população inferior a 10.000 habitantes,</w:t>
      </w:r>
      <w:r>
        <w:rPr>
          <w:rFonts w:ascii="Times New Roman" w:eastAsia="Times New Roman" w:hAnsi="Times New Roman"/>
          <w:sz w:val="24"/>
          <w:szCs w:val="24"/>
          <w:lang w:eastAsia="pt-BR"/>
        </w:rPr>
        <w:t xml:space="preserve"> que compõem a AMVAP – Associação dos Municípios da Micro</w:t>
      </w:r>
      <w:r w:rsidR="004911EA">
        <w:rPr>
          <w:rFonts w:ascii="Times New Roman" w:eastAsia="Times New Roman" w:hAnsi="Times New Roman"/>
          <w:sz w:val="24"/>
          <w:szCs w:val="24"/>
          <w:lang w:eastAsia="pt-BR"/>
        </w:rPr>
        <w:t>r</w:t>
      </w:r>
      <w:r>
        <w:rPr>
          <w:rFonts w:ascii="Times New Roman" w:eastAsia="Times New Roman" w:hAnsi="Times New Roman"/>
          <w:sz w:val="24"/>
          <w:szCs w:val="24"/>
          <w:lang w:eastAsia="pt-BR"/>
        </w:rPr>
        <w:t>região do Vale do Paranaíba</w:t>
      </w:r>
      <w:r>
        <w:rPr>
          <w:rStyle w:val="Refdenotaderodap"/>
          <w:rFonts w:ascii="Times New Roman" w:eastAsia="Times New Roman" w:hAnsi="Times New Roman"/>
          <w:sz w:val="24"/>
          <w:szCs w:val="24"/>
          <w:lang w:eastAsia="pt-BR"/>
        </w:rPr>
        <w:footnoteReference w:id="17"/>
      </w:r>
      <w:r>
        <w:rPr>
          <w:rFonts w:ascii="Times New Roman" w:eastAsia="Times New Roman" w:hAnsi="Times New Roman"/>
          <w:sz w:val="24"/>
          <w:szCs w:val="24"/>
          <w:lang w:eastAsia="pt-BR"/>
        </w:rPr>
        <w:t xml:space="preserve">, </w:t>
      </w:r>
      <w:r w:rsidR="004911EA">
        <w:rPr>
          <w:rFonts w:ascii="Times New Roman" w:eastAsia="Times New Roman" w:hAnsi="Times New Roman"/>
          <w:sz w:val="24"/>
          <w:szCs w:val="24"/>
          <w:lang w:eastAsia="pt-BR"/>
        </w:rPr>
        <w:t xml:space="preserve">identifica que apenas dois municípios, dentre </w:t>
      </w:r>
      <w:r w:rsidR="004A7120">
        <w:rPr>
          <w:rFonts w:ascii="Times New Roman" w:eastAsia="Times New Roman" w:hAnsi="Times New Roman"/>
          <w:sz w:val="24"/>
          <w:szCs w:val="24"/>
          <w:lang w:eastAsia="pt-BR"/>
        </w:rPr>
        <w:t>doze</w:t>
      </w:r>
      <w:r w:rsidR="004911EA">
        <w:rPr>
          <w:rFonts w:ascii="Times New Roman" w:eastAsia="Times New Roman" w:hAnsi="Times New Roman"/>
          <w:sz w:val="24"/>
          <w:szCs w:val="24"/>
          <w:lang w:eastAsia="pt-BR"/>
        </w:rPr>
        <w:t xml:space="preserve"> analisados, têm em seu quadro de servidores efetivos profissional da área de contabilidade de nível superior. Nenhum dos </w:t>
      </w:r>
      <w:r w:rsidR="004A7120">
        <w:rPr>
          <w:rFonts w:ascii="Times New Roman" w:eastAsia="Times New Roman" w:hAnsi="Times New Roman"/>
          <w:sz w:val="24"/>
          <w:szCs w:val="24"/>
          <w:lang w:eastAsia="pt-BR"/>
        </w:rPr>
        <w:t>doze</w:t>
      </w:r>
      <w:r w:rsidR="004911EA">
        <w:rPr>
          <w:rFonts w:ascii="Times New Roman" w:eastAsia="Times New Roman" w:hAnsi="Times New Roman"/>
          <w:sz w:val="24"/>
          <w:szCs w:val="24"/>
          <w:lang w:eastAsia="pt-BR"/>
        </w:rPr>
        <w:t xml:space="preserve"> municípios tem engenheiros ou advogados em seus quadros efetivos. A maioria conta com prestadores de serviços para atendimento das diversas demandas.</w:t>
      </w:r>
    </w:p>
    <w:p w14:paraId="08D08504" w14:textId="4950F433" w:rsidR="004911EA" w:rsidRDefault="004911EA" w:rsidP="001860A4">
      <w:pPr>
        <w:spacing w:after="120" w:line="240" w:lineRule="auto"/>
        <w:ind w:firstLine="851"/>
        <w:jc w:val="both"/>
        <w:rPr>
          <w:rFonts w:ascii="Times New Roman" w:eastAsia="Times New Roman" w:hAnsi="Times New Roman"/>
          <w:sz w:val="24"/>
          <w:szCs w:val="24"/>
          <w:lang w:eastAsia="pt-BR"/>
        </w:rPr>
      </w:pPr>
      <w:r>
        <w:rPr>
          <w:rFonts w:ascii="Times New Roman" w:eastAsia="Times New Roman" w:hAnsi="Times New Roman"/>
          <w:sz w:val="24"/>
          <w:szCs w:val="24"/>
          <w:lang w:eastAsia="pt-BR"/>
        </w:rPr>
        <w:t>Tal quadro não demonstra apenas a realidade regional</w:t>
      </w:r>
      <w:r w:rsidR="002B60FE">
        <w:rPr>
          <w:rFonts w:ascii="Times New Roman" w:eastAsia="Times New Roman" w:hAnsi="Times New Roman"/>
          <w:sz w:val="24"/>
          <w:szCs w:val="24"/>
          <w:lang w:eastAsia="pt-BR"/>
        </w:rPr>
        <w:t xml:space="preserve">, </w:t>
      </w:r>
      <w:r>
        <w:rPr>
          <w:rFonts w:ascii="Times New Roman" w:eastAsia="Times New Roman" w:hAnsi="Times New Roman"/>
          <w:sz w:val="24"/>
          <w:szCs w:val="24"/>
          <w:lang w:eastAsia="pt-BR"/>
        </w:rPr>
        <w:t>se repete em todo Brasil. Conforme Pesquisa de Informações Básicas Municipais, realizada pelo IBGE no ano de 2019, a partir da tabela</w:t>
      </w:r>
      <w:r w:rsidR="003A56BC">
        <w:rPr>
          <w:rFonts w:ascii="Times New Roman" w:eastAsia="Times New Roman" w:hAnsi="Times New Roman"/>
          <w:sz w:val="24"/>
          <w:szCs w:val="24"/>
          <w:lang w:eastAsia="pt-BR"/>
        </w:rPr>
        <w:t xml:space="preserve"> 49</w:t>
      </w:r>
      <w:r w:rsidR="00286224">
        <w:rPr>
          <w:rStyle w:val="Refdenotaderodap"/>
          <w:rFonts w:ascii="Times New Roman" w:eastAsia="Times New Roman" w:hAnsi="Times New Roman"/>
          <w:sz w:val="24"/>
          <w:szCs w:val="24"/>
          <w:lang w:eastAsia="pt-BR"/>
        </w:rPr>
        <w:footnoteReference w:id="18"/>
      </w:r>
      <w:r>
        <w:rPr>
          <w:rFonts w:ascii="Times New Roman" w:eastAsia="Times New Roman" w:hAnsi="Times New Roman"/>
          <w:sz w:val="24"/>
          <w:szCs w:val="24"/>
          <w:lang w:eastAsia="pt-BR"/>
        </w:rPr>
        <w:t xml:space="preserve"> </w:t>
      </w:r>
      <w:r w:rsidR="00286224">
        <w:rPr>
          <w:rFonts w:ascii="Times New Roman" w:eastAsia="Times New Roman" w:hAnsi="Times New Roman"/>
          <w:sz w:val="24"/>
          <w:szCs w:val="24"/>
          <w:lang w:eastAsia="pt-BR"/>
        </w:rPr>
        <w:t xml:space="preserve">relativa à estrutura organizacional da área de controle interno, é possível identificar </w:t>
      </w:r>
      <w:r w:rsidR="00014302">
        <w:rPr>
          <w:rFonts w:ascii="Times New Roman" w:eastAsia="Times New Roman" w:hAnsi="Times New Roman"/>
          <w:sz w:val="24"/>
          <w:szCs w:val="24"/>
          <w:lang w:eastAsia="pt-BR"/>
        </w:rPr>
        <w:t>deficiência de profissionais de nível superior ocupados com tão importante serviço</w:t>
      </w:r>
      <w:r w:rsidR="003A56BC">
        <w:rPr>
          <w:rFonts w:ascii="Times New Roman" w:eastAsia="Times New Roman" w:hAnsi="Times New Roman"/>
          <w:sz w:val="24"/>
          <w:szCs w:val="24"/>
          <w:lang w:eastAsia="pt-BR"/>
        </w:rPr>
        <w:t xml:space="preserve"> em municípios de pequeno porte.</w:t>
      </w:r>
    </w:p>
    <w:p w14:paraId="41B531F4" w14:textId="77777777" w:rsidR="00EC788F" w:rsidRDefault="00EC788F" w:rsidP="001860A4">
      <w:pPr>
        <w:spacing w:after="120" w:line="240" w:lineRule="auto"/>
        <w:ind w:firstLine="851"/>
        <w:jc w:val="both"/>
        <w:rPr>
          <w:rFonts w:ascii="Times New Roman" w:eastAsia="Times New Roman" w:hAnsi="Times New Roman"/>
          <w:sz w:val="24"/>
          <w:szCs w:val="24"/>
          <w:lang w:eastAsia="pt-BR"/>
        </w:rPr>
      </w:pPr>
    </w:p>
    <w:p w14:paraId="3B37D362" w14:textId="1D951A66" w:rsidR="003A56BC" w:rsidRDefault="003A56BC" w:rsidP="001860A4">
      <w:pPr>
        <w:spacing w:after="120" w:line="240" w:lineRule="auto"/>
        <w:jc w:val="both"/>
        <w:rPr>
          <w:rFonts w:ascii="Times New Roman" w:eastAsia="Times New Roman" w:hAnsi="Times New Roman"/>
          <w:b/>
          <w:bCs/>
          <w:sz w:val="24"/>
          <w:szCs w:val="24"/>
          <w:lang w:eastAsia="pt-BR"/>
        </w:rPr>
      </w:pPr>
      <w:r w:rsidRPr="001133B2">
        <w:rPr>
          <w:rFonts w:ascii="Times New Roman" w:eastAsia="Times New Roman" w:hAnsi="Times New Roman"/>
          <w:b/>
          <w:bCs/>
          <w:sz w:val="24"/>
          <w:szCs w:val="24"/>
          <w:lang w:eastAsia="pt-BR"/>
        </w:rPr>
        <w:t xml:space="preserve">Tabela 1 - Municípios, total e por algumas características do pessoal ocupado especificamente nas atividades de controle interno, segundo as classes de tamanho da população dos municípios </w:t>
      </w:r>
      <w:r w:rsidR="00F373C2">
        <w:rPr>
          <w:rFonts w:ascii="Times New Roman" w:eastAsia="Times New Roman" w:hAnsi="Times New Roman"/>
          <w:b/>
          <w:bCs/>
          <w:sz w:val="24"/>
          <w:szCs w:val="24"/>
          <w:lang w:eastAsia="pt-BR"/>
        </w:rPr>
        <w:t>–</w:t>
      </w:r>
      <w:r w:rsidRPr="001133B2">
        <w:rPr>
          <w:rFonts w:ascii="Times New Roman" w:eastAsia="Times New Roman" w:hAnsi="Times New Roman"/>
          <w:b/>
          <w:bCs/>
          <w:sz w:val="24"/>
          <w:szCs w:val="24"/>
          <w:lang w:eastAsia="pt-BR"/>
        </w:rPr>
        <w:t xml:space="preserve"> 2019</w:t>
      </w:r>
    </w:p>
    <w:tbl>
      <w:tblPr>
        <w:tblW w:w="8973" w:type="dxa"/>
        <w:tblInd w:w="75" w:type="dxa"/>
        <w:tblCellMar>
          <w:left w:w="70" w:type="dxa"/>
          <w:right w:w="70" w:type="dxa"/>
        </w:tblCellMar>
        <w:tblLook w:val="04A0" w:firstRow="1" w:lastRow="0" w:firstColumn="1" w:lastColumn="0" w:noHBand="0" w:noVBand="1"/>
      </w:tblPr>
      <w:tblGrid>
        <w:gridCol w:w="2405"/>
        <w:gridCol w:w="1247"/>
        <w:gridCol w:w="1843"/>
        <w:gridCol w:w="1134"/>
        <w:gridCol w:w="1021"/>
        <w:gridCol w:w="1323"/>
      </w:tblGrid>
      <w:tr w:rsidR="00F618EB" w:rsidRPr="00F618EB" w14:paraId="7F53F2DC" w14:textId="77777777" w:rsidTr="002B60FE">
        <w:trPr>
          <w:trHeight w:val="720"/>
        </w:trPr>
        <w:tc>
          <w:tcPr>
            <w:tcW w:w="240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A6F9096" w14:textId="77777777" w:rsidR="00F618EB" w:rsidRPr="00F618EB" w:rsidRDefault="00F618EB" w:rsidP="001860A4">
            <w:pPr>
              <w:spacing w:after="120" w:line="240" w:lineRule="auto"/>
              <w:jc w:val="center"/>
              <w:rPr>
                <w:rFonts w:ascii="Times New Roman" w:eastAsia="Times New Roman" w:hAnsi="Times New Roman"/>
                <w:sz w:val="24"/>
                <w:szCs w:val="24"/>
                <w:lang w:eastAsia="pt-BR"/>
              </w:rPr>
            </w:pPr>
            <w:r w:rsidRPr="00F618EB">
              <w:rPr>
                <w:rFonts w:ascii="Times New Roman" w:eastAsia="Times New Roman" w:hAnsi="Times New Roman"/>
                <w:sz w:val="24"/>
                <w:szCs w:val="24"/>
                <w:lang w:eastAsia="pt-BR"/>
              </w:rPr>
              <w:t>Municípios (nº de habitantes)</w:t>
            </w:r>
          </w:p>
        </w:tc>
        <w:tc>
          <w:tcPr>
            <w:tcW w:w="124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50AA588" w14:textId="77777777" w:rsidR="00F618EB" w:rsidRPr="00F618EB" w:rsidRDefault="00F618EB" w:rsidP="001860A4">
            <w:pPr>
              <w:spacing w:after="120" w:line="240" w:lineRule="auto"/>
              <w:jc w:val="center"/>
              <w:rPr>
                <w:rFonts w:ascii="Times New Roman" w:eastAsia="Times New Roman" w:hAnsi="Times New Roman"/>
                <w:sz w:val="24"/>
                <w:szCs w:val="24"/>
                <w:lang w:eastAsia="pt-BR"/>
              </w:rPr>
            </w:pPr>
            <w:r w:rsidRPr="00F618EB">
              <w:rPr>
                <w:rFonts w:ascii="Times New Roman" w:eastAsia="Times New Roman" w:hAnsi="Times New Roman"/>
                <w:sz w:val="24"/>
                <w:szCs w:val="24"/>
                <w:lang w:eastAsia="pt-BR"/>
              </w:rPr>
              <w:t>Quantidade</w:t>
            </w:r>
          </w:p>
        </w:tc>
        <w:tc>
          <w:tcPr>
            <w:tcW w:w="5321" w:type="dxa"/>
            <w:gridSpan w:val="4"/>
            <w:tcBorders>
              <w:top w:val="single" w:sz="4" w:space="0" w:color="auto"/>
              <w:left w:val="nil"/>
              <w:bottom w:val="single" w:sz="4" w:space="0" w:color="auto"/>
              <w:right w:val="single" w:sz="4" w:space="0" w:color="auto"/>
            </w:tcBorders>
            <w:shd w:val="clear" w:color="auto" w:fill="auto"/>
            <w:vAlign w:val="center"/>
            <w:hideMark/>
          </w:tcPr>
          <w:p w14:paraId="747D207B" w14:textId="77777777" w:rsidR="00F618EB" w:rsidRPr="00F618EB" w:rsidRDefault="00F618EB" w:rsidP="001860A4">
            <w:pPr>
              <w:spacing w:after="120" w:line="240" w:lineRule="auto"/>
              <w:jc w:val="center"/>
              <w:rPr>
                <w:rFonts w:ascii="Times New Roman" w:eastAsia="Times New Roman" w:hAnsi="Times New Roman"/>
                <w:sz w:val="24"/>
                <w:szCs w:val="24"/>
                <w:lang w:eastAsia="pt-BR"/>
              </w:rPr>
            </w:pPr>
            <w:r w:rsidRPr="00F618EB">
              <w:rPr>
                <w:rFonts w:ascii="Times New Roman" w:eastAsia="Times New Roman" w:hAnsi="Times New Roman"/>
                <w:sz w:val="24"/>
                <w:szCs w:val="24"/>
                <w:lang w:eastAsia="pt-BR"/>
              </w:rPr>
              <w:t>Formação do(a) responsável pela área de controle interno</w:t>
            </w:r>
          </w:p>
        </w:tc>
      </w:tr>
      <w:tr w:rsidR="00F618EB" w:rsidRPr="00F618EB" w14:paraId="2381D4ED" w14:textId="77777777" w:rsidTr="002B60FE">
        <w:trPr>
          <w:trHeight w:val="2184"/>
        </w:trPr>
        <w:tc>
          <w:tcPr>
            <w:tcW w:w="2405" w:type="dxa"/>
            <w:vMerge/>
            <w:tcBorders>
              <w:top w:val="single" w:sz="4" w:space="0" w:color="auto"/>
              <w:left w:val="single" w:sz="4" w:space="0" w:color="auto"/>
              <w:bottom w:val="single" w:sz="4" w:space="0" w:color="auto"/>
              <w:right w:val="single" w:sz="4" w:space="0" w:color="auto"/>
            </w:tcBorders>
            <w:vAlign w:val="center"/>
            <w:hideMark/>
          </w:tcPr>
          <w:p w14:paraId="5298DC94" w14:textId="77777777" w:rsidR="00F618EB" w:rsidRPr="00F618EB" w:rsidRDefault="00F618EB" w:rsidP="001860A4">
            <w:pPr>
              <w:spacing w:after="120" w:line="240" w:lineRule="auto"/>
              <w:rPr>
                <w:rFonts w:ascii="Times New Roman" w:eastAsia="Times New Roman" w:hAnsi="Times New Roman"/>
                <w:sz w:val="24"/>
                <w:szCs w:val="24"/>
                <w:lang w:eastAsia="pt-BR"/>
              </w:rPr>
            </w:pPr>
          </w:p>
        </w:tc>
        <w:tc>
          <w:tcPr>
            <w:tcW w:w="1247" w:type="dxa"/>
            <w:vMerge/>
            <w:tcBorders>
              <w:top w:val="single" w:sz="4" w:space="0" w:color="auto"/>
              <w:left w:val="single" w:sz="4" w:space="0" w:color="auto"/>
              <w:bottom w:val="single" w:sz="4" w:space="0" w:color="auto"/>
              <w:right w:val="single" w:sz="4" w:space="0" w:color="auto"/>
            </w:tcBorders>
            <w:vAlign w:val="center"/>
            <w:hideMark/>
          </w:tcPr>
          <w:p w14:paraId="4D5300F1" w14:textId="77777777" w:rsidR="00F618EB" w:rsidRPr="00F618EB" w:rsidRDefault="00F618EB" w:rsidP="001860A4">
            <w:pPr>
              <w:spacing w:after="120" w:line="240" w:lineRule="auto"/>
              <w:rPr>
                <w:rFonts w:ascii="Times New Roman" w:eastAsia="Times New Roman" w:hAnsi="Times New Roman"/>
                <w:sz w:val="24"/>
                <w:szCs w:val="24"/>
                <w:lang w:eastAsia="pt-BR"/>
              </w:rPr>
            </w:pPr>
          </w:p>
        </w:tc>
        <w:tc>
          <w:tcPr>
            <w:tcW w:w="1843" w:type="dxa"/>
            <w:tcBorders>
              <w:top w:val="nil"/>
              <w:left w:val="nil"/>
              <w:bottom w:val="single" w:sz="4" w:space="0" w:color="auto"/>
              <w:right w:val="single" w:sz="4" w:space="0" w:color="auto"/>
            </w:tcBorders>
            <w:shd w:val="clear" w:color="auto" w:fill="auto"/>
            <w:vAlign w:val="center"/>
            <w:hideMark/>
          </w:tcPr>
          <w:p w14:paraId="0457FBF7" w14:textId="77777777" w:rsidR="00F618EB" w:rsidRPr="00F618EB" w:rsidRDefault="00F618EB" w:rsidP="001860A4">
            <w:pPr>
              <w:spacing w:after="120" w:line="240" w:lineRule="auto"/>
              <w:jc w:val="center"/>
              <w:rPr>
                <w:rFonts w:ascii="Times New Roman" w:eastAsia="Times New Roman" w:hAnsi="Times New Roman"/>
                <w:sz w:val="24"/>
                <w:szCs w:val="24"/>
                <w:lang w:eastAsia="pt-BR"/>
              </w:rPr>
            </w:pPr>
            <w:r w:rsidRPr="00F618EB">
              <w:rPr>
                <w:rFonts w:ascii="Times New Roman" w:eastAsia="Times New Roman" w:hAnsi="Times New Roman"/>
                <w:sz w:val="24"/>
                <w:szCs w:val="24"/>
                <w:lang w:eastAsia="pt-BR"/>
              </w:rPr>
              <w:t>Nível Superior (Administração, Ciências Contábeis, Economia, Direito, Engenharia)</w:t>
            </w:r>
          </w:p>
        </w:tc>
        <w:tc>
          <w:tcPr>
            <w:tcW w:w="1134" w:type="dxa"/>
            <w:tcBorders>
              <w:top w:val="nil"/>
              <w:left w:val="nil"/>
              <w:bottom w:val="single" w:sz="4" w:space="0" w:color="auto"/>
              <w:right w:val="single" w:sz="4" w:space="0" w:color="auto"/>
            </w:tcBorders>
            <w:shd w:val="clear" w:color="auto" w:fill="auto"/>
            <w:vAlign w:val="center"/>
            <w:hideMark/>
          </w:tcPr>
          <w:p w14:paraId="3E69E11D" w14:textId="77777777" w:rsidR="00F618EB" w:rsidRPr="00F618EB" w:rsidRDefault="00F618EB" w:rsidP="001860A4">
            <w:pPr>
              <w:spacing w:after="120" w:line="240" w:lineRule="auto"/>
              <w:jc w:val="center"/>
              <w:rPr>
                <w:rFonts w:ascii="Times New Roman" w:eastAsia="Times New Roman" w:hAnsi="Times New Roman"/>
                <w:sz w:val="24"/>
                <w:szCs w:val="24"/>
                <w:lang w:eastAsia="pt-BR"/>
              </w:rPr>
            </w:pPr>
            <w:r w:rsidRPr="00F618EB">
              <w:rPr>
                <w:rFonts w:ascii="Times New Roman" w:eastAsia="Times New Roman" w:hAnsi="Times New Roman"/>
                <w:sz w:val="24"/>
                <w:szCs w:val="24"/>
                <w:lang w:eastAsia="pt-BR"/>
              </w:rPr>
              <w:t>Nível Superior (outras áreas)</w:t>
            </w:r>
          </w:p>
        </w:tc>
        <w:tc>
          <w:tcPr>
            <w:tcW w:w="1021" w:type="dxa"/>
            <w:tcBorders>
              <w:top w:val="nil"/>
              <w:left w:val="nil"/>
              <w:bottom w:val="single" w:sz="4" w:space="0" w:color="auto"/>
              <w:right w:val="single" w:sz="4" w:space="0" w:color="auto"/>
            </w:tcBorders>
            <w:shd w:val="clear" w:color="auto" w:fill="auto"/>
            <w:vAlign w:val="center"/>
            <w:hideMark/>
          </w:tcPr>
          <w:p w14:paraId="7EEDD9B7" w14:textId="77777777" w:rsidR="00F618EB" w:rsidRPr="00F618EB" w:rsidRDefault="00F618EB" w:rsidP="001860A4">
            <w:pPr>
              <w:spacing w:after="120" w:line="240" w:lineRule="auto"/>
              <w:jc w:val="center"/>
              <w:rPr>
                <w:rFonts w:ascii="Times New Roman" w:eastAsia="Times New Roman" w:hAnsi="Times New Roman"/>
                <w:sz w:val="24"/>
                <w:szCs w:val="24"/>
                <w:lang w:eastAsia="pt-BR"/>
              </w:rPr>
            </w:pPr>
            <w:r w:rsidRPr="00F618EB">
              <w:rPr>
                <w:rFonts w:ascii="Times New Roman" w:eastAsia="Times New Roman" w:hAnsi="Times New Roman"/>
                <w:sz w:val="24"/>
                <w:szCs w:val="24"/>
                <w:lang w:eastAsia="pt-BR"/>
              </w:rPr>
              <w:t>Não possui nível superior</w:t>
            </w:r>
          </w:p>
        </w:tc>
        <w:tc>
          <w:tcPr>
            <w:tcW w:w="1323" w:type="dxa"/>
            <w:tcBorders>
              <w:top w:val="nil"/>
              <w:left w:val="nil"/>
              <w:bottom w:val="single" w:sz="4" w:space="0" w:color="auto"/>
              <w:right w:val="single" w:sz="4" w:space="0" w:color="auto"/>
            </w:tcBorders>
            <w:shd w:val="clear" w:color="auto" w:fill="auto"/>
            <w:vAlign w:val="center"/>
            <w:hideMark/>
          </w:tcPr>
          <w:p w14:paraId="05C64CED" w14:textId="77777777" w:rsidR="00F618EB" w:rsidRPr="00F618EB" w:rsidRDefault="00F618EB" w:rsidP="001860A4">
            <w:pPr>
              <w:spacing w:after="120" w:line="240" w:lineRule="auto"/>
              <w:jc w:val="center"/>
              <w:rPr>
                <w:rFonts w:ascii="Times New Roman" w:eastAsia="Times New Roman" w:hAnsi="Times New Roman"/>
                <w:sz w:val="24"/>
                <w:szCs w:val="24"/>
                <w:lang w:eastAsia="pt-BR"/>
              </w:rPr>
            </w:pPr>
            <w:r w:rsidRPr="00F618EB">
              <w:rPr>
                <w:rFonts w:ascii="Times New Roman" w:eastAsia="Times New Roman" w:hAnsi="Times New Roman"/>
                <w:sz w:val="24"/>
                <w:szCs w:val="24"/>
                <w:lang w:eastAsia="pt-BR"/>
              </w:rPr>
              <w:t>Não possui nível superior - %</w:t>
            </w:r>
          </w:p>
        </w:tc>
      </w:tr>
      <w:tr w:rsidR="00F618EB" w:rsidRPr="00F618EB" w14:paraId="5DC177F8" w14:textId="77777777" w:rsidTr="002B60FE">
        <w:trPr>
          <w:trHeight w:val="312"/>
        </w:trPr>
        <w:tc>
          <w:tcPr>
            <w:tcW w:w="2405" w:type="dxa"/>
            <w:tcBorders>
              <w:top w:val="nil"/>
              <w:left w:val="single" w:sz="4" w:space="0" w:color="auto"/>
              <w:bottom w:val="single" w:sz="4" w:space="0" w:color="auto"/>
              <w:right w:val="single" w:sz="4" w:space="0" w:color="auto"/>
            </w:tcBorders>
            <w:shd w:val="clear" w:color="auto" w:fill="auto"/>
            <w:noWrap/>
            <w:vAlign w:val="center"/>
            <w:hideMark/>
          </w:tcPr>
          <w:p w14:paraId="46D23DBF" w14:textId="77777777" w:rsidR="00F618EB" w:rsidRPr="00F618EB" w:rsidRDefault="00F618EB" w:rsidP="001860A4">
            <w:pPr>
              <w:spacing w:after="120" w:line="240" w:lineRule="auto"/>
              <w:rPr>
                <w:rFonts w:ascii="Times New Roman" w:eastAsia="Times New Roman" w:hAnsi="Times New Roman"/>
                <w:sz w:val="24"/>
                <w:szCs w:val="24"/>
                <w:lang w:eastAsia="pt-BR"/>
              </w:rPr>
            </w:pPr>
            <w:r w:rsidRPr="00F618EB">
              <w:rPr>
                <w:rFonts w:ascii="Times New Roman" w:eastAsia="Times New Roman" w:hAnsi="Times New Roman"/>
                <w:sz w:val="24"/>
                <w:szCs w:val="24"/>
                <w:lang w:eastAsia="pt-BR"/>
              </w:rPr>
              <w:t>Brasil</w:t>
            </w:r>
          </w:p>
        </w:tc>
        <w:tc>
          <w:tcPr>
            <w:tcW w:w="1247" w:type="dxa"/>
            <w:tcBorders>
              <w:top w:val="nil"/>
              <w:left w:val="nil"/>
              <w:bottom w:val="single" w:sz="4" w:space="0" w:color="auto"/>
              <w:right w:val="single" w:sz="4" w:space="0" w:color="auto"/>
            </w:tcBorders>
            <w:shd w:val="clear" w:color="auto" w:fill="auto"/>
            <w:noWrap/>
            <w:vAlign w:val="center"/>
            <w:hideMark/>
          </w:tcPr>
          <w:p w14:paraId="0A97A454" w14:textId="77777777" w:rsidR="00F618EB" w:rsidRPr="00F618EB" w:rsidRDefault="00F618EB" w:rsidP="001860A4">
            <w:pPr>
              <w:spacing w:after="120" w:line="240" w:lineRule="auto"/>
              <w:jc w:val="right"/>
              <w:rPr>
                <w:rFonts w:ascii="Times New Roman" w:eastAsia="Times New Roman" w:hAnsi="Times New Roman"/>
                <w:sz w:val="24"/>
                <w:szCs w:val="24"/>
                <w:lang w:eastAsia="pt-BR"/>
              </w:rPr>
            </w:pPr>
            <w:r w:rsidRPr="00F618EB">
              <w:rPr>
                <w:rFonts w:ascii="Times New Roman" w:eastAsia="Times New Roman" w:hAnsi="Times New Roman"/>
                <w:sz w:val="24"/>
                <w:szCs w:val="24"/>
                <w:lang w:eastAsia="pt-BR"/>
              </w:rPr>
              <w:t>5570</w:t>
            </w:r>
          </w:p>
        </w:tc>
        <w:tc>
          <w:tcPr>
            <w:tcW w:w="1843" w:type="dxa"/>
            <w:tcBorders>
              <w:top w:val="nil"/>
              <w:left w:val="nil"/>
              <w:bottom w:val="single" w:sz="4" w:space="0" w:color="auto"/>
              <w:right w:val="single" w:sz="4" w:space="0" w:color="auto"/>
            </w:tcBorders>
            <w:shd w:val="clear" w:color="auto" w:fill="auto"/>
            <w:noWrap/>
            <w:vAlign w:val="center"/>
            <w:hideMark/>
          </w:tcPr>
          <w:p w14:paraId="7687D91E" w14:textId="77777777" w:rsidR="00F618EB" w:rsidRPr="00F618EB" w:rsidRDefault="00F618EB" w:rsidP="001860A4">
            <w:pPr>
              <w:spacing w:after="120" w:line="240" w:lineRule="auto"/>
              <w:jc w:val="right"/>
              <w:rPr>
                <w:rFonts w:ascii="Times New Roman" w:eastAsia="Times New Roman" w:hAnsi="Times New Roman"/>
                <w:sz w:val="24"/>
                <w:szCs w:val="24"/>
                <w:lang w:eastAsia="pt-BR"/>
              </w:rPr>
            </w:pPr>
            <w:r w:rsidRPr="00F618EB">
              <w:rPr>
                <w:rFonts w:ascii="Times New Roman" w:eastAsia="Times New Roman" w:hAnsi="Times New Roman"/>
                <w:sz w:val="24"/>
                <w:szCs w:val="24"/>
                <w:lang w:eastAsia="pt-BR"/>
              </w:rPr>
              <w:t>3604</w:t>
            </w:r>
          </w:p>
        </w:tc>
        <w:tc>
          <w:tcPr>
            <w:tcW w:w="1134" w:type="dxa"/>
            <w:tcBorders>
              <w:top w:val="nil"/>
              <w:left w:val="nil"/>
              <w:bottom w:val="single" w:sz="4" w:space="0" w:color="auto"/>
              <w:right w:val="single" w:sz="4" w:space="0" w:color="auto"/>
            </w:tcBorders>
            <w:shd w:val="clear" w:color="auto" w:fill="auto"/>
            <w:noWrap/>
            <w:vAlign w:val="center"/>
            <w:hideMark/>
          </w:tcPr>
          <w:p w14:paraId="54A1535A" w14:textId="77777777" w:rsidR="00F618EB" w:rsidRPr="00F618EB" w:rsidRDefault="00F618EB" w:rsidP="001860A4">
            <w:pPr>
              <w:spacing w:after="120" w:line="240" w:lineRule="auto"/>
              <w:jc w:val="right"/>
              <w:rPr>
                <w:rFonts w:ascii="Times New Roman" w:eastAsia="Times New Roman" w:hAnsi="Times New Roman"/>
                <w:sz w:val="24"/>
                <w:szCs w:val="24"/>
                <w:lang w:eastAsia="pt-BR"/>
              </w:rPr>
            </w:pPr>
            <w:r w:rsidRPr="00F618EB">
              <w:rPr>
                <w:rFonts w:ascii="Times New Roman" w:eastAsia="Times New Roman" w:hAnsi="Times New Roman"/>
                <w:sz w:val="24"/>
                <w:szCs w:val="24"/>
                <w:lang w:eastAsia="pt-BR"/>
              </w:rPr>
              <w:t>929</w:t>
            </w:r>
          </w:p>
        </w:tc>
        <w:tc>
          <w:tcPr>
            <w:tcW w:w="1021" w:type="dxa"/>
            <w:tcBorders>
              <w:top w:val="nil"/>
              <w:left w:val="nil"/>
              <w:bottom w:val="single" w:sz="4" w:space="0" w:color="auto"/>
              <w:right w:val="single" w:sz="4" w:space="0" w:color="auto"/>
            </w:tcBorders>
            <w:shd w:val="clear" w:color="auto" w:fill="auto"/>
            <w:noWrap/>
            <w:vAlign w:val="center"/>
            <w:hideMark/>
          </w:tcPr>
          <w:p w14:paraId="4C077C7C" w14:textId="77777777" w:rsidR="00F618EB" w:rsidRPr="00F618EB" w:rsidRDefault="00F618EB" w:rsidP="001860A4">
            <w:pPr>
              <w:spacing w:after="120" w:line="240" w:lineRule="auto"/>
              <w:jc w:val="right"/>
              <w:rPr>
                <w:rFonts w:ascii="Times New Roman" w:eastAsia="Times New Roman" w:hAnsi="Times New Roman"/>
                <w:sz w:val="24"/>
                <w:szCs w:val="24"/>
                <w:lang w:eastAsia="pt-BR"/>
              </w:rPr>
            </w:pPr>
            <w:r w:rsidRPr="00F618EB">
              <w:rPr>
                <w:rFonts w:ascii="Times New Roman" w:eastAsia="Times New Roman" w:hAnsi="Times New Roman"/>
                <w:sz w:val="24"/>
                <w:szCs w:val="24"/>
                <w:lang w:eastAsia="pt-BR"/>
              </w:rPr>
              <w:t>726</w:t>
            </w:r>
          </w:p>
        </w:tc>
        <w:tc>
          <w:tcPr>
            <w:tcW w:w="1323" w:type="dxa"/>
            <w:tcBorders>
              <w:top w:val="nil"/>
              <w:left w:val="nil"/>
              <w:bottom w:val="single" w:sz="4" w:space="0" w:color="auto"/>
              <w:right w:val="single" w:sz="4" w:space="0" w:color="auto"/>
            </w:tcBorders>
            <w:shd w:val="clear" w:color="auto" w:fill="auto"/>
            <w:noWrap/>
            <w:vAlign w:val="center"/>
            <w:hideMark/>
          </w:tcPr>
          <w:p w14:paraId="563F8440" w14:textId="77777777" w:rsidR="00F618EB" w:rsidRPr="00F618EB" w:rsidRDefault="00F618EB" w:rsidP="001860A4">
            <w:pPr>
              <w:spacing w:after="120" w:line="240" w:lineRule="auto"/>
              <w:jc w:val="right"/>
              <w:rPr>
                <w:rFonts w:ascii="Times New Roman" w:eastAsia="Times New Roman" w:hAnsi="Times New Roman"/>
                <w:sz w:val="24"/>
                <w:szCs w:val="24"/>
                <w:lang w:eastAsia="pt-BR"/>
              </w:rPr>
            </w:pPr>
            <w:r w:rsidRPr="00F618EB">
              <w:rPr>
                <w:rFonts w:ascii="Times New Roman" w:eastAsia="Times New Roman" w:hAnsi="Times New Roman"/>
                <w:sz w:val="24"/>
                <w:szCs w:val="24"/>
                <w:lang w:eastAsia="pt-BR"/>
              </w:rPr>
              <w:t>13,03%</w:t>
            </w:r>
          </w:p>
        </w:tc>
      </w:tr>
      <w:tr w:rsidR="00F618EB" w:rsidRPr="00F618EB" w14:paraId="56EDC9EA" w14:textId="77777777" w:rsidTr="002B60FE">
        <w:trPr>
          <w:trHeight w:val="312"/>
        </w:trPr>
        <w:tc>
          <w:tcPr>
            <w:tcW w:w="2405" w:type="dxa"/>
            <w:tcBorders>
              <w:top w:val="nil"/>
              <w:left w:val="single" w:sz="4" w:space="0" w:color="auto"/>
              <w:bottom w:val="single" w:sz="4" w:space="0" w:color="auto"/>
              <w:right w:val="single" w:sz="4" w:space="0" w:color="auto"/>
            </w:tcBorders>
            <w:shd w:val="clear" w:color="auto" w:fill="auto"/>
            <w:noWrap/>
            <w:vAlign w:val="center"/>
            <w:hideMark/>
          </w:tcPr>
          <w:p w14:paraId="6224546F" w14:textId="77777777" w:rsidR="00F618EB" w:rsidRPr="00F618EB" w:rsidRDefault="00F618EB" w:rsidP="001860A4">
            <w:pPr>
              <w:spacing w:after="120" w:line="240" w:lineRule="auto"/>
              <w:rPr>
                <w:rFonts w:ascii="Times New Roman" w:eastAsia="Times New Roman" w:hAnsi="Times New Roman"/>
                <w:sz w:val="24"/>
                <w:szCs w:val="24"/>
                <w:lang w:eastAsia="pt-BR"/>
              </w:rPr>
            </w:pPr>
            <w:r w:rsidRPr="00F618EB">
              <w:rPr>
                <w:rFonts w:ascii="Times New Roman" w:eastAsia="Times New Roman" w:hAnsi="Times New Roman"/>
                <w:sz w:val="24"/>
                <w:szCs w:val="24"/>
                <w:lang w:eastAsia="pt-BR"/>
              </w:rPr>
              <w:t>Até 5 000</w:t>
            </w:r>
          </w:p>
        </w:tc>
        <w:tc>
          <w:tcPr>
            <w:tcW w:w="1247" w:type="dxa"/>
            <w:tcBorders>
              <w:top w:val="nil"/>
              <w:left w:val="nil"/>
              <w:bottom w:val="single" w:sz="4" w:space="0" w:color="auto"/>
              <w:right w:val="single" w:sz="4" w:space="0" w:color="auto"/>
            </w:tcBorders>
            <w:shd w:val="clear" w:color="auto" w:fill="auto"/>
            <w:noWrap/>
            <w:vAlign w:val="center"/>
            <w:hideMark/>
          </w:tcPr>
          <w:p w14:paraId="26C82362" w14:textId="77777777" w:rsidR="00F618EB" w:rsidRPr="00F618EB" w:rsidRDefault="00F618EB" w:rsidP="001860A4">
            <w:pPr>
              <w:spacing w:after="120" w:line="240" w:lineRule="auto"/>
              <w:jc w:val="right"/>
              <w:rPr>
                <w:rFonts w:ascii="Times New Roman" w:eastAsia="Times New Roman" w:hAnsi="Times New Roman"/>
                <w:sz w:val="24"/>
                <w:szCs w:val="24"/>
                <w:lang w:eastAsia="pt-BR"/>
              </w:rPr>
            </w:pPr>
            <w:r w:rsidRPr="00F618EB">
              <w:rPr>
                <w:rFonts w:ascii="Times New Roman" w:eastAsia="Times New Roman" w:hAnsi="Times New Roman"/>
                <w:sz w:val="24"/>
                <w:szCs w:val="24"/>
                <w:lang w:eastAsia="pt-BR"/>
              </w:rPr>
              <w:t>1253</w:t>
            </w:r>
          </w:p>
        </w:tc>
        <w:tc>
          <w:tcPr>
            <w:tcW w:w="1843" w:type="dxa"/>
            <w:tcBorders>
              <w:top w:val="nil"/>
              <w:left w:val="nil"/>
              <w:bottom w:val="single" w:sz="4" w:space="0" w:color="auto"/>
              <w:right w:val="single" w:sz="4" w:space="0" w:color="auto"/>
            </w:tcBorders>
            <w:shd w:val="clear" w:color="auto" w:fill="auto"/>
            <w:noWrap/>
            <w:vAlign w:val="center"/>
            <w:hideMark/>
          </w:tcPr>
          <w:p w14:paraId="67022025" w14:textId="77777777" w:rsidR="00F618EB" w:rsidRPr="00F618EB" w:rsidRDefault="00F618EB" w:rsidP="001860A4">
            <w:pPr>
              <w:spacing w:after="120" w:line="240" w:lineRule="auto"/>
              <w:jc w:val="right"/>
              <w:rPr>
                <w:rFonts w:ascii="Times New Roman" w:eastAsia="Times New Roman" w:hAnsi="Times New Roman"/>
                <w:sz w:val="24"/>
                <w:szCs w:val="24"/>
                <w:lang w:eastAsia="pt-BR"/>
              </w:rPr>
            </w:pPr>
            <w:r w:rsidRPr="00F618EB">
              <w:rPr>
                <w:rFonts w:ascii="Times New Roman" w:eastAsia="Times New Roman" w:hAnsi="Times New Roman"/>
                <w:sz w:val="24"/>
                <w:szCs w:val="24"/>
                <w:lang w:eastAsia="pt-BR"/>
              </w:rPr>
              <w:t>682</w:t>
            </w:r>
          </w:p>
        </w:tc>
        <w:tc>
          <w:tcPr>
            <w:tcW w:w="1134" w:type="dxa"/>
            <w:tcBorders>
              <w:top w:val="nil"/>
              <w:left w:val="nil"/>
              <w:bottom w:val="single" w:sz="4" w:space="0" w:color="auto"/>
              <w:right w:val="single" w:sz="4" w:space="0" w:color="auto"/>
            </w:tcBorders>
            <w:shd w:val="clear" w:color="auto" w:fill="auto"/>
            <w:noWrap/>
            <w:vAlign w:val="center"/>
            <w:hideMark/>
          </w:tcPr>
          <w:p w14:paraId="57981876" w14:textId="77777777" w:rsidR="00F618EB" w:rsidRPr="00F618EB" w:rsidRDefault="00F618EB" w:rsidP="001860A4">
            <w:pPr>
              <w:spacing w:after="120" w:line="240" w:lineRule="auto"/>
              <w:jc w:val="right"/>
              <w:rPr>
                <w:rFonts w:ascii="Times New Roman" w:eastAsia="Times New Roman" w:hAnsi="Times New Roman"/>
                <w:sz w:val="24"/>
                <w:szCs w:val="24"/>
                <w:lang w:eastAsia="pt-BR"/>
              </w:rPr>
            </w:pPr>
            <w:r w:rsidRPr="00F618EB">
              <w:rPr>
                <w:rFonts w:ascii="Times New Roman" w:eastAsia="Times New Roman" w:hAnsi="Times New Roman"/>
                <w:sz w:val="24"/>
                <w:szCs w:val="24"/>
                <w:lang w:eastAsia="pt-BR"/>
              </w:rPr>
              <w:t>246</w:t>
            </w:r>
          </w:p>
        </w:tc>
        <w:tc>
          <w:tcPr>
            <w:tcW w:w="1021" w:type="dxa"/>
            <w:tcBorders>
              <w:top w:val="nil"/>
              <w:left w:val="nil"/>
              <w:bottom w:val="single" w:sz="4" w:space="0" w:color="auto"/>
              <w:right w:val="single" w:sz="4" w:space="0" w:color="auto"/>
            </w:tcBorders>
            <w:shd w:val="clear" w:color="auto" w:fill="auto"/>
            <w:noWrap/>
            <w:vAlign w:val="center"/>
            <w:hideMark/>
          </w:tcPr>
          <w:p w14:paraId="00EF4BBA" w14:textId="77777777" w:rsidR="00F618EB" w:rsidRPr="00F618EB" w:rsidRDefault="00F618EB" w:rsidP="001860A4">
            <w:pPr>
              <w:spacing w:after="120" w:line="240" w:lineRule="auto"/>
              <w:jc w:val="right"/>
              <w:rPr>
                <w:rFonts w:ascii="Times New Roman" w:eastAsia="Times New Roman" w:hAnsi="Times New Roman"/>
                <w:sz w:val="24"/>
                <w:szCs w:val="24"/>
                <w:lang w:eastAsia="pt-BR"/>
              </w:rPr>
            </w:pPr>
            <w:r w:rsidRPr="00F618EB">
              <w:rPr>
                <w:rFonts w:ascii="Times New Roman" w:eastAsia="Times New Roman" w:hAnsi="Times New Roman"/>
                <w:sz w:val="24"/>
                <w:szCs w:val="24"/>
                <w:lang w:eastAsia="pt-BR"/>
              </w:rPr>
              <w:t>245</w:t>
            </w:r>
          </w:p>
        </w:tc>
        <w:tc>
          <w:tcPr>
            <w:tcW w:w="1323" w:type="dxa"/>
            <w:tcBorders>
              <w:top w:val="nil"/>
              <w:left w:val="nil"/>
              <w:bottom w:val="single" w:sz="4" w:space="0" w:color="auto"/>
              <w:right w:val="single" w:sz="4" w:space="0" w:color="auto"/>
            </w:tcBorders>
            <w:shd w:val="clear" w:color="auto" w:fill="auto"/>
            <w:noWrap/>
            <w:vAlign w:val="center"/>
            <w:hideMark/>
          </w:tcPr>
          <w:p w14:paraId="7738BE69" w14:textId="77777777" w:rsidR="00F618EB" w:rsidRPr="00F618EB" w:rsidRDefault="00F618EB" w:rsidP="001860A4">
            <w:pPr>
              <w:spacing w:after="120" w:line="240" w:lineRule="auto"/>
              <w:jc w:val="right"/>
              <w:rPr>
                <w:rFonts w:ascii="Times New Roman" w:eastAsia="Times New Roman" w:hAnsi="Times New Roman"/>
                <w:sz w:val="24"/>
                <w:szCs w:val="24"/>
                <w:lang w:eastAsia="pt-BR"/>
              </w:rPr>
            </w:pPr>
            <w:r w:rsidRPr="00F618EB">
              <w:rPr>
                <w:rFonts w:ascii="Times New Roman" w:eastAsia="Times New Roman" w:hAnsi="Times New Roman"/>
                <w:sz w:val="24"/>
                <w:szCs w:val="24"/>
                <w:lang w:eastAsia="pt-BR"/>
              </w:rPr>
              <w:t>19,55%</w:t>
            </w:r>
          </w:p>
        </w:tc>
      </w:tr>
      <w:tr w:rsidR="00F618EB" w:rsidRPr="00F618EB" w14:paraId="6F9566B9" w14:textId="77777777" w:rsidTr="002B60FE">
        <w:trPr>
          <w:trHeight w:val="312"/>
        </w:trPr>
        <w:tc>
          <w:tcPr>
            <w:tcW w:w="2405" w:type="dxa"/>
            <w:tcBorders>
              <w:top w:val="nil"/>
              <w:left w:val="single" w:sz="4" w:space="0" w:color="auto"/>
              <w:bottom w:val="single" w:sz="4" w:space="0" w:color="auto"/>
              <w:right w:val="single" w:sz="4" w:space="0" w:color="auto"/>
            </w:tcBorders>
            <w:shd w:val="clear" w:color="auto" w:fill="auto"/>
            <w:noWrap/>
            <w:vAlign w:val="center"/>
            <w:hideMark/>
          </w:tcPr>
          <w:p w14:paraId="7B68007A" w14:textId="77777777" w:rsidR="00F618EB" w:rsidRPr="00F618EB" w:rsidRDefault="00F618EB" w:rsidP="001860A4">
            <w:pPr>
              <w:spacing w:after="120" w:line="240" w:lineRule="auto"/>
              <w:rPr>
                <w:rFonts w:ascii="Times New Roman" w:eastAsia="Times New Roman" w:hAnsi="Times New Roman"/>
                <w:sz w:val="24"/>
                <w:szCs w:val="24"/>
                <w:lang w:eastAsia="pt-BR"/>
              </w:rPr>
            </w:pPr>
            <w:r w:rsidRPr="00F618EB">
              <w:rPr>
                <w:rFonts w:ascii="Times New Roman" w:eastAsia="Times New Roman" w:hAnsi="Times New Roman"/>
                <w:sz w:val="24"/>
                <w:szCs w:val="24"/>
                <w:lang w:eastAsia="pt-BR"/>
              </w:rPr>
              <w:t>De 5 001 a 10 000</w:t>
            </w:r>
          </w:p>
        </w:tc>
        <w:tc>
          <w:tcPr>
            <w:tcW w:w="1247" w:type="dxa"/>
            <w:tcBorders>
              <w:top w:val="nil"/>
              <w:left w:val="nil"/>
              <w:bottom w:val="single" w:sz="4" w:space="0" w:color="auto"/>
              <w:right w:val="single" w:sz="4" w:space="0" w:color="auto"/>
            </w:tcBorders>
            <w:shd w:val="clear" w:color="auto" w:fill="auto"/>
            <w:noWrap/>
            <w:vAlign w:val="center"/>
            <w:hideMark/>
          </w:tcPr>
          <w:p w14:paraId="5FE74CCB" w14:textId="77777777" w:rsidR="00F618EB" w:rsidRPr="00F618EB" w:rsidRDefault="00F618EB" w:rsidP="001860A4">
            <w:pPr>
              <w:spacing w:after="120" w:line="240" w:lineRule="auto"/>
              <w:jc w:val="right"/>
              <w:rPr>
                <w:rFonts w:ascii="Times New Roman" w:eastAsia="Times New Roman" w:hAnsi="Times New Roman"/>
                <w:sz w:val="24"/>
                <w:szCs w:val="24"/>
                <w:lang w:eastAsia="pt-BR"/>
              </w:rPr>
            </w:pPr>
            <w:r w:rsidRPr="00F618EB">
              <w:rPr>
                <w:rFonts w:ascii="Times New Roman" w:eastAsia="Times New Roman" w:hAnsi="Times New Roman"/>
                <w:sz w:val="24"/>
                <w:szCs w:val="24"/>
                <w:lang w:eastAsia="pt-BR"/>
              </w:rPr>
              <w:t>1199</w:t>
            </w:r>
          </w:p>
        </w:tc>
        <w:tc>
          <w:tcPr>
            <w:tcW w:w="1843" w:type="dxa"/>
            <w:tcBorders>
              <w:top w:val="nil"/>
              <w:left w:val="nil"/>
              <w:bottom w:val="single" w:sz="4" w:space="0" w:color="auto"/>
              <w:right w:val="single" w:sz="4" w:space="0" w:color="auto"/>
            </w:tcBorders>
            <w:shd w:val="clear" w:color="auto" w:fill="auto"/>
            <w:noWrap/>
            <w:vAlign w:val="center"/>
            <w:hideMark/>
          </w:tcPr>
          <w:p w14:paraId="4779E6FB" w14:textId="77777777" w:rsidR="00F618EB" w:rsidRPr="00F618EB" w:rsidRDefault="00F618EB" w:rsidP="001860A4">
            <w:pPr>
              <w:spacing w:after="120" w:line="240" w:lineRule="auto"/>
              <w:jc w:val="right"/>
              <w:rPr>
                <w:rFonts w:ascii="Times New Roman" w:eastAsia="Times New Roman" w:hAnsi="Times New Roman"/>
                <w:sz w:val="24"/>
                <w:szCs w:val="24"/>
                <w:lang w:eastAsia="pt-BR"/>
              </w:rPr>
            </w:pPr>
            <w:r w:rsidRPr="00F618EB">
              <w:rPr>
                <w:rFonts w:ascii="Times New Roman" w:eastAsia="Times New Roman" w:hAnsi="Times New Roman"/>
                <w:sz w:val="24"/>
                <w:szCs w:val="24"/>
                <w:lang w:eastAsia="pt-BR"/>
              </w:rPr>
              <w:t>694</w:t>
            </w:r>
          </w:p>
        </w:tc>
        <w:tc>
          <w:tcPr>
            <w:tcW w:w="1134" w:type="dxa"/>
            <w:tcBorders>
              <w:top w:val="nil"/>
              <w:left w:val="nil"/>
              <w:bottom w:val="single" w:sz="4" w:space="0" w:color="auto"/>
              <w:right w:val="single" w:sz="4" w:space="0" w:color="auto"/>
            </w:tcBorders>
            <w:shd w:val="clear" w:color="auto" w:fill="auto"/>
            <w:noWrap/>
            <w:vAlign w:val="center"/>
            <w:hideMark/>
          </w:tcPr>
          <w:p w14:paraId="2A9EFFDB" w14:textId="77777777" w:rsidR="00F618EB" w:rsidRPr="00F618EB" w:rsidRDefault="00F618EB" w:rsidP="001860A4">
            <w:pPr>
              <w:spacing w:after="120" w:line="240" w:lineRule="auto"/>
              <w:jc w:val="right"/>
              <w:rPr>
                <w:rFonts w:ascii="Times New Roman" w:eastAsia="Times New Roman" w:hAnsi="Times New Roman"/>
                <w:sz w:val="24"/>
                <w:szCs w:val="24"/>
                <w:lang w:eastAsia="pt-BR"/>
              </w:rPr>
            </w:pPr>
            <w:r w:rsidRPr="00F618EB">
              <w:rPr>
                <w:rFonts w:ascii="Times New Roman" w:eastAsia="Times New Roman" w:hAnsi="Times New Roman"/>
                <w:sz w:val="24"/>
                <w:szCs w:val="24"/>
                <w:lang w:eastAsia="pt-BR"/>
              </w:rPr>
              <w:t>233</w:t>
            </w:r>
          </w:p>
        </w:tc>
        <w:tc>
          <w:tcPr>
            <w:tcW w:w="1021" w:type="dxa"/>
            <w:tcBorders>
              <w:top w:val="nil"/>
              <w:left w:val="nil"/>
              <w:bottom w:val="single" w:sz="4" w:space="0" w:color="auto"/>
              <w:right w:val="single" w:sz="4" w:space="0" w:color="auto"/>
            </w:tcBorders>
            <w:shd w:val="clear" w:color="auto" w:fill="auto"/>
            <w:noWrap/>
            <w:vAlign w:val="center"/>
            <w:hideMark/>
          </w:tcPr>
          <w:p w14:paraId="30CA31C7" w14:textId="77777777" w:rsidR="00F618EB" w:rsidRPr="00F618EB" w:rsidRDefault="00F618EB" w:rsidP="001860A4">
            <w:pPr>
              <w:spacing w:after="120" w:line="240" w:lineRule="auto"/>
              <w:jc w:val="right"/>
              <w:rPr>
                <w:rFonts w:ascii="Times New Roman" w:eastAsia="Times New Roman" w:hAnsi="Times New Roman"/>
                <w:sz w:val="24"/>
                <w:szCs w:val="24"/>
                <w:lang w:eastAsia="pt-BR"/>
              </w:rPr>
            </w:pPr>
            <w:r w:rsidRPr="00F618EB">
              <w:rPr>
                <w:rFonts w:ascii="Times New Roman" w:eastAsia="Times New Roman" w:hAnsi="Times New Roman"/>
                <w:sz w:val="24"/>
                <w:szCs w:val="24"/>
                <w:lang w:eastAsia="pt-BR"/>
              </w:rPr>
              <w:t>185</w:t>
            </w:r>
          </w:p>
        </w:tc>
        <w:tc>
          <w:tcPr>
            <w:tcW w:w="1323" w:type="dxa"/>
            <w:tcBorders>
              <w:top w:val="nil"/>
              <w:left w:val="nil"/>
              <w:bottom w:val="single" w:sz="4" w:space="0" w:color="auto"/>
              <w:right w:val="single" w:sz="4" w:space="0" w:color="auto"/>
            </w:tcBorders>
            <w:shd w:val="clear" w:color="auto" w:fill="auto"/>
            <w:noWrap/>
            <w:vAlign w:val="center"/>
            <w:hideMark/>
          </w:tcPr>
          <w:p w14:paraId="57E46221" w14:textId="77777777" w:rsidR="00F618EB" w:rsidRPr="00F618EB" w:rsidRDefault="00F618EB" w:rsidP="001860A4">
            <w:pPr>
              <w:spacing w:after="120" w:line="240" w:lineRule="auto"/>
              <w:jc w:val="right"/>
              <w:rPr>
                <w:rFonts w:ascii="Times New Roman" w:eastAsia="Times New Roman" w:hAnsi="Times New Roman"/>
                <w:sz w:val="24"/>
                <w:szCs w:val="24"/>
                <w:lang w:eastAsia="pt-BR"/>
              </w:rPr>
            </w:pPr>
            <w:r w:rsidRPr="00F618EB">
              <w:rPr>
                <w:rFonts w:ascii="Times New Roman" w:eastAsia="Times New Roman" w:hAnsi="Times New Roman"/>
                <w:sz w:val="24"/>
                <w:szCs w:val="24"/>
                <w:lang w:eastAsia="pt-BR"/>
              </w:rPr>
              <w:t>15,43%</w:t>
            </w:r>
          </w:p>
        </w:tc>
      </w:tr>
      <w:tr w:rsidR="00F618EB" w:rsidRPr="00F618EB" w14:paraId="0F2694B1" w14:textId="77777777" w:rsidTr="002B60FE">
        <w:trPr>
          <w:trHeight w:val="312"/>
        </w:trPr>
        <w:tc>
          <w:tcPr>
            <w:tcW w:w="2405" w:type="dxa"/>
            <w:tcBorders>
              <w:top w:val="nil"/>
              <w:left w:val="single" w:sz="4" w:space="0" w:color="auto"/>
              <w:bottom w:val="single" w:sz="4" w:space="0" w:color="auto"/>
              <w:right w:val="single" w:sz="4" w:space="0" w:color="auto"/>
            </w:tcBorders>
            <w:shd w:val="clear" w:color="auto" w:fill="auto"/>
            <w:noWrap/>
            <w:vAlign w:val="center"/>
            <w:hideMark/>
          </w:tcPr>
          <w:p w14:paraId="5192C623" w14:textId="77777777" w:rsidR="00F618EB" w:rsidRPr="00F618EB" w:rsidRDefault="00F618EB" w:rsidP="001860A4">
            <w:pPr>
              <w:spacing w:after="120" w:line="240" w:lineRule="auto"/>
              <w:rPr>
                <w:rFonts w:ascii="Times New Roman" w:eastAsia="Times New Roman" w:hAnsi="Times New Roman"/>
                <w:sz w:val="24"/>
                <w:szCs w:val="24"/>
                <w:lang w:eastAsia="pt-BR"/>
              </w:rPr>
            </w:pPr>
            <w:r w:rsidRPr="00F618EB">
              <w:rPr>
                <w:rFonts w:ascii="Times New Roman" w:eastAsia="Times New Roman" w:hAnsi="Times New Roman"/>
                <w:sz w:val="24"/>
                <w:szCs w:val="24"/>
                <w:lang w:eastAsia="pt-BR"/>
              </w:rPr>
              <w:t>De 10 001 a 20 000</w:t>
            </w:r>
          </w:p>
        </w:tc>
        <w:tc>
          <w:tcPr>
            <w:tcW w:w="1247" w:type="dxa"/>
            <w:tcBorders>
              <w:top w:val="nil"/>
              <w:left w:val="nil"/>
              <w:bottom w:val="single" w:sz="4" w:space="0" w:color="auto"/>
              <w:right w:val="single" w:sz="4" w:space="0" w:color="auto"/>
            </w:tcBorders>
            <w:shd w:val="clear" w:color="auto" w:fill="auto"/>
            <w:noWrap/>
            <w:vAlign w:val="center"/>
            <w:hideMark/>
          </w:tcPr>
          <w:p w14:paraId="06C7FB2B" w14:textId="77777777" w:rsidR="00F618EB" w:rsidRPr="00F618EB" w:rsidRDefault="00F618EB" w:rsidP="001860A4">
            <w:pPr>
              <w:spacing w:after="120" w:line="240" w:lineRule="auto"/>
              <w:jc w:val="right"/>
              <w:rPr>
                <w:rFonts w:ascii="Times New Roman" w:eastAsia="Times New Roman" w:hAnsi="Times New Roman"/>
                <w:sz w:val="24"/>
                <w:szCs w:val="24"/>
                <w:lang w:eastAsia="pt-BR"/>
              </w:rPr>
            </w:pPr>
            <w:r w:rsidRPr="00F618EB">
              <w:rPr>
                <w:rFonts w:ascii="Times New Roman" w:eastAsia="Times New Roman" w:hAnsi="Times New Roman"/>
                <w:sz w:val="24"/>
                <w:szCs w:val="24"/>
                <w:lang w:eastAsia="pt-BR"/>
              </w:rPr>
              <w:t>1345</w:t>
            </w:r>
          </w:p>
        </w:tc>
        <w:tc>
          <w:tcPr>
            <w:tcW w:w="1843" w:type="dxa"/>
            <w:tcBorders>
              <w:top w:val="nil"/>
              <w:left w:val="nil"/>
              <w:bottom w:val="single" w:sz="4" w:space="0" w:color="auto"/>
              <w:right w:val="single" w:sz="4" w:space="0" w:color="auto"/>
            </w:tcBorders>
            <w:shd w:val="clear" w:color="auto" w:fill="auto"/>
            <w:noWrap/>
            <w:vAlign w:val="center"/>
            <w:hideMark/>
          </w:tcPr>
          <w:p w14:paraId="40FB5AEA" w14:textId="77777777" w:rsidR="00F618EB" w:rsidRPr="00F618EB" w:rsidRDefault="00F618EB" w:rsidP="001860A4">
            <w:pPr>
              <w:spacing w:after="120" w:line="240" w:lineRule="auto"/>
              <w:jc w:val="right"/>
              <w:rPr>
                <w:rFonts w:ascii="Times New Roman" w:eastAsia="Times New Roman" w:hAnsi="Times New Roman"/>
                <w:sz w:val="24"/>
                <w:szCs w:val="24"/>
                <w:lang w:eastAsia="pt-BR"/>
              </w:rPr>
            </w:pPr>
            <w:r w:rsidRPr="00F618EB">
              <w:rPr>
                <w:rFonts w:ascii="Times New Roman" w:eastAsia="Times New Roman" w:hAnsi="Times New Roman"/>
                <w:sz w:val="24"/>
                <w:szCs w:val="24"/>
                <w:lang w:eastAsia="pt-BR"/>
              </w:rPr>
              <w:t>865</w:t>
            </w:r>
          </w:p>
        </w:tc>
        <w:tc>
          <w:tcPr>
            <w:tcW w:w="1134" w:type="dxa"/>
            <w:tcBorders>
              <w:top w:val="nil"/>
              <w:left w:val="nil"/>
              <w:bottom w:val="single" w:sz="4" w:space="0" w:color="auto"/>
              <w:right w:val="single" w:sz="4" w:space="0" w:color="auto"/>
            </w:tcBorders>
            <w:shd w:val="clear" w:color="auto" w:fill="auto"/>
            <w:noWrap/>
            <w:vAlign w:val="center"/>
            <w:hideMark/>
          </w:tcPr>
          <w:p w14:paraId="05DBA8FD" w14:textId="77777777" w:rsidR="00F618EB" w:rsidRPr="00F618EB" w:rsidRDefault="00F618EB" w:rsidP="001860A4">
            <w:pPr>
              <w:spacing w:after="120" w:line="240" w:lineRule="auto"/>
              <w:jc w:val="right"/>
              <w:rPr>
                <w:rFonts w:ascii="Times New Roman" w:eastAsia="Times New Roman" w:hAnsi="Times New Roman"/>
                <w:sz w:val="24"/>
                <w:szCs w:val="24"/>
                <w:lang w:eastAsia="pt-BR"/>
              </w:rPr>
            </w:pPr>
            <w:r w:rsidRPr="00F618EB">
              <w:rPr>
                <w:rFonts w:ascii="Times New Roman" w:eastAsia="Times New Roman" w:hAnsi="Times New Roman"/>
                <w:sz w:val="24"/>
                <w:szCs w:val="24"/>
                <w:lang w:eastAsia="pt-BR"/>
              </w:rPr>
              <w:t>214</w:t>
            </w:r>
          </w:p>
        </w:tc>
        <w:tc>
          <w:tcPr>
            <w:tcW w:w="1021" w:type="dxa"/>
            <w:tcBorders>
              <w:top w:val="nil"/>
              <w:left w:val="nil"/>
              <w:bottom w:val="single" w:sz="4" w:space="0" w:color="auto"/>
              <w:right w:val="single" w:sz="4" w:space="0" w:color="auto"/>
            </w:tcBorders>
            <w:shd w:val="clear" w:color="auto" w:fill="auto"/>
            <w:noWrap/>
            <w:vAlign w:val="center"/>
            <w:hideMark/>
          </w:tcPr>
          <w:p w14:paraId="56EEAD8D" w14:textId="77777777" w:rsidR="00F618EB" w:rsidRPr="00F618EB" w:rsidRDefault="00F618EB" w:rsidP="001860A4">
            <w:pPr>
              <w:spacing w:after="120" w:line="240" w:lineRule="auto"/>
              <w:jc w:val="right"/>
              <w:rPr>
                <w:rFonts w:ascii="Times New Roman" w:eastAsia="Times New Roman" w:hAnsi="Times New Roman"/>
                <w:sz w:val="24"/>
                <w:szCs w:val="24"/>
                <w:lang w:eastAsia="pt-BR"/>
              </w:rPr>
            </w:pPr>
            <w:r w:rsidRPr="00F618EB">
              <w:rPr>
                <w:rFonts w:ascii="Times New Roman" w:eastAsia="Times New Roman" w:hAnsi="Times New Roman"/>
                <w:sz w:val="24"/>
                <w:szCs w:val="24"/>
                <w:lang w:eastAsia="pt-BR"/>
              </w:rPr>
              <w:t>181</w:t>
            </w:r>
          </w:p>
        </w:tc>
        <w:tc>
          <w:tcPr>
            <w:tcW w:w="1323" w:type="dxa"/>
            <w:tcBorders>
              <w:top w:val="nil"/>
              <w:left w:val="nil"/>
              <w:bottom w:val="single" w:sz="4" w:space="0" w:color="auto"/>
              <w:right w:val="single" w:sz="4" w:space="0" w:color="auto"/>
            </w:tcBorders>
            <w:shd w:val="clear" w:color="auto" w:fill="auto"/>
            <w:noWrap/>
            <w:vAlign w:val="center"/>
            <w:hideMark/>
          </w:tcPr>
          <w:p w14:paraId="1D84EA8B" w14:textId="77777777" w:rsidR="00F618EB" w:rsidRPr="00F618EB" w:rsidRDefault="00F618EB" w:rsidP="001860A4">
            <w:pPr>
              <w:spacing w:after="120" w:line="240" w:lineRule="auto"/>
              <w:jc w:val="right"/>
              <w:rPr>
                <w:rFonts w:ascii="Times New Roman" w:eastAsia="Times New Roman" w:hAnsi="Times New Roman"/>
                <w:sz w:val="24"/>
                <w:szCs w:val="24"/>
                <w:lang w:eastAsia="pt-BR"/>
              </w:rPr>
            </w:pPr>
            <w:r w:rsidRPr="00F618EB">
              <w:rPr>
                <w:rFonts w:ascii="Times New Roman" w:eastAsia="Times New Roman" w:hAnsi="Times New Roman"/>
                <w:sz w:val="24"/>
                <w:szCs w:val="24"/>
                <w:lang w:eastAsia="pt-BR"/>
              </w:rPr>
              <w:t>13,46%</w:t>
            </w:r>
          </w:p>
        </w:tc>
      </w:tr>
      <w:tr w:rsidR="00F618EB" w:rsidRPr="00F618EB" w14:paraId="247BC19E" w14:textId="77777777" w:rsidTr="002B60FE">
        <w:trPr>
          <w:trHeight w:val="312"/>
        </w:trPr>
        <w:tc>
          <w:tcPr>
            <w:tcW w:w="2405" w:type="dxa"/>
            <w:tcBorders>
              <w:top w:val="nil"/>
              <w:left w:val="single" w:sz="4" w:space="0" w:color="auto"/>
              <w:bottom w:val="single" w:sz="4" w:space="0" w:color="auto"/>
              <w:right w:val="single" w:sz="4" w:space="0" w:color="auto"/>
            </w:tcBorders>
            <w:shd w:val="clear" w:color="auto" w:fill="auto"/>
            <w:noWrap/>
            <w:vAlign w:val="center"/>
            <w:hideMark/>
          </w:tcPr>
          <w:p w14:paraId="5622F4A2" w14:textId="77777777" w:rsidR="00F618EB" w:rsidRPr="00F618EB" w:rsidRDefault="00F618EB" w:rsidP="001860A4">
            <w:pPr>
              <w:spacing w:after="120" w:line="240" w:lineRule="auto"/>
              <w:rPr>
                <w:rFonts w:ascii="Times New Roman" w:eastAsia="Times New Roman" w:hAnsi="Times New Roman"/>
                <w:sz w:val="24"/>
                <w:szCs w:val="24"/>
                <w:lang w:eastAsia="pt-BR"/>
              </w:rPr>
            </w:pPr>
            <w:r w:rsidRPr="00F618EB">
              <w:rPr>
                <w:rFonts w:ascii="Times New Roman" w:eastAsia="Times New Roman" w:hAnsi="Times New Roman"/>
                <w:sz w:val="24"/>
                <w:szCs w:val="24"/>
                <w:lang w:eastAsia="pt-BR"/>
              </w:rPr>
              <w:t>De 20 001 a 50 000</w:t>
            </w:r>
          </w:p>
        </w:tc>
        <w:tc>
          <w:tcPr>
            <w:tcW w:w="1247" w:type="dxa"/>
            <w:tcBorders>
              <w:top w:val="nil"/>
              <w:left w:val="nil"/>
              <w:bottom w:val="single" w:sz="4" w:space="0" w:color="auto"/>
              <w:right w:val="single" w:sz="4" w:space="0" w:color="auto"/>
            </w:tcBorders>
            <w:shd w:val="clear" w:color="auto" w:fill="auto"/>
            <w:noWrap/>
            <w:vAlign w:val="center"/>
            <w:hideMark/>
          </w:tcPr>
          <w:p w14:paraId="160FDCBF" w14:textId="77777777" w:rsidR="00F618EB" w:rsidRPr="00F618EB" w:rsidRDefault="00F618EB" w:rsidP="001860A4">
            <w:pPr>
              <w:spacing w:after="120" w:line="240" w:lineRule="auto"/>
              <w:jc w:val="right"/>
              <w:rPr>
                <w:rFonts w:ascii="Times New Roman" w:eastAsia="Times New Roman" w:hAnsi="Times New Roman"/>
                <w:sz w:val="24"/>
                <w:szCs w:val="24"/>
                <w:lang w:eastAsia="pt-BR"/>
              </w:rPr>
            </w:pPr>
            <w:r w:rsidRPr="00F618EB">
              <w:rPr>
                <w:rFonts w:ascii="Times New Roman" w:eastAsia="Times New Roman" w:hAnsi="Times New Roman"/>
                <w:sz w:val="24"/>
                <w:szCs w:val="24"/>
                <w:lang w:eastAsia="pt-BR"/>
              </w:rPr>
              <w:t>1100</w:t>
            </w:r>
          </w:p>
        </w:tc>
        <w:tc>
          <w:tcPr>
            <w:tcW w:w="1843" w:type="dxa"/>
            <w:tcBorders>
              <w:top w:val="nil"/>
              <w:left w:val="nil"/>
              <w:bottom w:val="single" w:sz="4" w:space="0" w:color="auto"/>
              <w:right w:val="single" w:sz="4" w:space="0" w:color="auto"/>
            </w:tcBorders>
            <w:shd w:val="clear" w:color="auto" w:fill="auto"/>
            <w:noWrap/>
            <w:vAlign w:val="center"/>
            <w:hideMark/>
          </w:tcPr>
          <w:p w14:paraId="79944275" w14:textId="77777777" w:rsidR="00F618EB" w:rsidRPr="00F618EB" w:rsidRDefault="00F618EB" w:rsidP="001860A4">
            <w:pPr>
              <w:spacing w:after="120" w:line="240" w:lineRule="auto"/>
              <w:jc w:val="right"/>
              <w:rPr>
                <w:rFonts w:ascii="Times New Roman" w:eastAsia="Times New Roman" w:hAnsi="Times New Roman"/>
                <w:sz w:val="24"/>
                <w:szCs w:val="24"/>
                <w:lang w:eastAsia="pt-BR"/>
              </w:rPr>
            </w:pPr>
            <w:r w:rsidRPr="00F618EB">
              <w:rPr>
                <w:rFonts w:ascii="Times New Roman" w:eastAsia="Times New Roman" w:hAnsi="Times New Roman"/>
                <w:sz w:val="24"/>
                <w:szCs w:val="24"/>
                <w:lang w:eastAsia="pt-BR"/>
              </w:rPr>
              <w:t>787</w:t>
            </w:r>
          </w:p>
        </w:tc>
        <w:tc>
          <w:tcPr>
            <w:tcW w:w="1134" w:type="dxa"/>
            <w:tcBorders>
              <w:top w:val="nil"/>
              <w:left w:val="nil"/>
              <w:bottom w:val="single" w:sz="4" w:space="0" w:color="auto"/>
              <w:right w:val="single" w:sz="4" w:space="0" w:color="auto"/>
            </w:tcBorders>
            <w:shd w:val="clear" w:color="auto" w:fill="auto"/>
            <w:noWrap/>
            <w:vAlign w:val="center"/>
            <w:hideMark/>
          </w:tcPr>
          <w:p w14:paraId="47C66FC0" w14:textId="77777777" w:rsidR="00F618EB" w:rsidRPr="00F618EB" w:rsidRDefault="00F618EB" w:rsidP="001860A4">
            <w:pPr>
              <w:spacing w:after="120" w:line="240" w:lineRule="auto"/>
              <w:jc w:val="right"/>
              <w:rPr>
                <w:rFonts w:ascii="Times New Roman" w:eastAsia="Times New Roman" w:hAnsi="Times New Roman"/>
                <w:sz w:val="24"/>
                <w:szCs w:val="24"/>
                <w:lang w:eastAsia="pt-BR"/>
              </w:rPr>
            </w:pPr>
            <w:r w:rsidRPr="00F618EB">
              <w:rPr>
                <w:rFonts w:ascii="Times New Roman" w:eastAsia="Times New Roman" w:hAnsi="Times New Roman"/>
                <w:sz w:val="24"/>
                <w:szCs w:val="24"/>
                <w:lang w:eastAsia="pt-BR"/>
              </w:rPr>
              <w:t>168</w:t>
            </w:r>
          </w:p>
        </w:tc>
        <w:tc>
          <w:tcPr>
            <w:tcW w:w="1021" w:type="dxa"/>
            <w:tcBorders>
              <w:top w:val="nil"/>
              <w:left w:val="nil"/>
              <w:bottom w:val="single" w:sz="4" w:space="0" w:color="auto"/>
              <w:right w:val="single" w:sz="4" w:space="0" w:color="auto"/>
            </w:tcBorders>
            <w:shd w:val="clear" w:color="auto" w:fill="auto"/>
            <w:noWrap/>
            <w:vAlign w:val="center"/>
            <w:hideMark/>
          </w:tcPr>
          <w:p w14:paraId="22B9EC4C" w14:textId="77777777" w:rsidR="00F618EB" w:rsidRPr="00F618EB" w:rsidRDefault="00F618EB" w:rsidP="001860A4">
            <w:pPr>
              <w:spacing w:after="120" w:line="240" w:lineRule="auto"/>
              <w:jc w:val="right"/>
              <w:rPr>
                <w:rFonts w:ascii="Times New Roman" w:eastAsia="Times New Roman" w:hAnsi="Times New Roman"/>
                <w:sz w:val="24"/>
                <w:szCs w:val="24"/>
                <w:lang w:eastAsia="pt-BR"/>
              </w:rPr>
            </w:pPr>
            <w:r w:rsidRPr="00F618EB">
              <w:rPr>
                <w:rFonts w:ascii="Times New Roman" w:eastAsia="Times New Roman" w:hAnsi="Times New Roman"/>
                <w:sz w:val="24"/>
                <w:szCs w:val="24"/>
                <w:lang w:eastAsia="pt-BR"/>
              </w:rPr>
              <w:t>99</w:t>
            </w:r>
          </w:p>
        </w:tc>
        <w:tc>
          <w:tcPr>
            <w:tcW w:w="1323" w:type="dxa"/>
            <w:tcBorders>
              <w:top w:val="nil"/>
              <w:left w:val="nil"/>
              <w:bottom w:val="single" w:sz="4" w:space="0" w:color="auto"/>
              <w:right w:val="single" w:sz="4" w:space="0" w:color="auto"/>
            </w:tcBorders>
            <w:shd w:val="clear" w:color="auto" w:fill="auto"/>
            <w:noWrap/>
            <w:vAlign w:val="center"/>
            <w:hideMark/>
          </w:tcPr>
          <w:p w14:paraId="51AAE764" w14:textId="77777777" w:rsidR="00F618EB" w:rsidRPr="00F618EB" w:rsidRDefault="00F618EB" w:rsidP="001860A4">
            <w:pPr>
              <w:spacing w:after="120" w:line="240" w:lineRule="auto"/>
              <w:jc w:val="right"/>
              <w:rPr>
                <w:rFonts w:ascii="Times New Roman" w:eastAsia="Times New Roman" w:hAnsi="Times New Roman"/>
                <w:sz w:val="24"/>
                <w:szCs w:val="24"/>
                <w:lang w:eastAsia="pt-BR"/>
              </w:rPr>
            </w:pPr>
            <w:r w:rsidRPr="00F618EB">
              <w:rPr>
                <w:rFonts w:ascii="Times New Roman" w:eastAsia="Times New Roman" w:hAnsi="Times New Roman"/>
                <w:sz w:val="24"/>
                <w:szCs w:val="24"/>
                <w:lang w:eastAsia="pt-BR"/>
              </w:rPr>
              <w:t>9,00%</w:t>
            </w:r>
          </w:p>
        </w:tc>
      </w:tr>
      <w:tr w:rsidR="00F618EB" w:rsidRPr="00F618EB" w14:paraId="4391588C" w14:textId="77777777" w:rsidTr="002B60FE">
        <w:trPr>
          <w:trHeight w:val="312"/>
        </w:trPr>
        <w:tc>
          <w:tcPr>
            <w:tcW w:w="2405" w:type="dxa"/>
            <w:tcBorders>
              <w:top w:val="nil"/>
              <w:left w:val="single" w:sz="4" w:space="0" w:color="auto"/>
              <w:bottom w:val="single" w:sz="4" w:space="0" w:color="auto"/>
              <w:right w:val="single" w:sz="4" w:space="0" w:color="auto"/>
            </w:tcBorders>
            <w:shd w:val="clear" w:color="auto" w:fill="auto"/>
            <w:noWrap/>
            <w:vAlign w:val="center"/>
            <w:hideMark/>
          </w:tcPr>
          <w:p w14:paraId="3ABF9F85" w14:textId="77777777" w:rsidR="00F618EB" w:rsidRPr="00F618EB" w:rsidRDefault="00F618EB" w:rsidP="001860A4">
            <w:pPr>
              <w:spacing w:after="120" w:line="240" w:lineRule="auto"/>
              <w:rPr>
                <w:rFonts w:ascii="Times New Roman" w:eastAsia="Times New Roman" w:hAnsi="Times New Roman"/>
                <w:sz w:val="24"/>
                <w:szCs w:val="24"/>
                <w:lang w:eastAsia="pt-BR"/>
              </w:rPr>
            </w:pPr>
            <w:r w:rsidRPr="00F618EB">
              <w:rPr>
                <w:rFonts w:ascii="Times New Roman" w:eastAsia="Times New Roman" w:hAnsi="Times New Roman"/>
                <w:sz w:val="24"/>
                <w:szCs w:val="24"/>
                <w:lang w:eastAsia="pt-BR"/>
              </w:rPr>
              <w:t>De 50 001 a 100 000</w:t>
            </w:r>
          </w:p>
        </w:tc>
        <w:tc>
          <w:tcPr>
            <w:tcW w:w="1247" w:type="dxa"/>
            <w:tcBorders>
              <w:top w:val="nil"/>
              <w:left w:val="nil"/>
              <w:bottom w:val="single" w:sz="4" w:space="0" w:color="auto"/>
              <w:right w:val="single" w:sz="4" w:space="0" w:color="auto"/>
            </w:tcBorders>
            <w:shd w:val="clear" w:color="auto" w:fill="auto"/>
            <w:noWrap/>
            <w:vAlign w:val="center"/>
            <w:hideMark/>
          </w:tcPr>
          <w:p w14:paraId="645771FA" w14:textId="77777777" w:rsidR="00F618EB" w:rsidRPr="00F618EB" w:rsidRDefault="00F618EB" w:rsidP="001860A4">
            <w:pPr>
              <w:spacing w:after="120" w:line="240" w:lineRule="auto"/>
              <w:jc w:val="right"/>
              <w:rPr>
                <w:rFonts w:ascii="Times New Roman" w:eastAsia="Times New Roman" w:hAnsi="Times New Roman"/>
                <w:sz w:val="24"/>
                <w:szCs w:val="24"/>
                <w:lang w:eastAsia="pt-BR"/>
              </w:rPr>
            </w:pPr>
            <w:r w:rsidRPr="00F618EB">
              <w:rPr>
                <w:rFonts w:ascii="Times New Roman" w:eastAsia="Times New Roman" w:hAnsi="Times New Roman"/>
                <w:sz w:val="24"/>
                <w:szCs w:val="24"/>
                <w:lang w:eastAsia="pt-BR"/>
              </w:rPr>
              <w:t>349</w:t>
            </w:r>
          </w:p>
        </w:tc>
        <w:tc>
          <w:tcPr>
            <w:tcW w:w="1843" w:type="dxa"/>
            <w:tcBorders>
              <w:top w:val="nil"/>
              <w:left w:val="nil"/>
              <w:bottom w:val="single" w:sz="4" w:space="0" w:color="auto"/>
              <w:right w:val="single" w:sz="4" w:space="0" w:color="auto"/>
            </w:tcBorders>
            <w:shd w:val="clear" w:color="auto" w:fill="auto"/>
            <w:noWrap/>
            <w:vAlign w:val="center"/>
            <w:hideMark/>
          </w:tcPr>
          <w:p w14:paraId="09BC7AA9" w14:textId="77777777" w:rsidR="00F618EB" w:rsidRPr="00F618EB" w:rsidRDefault="00F618EB" w:rsidP="001860A4">
            <w:pPr>
              <w:spacing w:after="120" w:line="240" w:lineRule="auto"/>
              <w:jc w:val="right"/>
              <w:rPr>
                <w:rFonts w:ascii="Times New Roman" w:eastAsia="Times New Roman" w:hAnsi="Times New Roman"/>
                <w:sz w:val="24"/>
                <w:szCs w:val="24"/>
                <w:lang w:eastAsia="pt-BR"/>
              </w:rPr>
            </w:pPr>
            <w:r w:rsidRPr="00F618EB">
              <w:rPr>
                <w:rFonts w:ascii="Times New Roman" w:eastAsia="Times New Roman" w:hAnsi="Times New Roman"/>
                <w:sz w:val="24"/>
                <w:szCs w:val="24"/>
                <w:lang w:eastAsia="pt-BR"/>
              </w:rPr>
              <w:t>293</w:t>
            </w:r>
          </w:p>
        </w:tc>
        <w:tc>
          <w:tcPr>
            <w:tcW w:w="1134" w:type="dxa"/>
            <w:tcBorders>
              <w:top w:val="nil"/>
              <w:left w:val="nil"/>
              <w:bottom w:val="single" w:sz="4" w:space="0" w:color="auto"/>
              <w:right w:val="single" w:sz="4" w:space="0" w:color="auto"/>
            </w:tcBorders>
            <w:shd w:val="clear" w:color="auto" w:fill="auto"/>
            <w:noWrap/>
            <w:vAlign w:val="center"/>
            <w:hideMark/>
          </w:tcPr>
          <w:p w14:paraId="1EBA5C05" w14:textId="77777777" w:rsidR="00F618EB" w:rsidRPr="00F618EB" w:rsidRDefault="00F618EB" w:rsidP="001860A4">
            <w:pPr>
              <w:spacing w:after="120" w:line="240" w:lineRule="auto"/>
              <w:jc w:val="right"/>
              <w:rPr>
                <w:rFonts w:ascii="Times New Roman" w:eastAsia="Times New Roman" w:hAnsi="Times New Roman"/>
                <w:sz w:val="24"/>
                <w:szCs w:val="24"/>
                <w:lang w:eastAsia="pt-BR"/>
              </w:rPr>
            </w:pPr>
            <w:r w:rsidRPr="00F618EB">
              <w:rPr>
                <w:rFonts w:ascii="Times New Roman" w:eastAsia="Times New Roman" w:hAnsi="Times New Roman"/>
                <w:sz w:val="24"/>
                <w:szCs w:val="24"/>
                <w:lang w:eastAsia="pt-BR"/>
              </w:rPr>
              <w:t>39</w:t>
            </w:r>
          </w:p>
        </w:tc>
        <w:tc>
          <w:tcPr>
            <w:tcW w:w="1021" w:type="dxa"/>
            <w:tcBorders>
              <w:top w:val="nil"/>
              <w:left w:val="nil"/>
              <w:bottom w:val="single" w:sz="4" w:space="0" w:color="auto"/>
              <w:right w:val="single" w:sz="4" w:space="0" w:color="auto"/>
            </w:tcBorders>
            <w:shd w:val="clear" w:color="auto" w:fill="auto"/>
            <w:noWrap/>
            <w:vAlign w:val="center"/>
            <w:hideMark/>
          </w:tcPr>
          <w:p w14:paraId="6E68EF40" w14:textId="77777777" w:rsidR="00F618EB" w:rsidRPr="00F618EB" w:rsidRDefault="00F618EB" w:rsidP="001860A4">
            <w:pPr>
              <w:spacing w:after="120" w:line="240" w:lineRule="auto"/>
              <w:jc w:val="right"/>
              <w:rPr>
                <w:rFonts w:ascii="Times New Roman" w:eastAsia="Times New Roman" w:hAnsi="Times New Roman"/>
                <w:sz w:val="24"/>
                <w:szCs w:val="24"/>
                <w:lang w:eastAsia="pt-BR"/>
              </w:rPr>
            </w:pPr>
            <w:r w:rsidRPr="00F618EB">
              <w:rPr>
                <w:rFonts w:ascii="Times New Roman" w:eastAsia="Times New Roman" w:hAnsi="Times New Roman"/>
                <w:sz w:val="24"/>
                <w:szCs w:val="24"/>
                <w:lang w:eastAsia="pt-BR"/>
              </w:rPr>
              <w:t>11</w:t>
            </w:r>
          </w:p>
        </w:tc>
        <w:tc>
          <w:tcPr>
            <w:tcW w:w="1323" w:type="dxa"/>
            <w:tcBorders>
              <w:top w:val="nil"/>
              <w:left w:val="nil"/>
              <w:bottom w:val="single" w:sz="4" w:space="0" w:color="auto"/>
              <w:right w:val="single" w:sz="4" w:space="0" w:color="auto"/>
            </w:tcBorders>
            <w:shd w:val="clear" w:color="auto" w:fill="auto"/>
            <w:noWrap/>
            <w:vAlign w:val="center"/>
            <w:hideMark/>
          </w:tcPr>
          <w:p w14:paraId="4AAF565F" w14:textId="77777777" w:rsidR="00F618EB" w:rsidRPr="00F618EB" w:rsidRDefault="00F618EB" w:rsidP="001860A4">
            <w:pPr>
              <w:spacing w:after="120" w:line="240" w:lineRule="auto"/>
              <w:jc w:val="right"/>
              <w:rPr>
                <w:rFonts w:ascii="Times New Roman" w:eastAsia="Times New Roman" w:hAnsi="Times New Roman"/>
                <w:sz w:val="24"/>
                <w:szCs w:val="24"/>
                <w:lang w:eastAsia="pt-BR"/>
              </w:rPr>
            </w:pPr>
            <w:r w:rsidRPr="00F618EB">
              <w:rPr>
                <w:rFonts w:ascii="Times New Roman" w:eastAsia="Times New Roman" w:hAnsi="Times New Roman"/>
                <w:sz w:val="24"/>
                <w:szCs w:val="24"/>
                <w:lang w:eastAsia="pt-BR"/>
              </w:rPr>
              <w:t>3,15%</w:t>
            </w:r>
          </w:p>
        </w:tc>
      </w:tr>
      <w:tr w:rsidR="00F618EB" w:rsidRPr="00F618EB" w14:paraId="4051B27C" w14:textId="77777777" w:rsidTr="002B60FE">
        <w:trPr>
          <w:trHeight w:val="312"/>
        </w:trPr>
        <w:tc>
          <w:tcPr>
            <w:tcW w:w="2405" w:type="dxa"/>
            <w:tcBorders>
              <w:top w:val="nil"/>
              <w:left w:val="single" w:sz="4" w:space="0" w:color="auto"/>
              <w:bottom w:val="single" w:sz="4" w:space="0" w:color="auto"/>
              <w:right w:val="single" w:sz="4" w:space="0" w:color="auto"/>
            </w:tcBorders>
            <w:shd w:val="clear" w:color="auto" w:fill="auto"/>
            <w:noWrap/>
            <w:vAlign w:val="center"/>
            <w:hideMark/>
          </w:tcPr>
          <w:p w14:paraId="39FECB20" w14:textId="77777777" w:rsidR="00F618EB" w:rsidRPr="00F618EB" w:rsidRDefault="00F618EB" w:rsidP="001860A4">
            <w:pPr>
              <w:spacing w:after="120" w:line="240" w:lineRule="auto"/>
              <w:rPr>
                <w:rFonts w:ascii="Times New Roman" w:eastAsia="Times New Roman" w:hAnsi="Times New Roman"/>
                <w:sz w:val="24"/>
                <w:szCs w:val="24"/>
                <w:lang w:eastAsia="pt-BR"/>
              </w:rPr>
            </w:pPr>
            <w:r w:rsidRPr="00F618EB">
              <w:rPr>
                <w:rFonts w:ascii="Times New Roman" w:eastAsia="Times New Roman" w:hAnsi="Times New Roman"/>
                <w:sz w:val="24"/>
                <w:szCs w:val="24"/>
                <w:lang w:eastAsia="pt-BR"/>
              </w:rPr>
              <w:t>De 100 001 a 500 000</w:t>
            </w:r>
          </w:p>
        </w:tc>
        <w:tc>
          <w:tcPr>
            <w:tcW w:w="1247" w:type="dxa"/>
            <w:tcBorders>
              <w:top w:val="nil"/>
              <w:left w:val="nil"/>
              <w:bottom w:val="single" w:sz="4" w:space="0" w:color="auto"/>
              <w:right w:val="single" w:sz="4" w:space="0" w:color="auto"/>
            </w:tcBorders>
            <w:shd w:val="clear" w:color="auto" w:fill="auto"/>
            <w:noWrap/>
            <w:vAlign w:val="center"/>
            <w:hideMark/>
          </w:tcPr>
          <w:p w14:paraId="7EC36369" w14:textId="77777777" w:rsidR="00F618EB" w:rsidRPr="00F618EB" w:rsidRDefault="00F618EB" w:rsidP="001860A4">
            <w:pPr>
              <w:spacing w:after="120" w:line="240" w:lineRule="auto"/>
              <w:jc w:val="right"/>
              <w:rPr>
                <w:rFonts w:ascii="Times New Roman" w:eastAsia="Times New Roman" w:hAnsi="Times New Roman"/>
                <w:sz w:val="24"/>
                <w:szCs w:val="24"/>
                <w:lang w:eastAsia="pt-BR"/>
              </w:rPr>
            </w:pPr>
            <w:r w:rsidRPr="00F618EB">
              <w:rPr>
                <w:rFonts w:ascii="Times New Roman" w:eastAsia="Times New Roman" w:hAnsi="Times New Roman"/>
                <w:sz w:val="24"/>
                <w:szCs w:val="24"/>
                <w:lang w:eastAsia="pt-BR"/>
              </w:rPr>
              <w:t>276</w:t>
            </w:r>
          </w:p>
        </w:tc>
        <w:tc>
          <w:tcPr>
            <w:tcW w:w="1843" w:type="dxa"/>
            <w:tcBorders>
              <w:top w:val="nil"/>
              <w:left w:val="nil"/>
              <w:bottom w:val="single" w:sz="4" w:space="0" w:color="auto"/>
              <w:right w:val="single" w:sz="4" w:space="0" w:color="auto"/>
            </w:tcBorders>
            <w:shd w:val="clear" w:color="auto" w:fill="auto"/>
            <w:noWrap/>
            <w:vAlign w:val="center"/>
            <w:hideMark/>
          </w:tcPr>
          <w:p w14:paraId="28C9BCB7" w14:textId="77777777" w:rsidR="00F618EB" w:rsidRPr="00F618EB" w:rsidRDefault="00F618EB" w:rsidP="001860A4">
            <w:pPr>
              <w:spacing w:after="120" w:line="240" w:lineRule="auto"/>
              <w:jc w:val="right"/>
              <w:rPr>
                <w:rFonts w:ascii="Times New Roman" w:eastAsia="Times New Roman" w:hAnsi="Times New Roman"/>
                <w:sz w:val="24"/>
                <w:szCs w:val="24"/>
                <w:lang w:eastAsia="pt-BR"/>
              </w:rPr>
            </w:pPr>
            <w:r w:rsidRPr="00F618EB">
              <w:rPr>
                <w:rFonts w:ascii="Times New Roman" w:eastAsia="Times New Roman" w:hAnsi="Times New Roman"/>
                <w:sz w:val="24"/>
                <w:szCs w:val="24"/>
                <w:lang w:eastAsia="pt-BR"/>
              </w:rPr>
              <w:t>237</w:t>
            </w:r>
          </w:p>
        </w:tc>
        <w:tc>
          <w:tcPr>
            <w:tcW w:w="1134" w:type="dxa"/>
            <w:tcBorders>
              <w:top w:val="nil"/>
              <w:left w:val="nil"/>
              <w:bottom w:val="single" w:sz="4" w:space="0" w:color="auto"/>
              <w:right w:val="single" w:sz="4" w:space="0" w:color="auto"/>
            </w:tcBorders>
            <w:shd w:val="clear" w:color="auto" w:fill="auto"/>
            <w:noWrap/>
            <w:vAlign w:val="center"/>
            <w:hideMark/>
          </w:tcPr>
          <w:p w14:paraId="5E597ED6" w14:textId="77777777" w:rsidR="00F618EB" w:rsidRPr="00F618EB" w:rsidRDefault="00F618EB" w:rsidP="001860A4">
            <w:pPr>
              <w:spacing w:after="120" w:line="240" w:lineRule="auto"/>
              <w:jc w:val="right"/>
              <w:rPr>
                <w:rFonts w:ascii="Times New Roman" w:eastAsia="Times New Roman" w:hAnsi="Times New Roman"/>
                <w:sz w:val="24"/>
                <w:szCs w:val="24"/>
                <w:lang w:eastAsia="pt-BR"/>
              </w:rPr>
            </w:pPr>
            <w:r w:rsidRPr="00F618EB">
              <w:rPr>
                <w:rFonts w:ascii="Times New Roman" w:eastAsia="Times New Roman" w:hAnsi="Times New Roman"/>
                <w:sz w:val="24"/>
                <w:szCs w:val="24"/>
                <w:lang w:eastAsia="pt-BR"/>
              </w:rPr>
              <w:t>27</w:t>
            </w:r>
          </w:p>
        </w:tc>
        <w:tc>
          <w:tcPr>
            <w:tcW w:w="1021" w:type="dxa"/>
            <w:tcBorders>
              <w:top w:val="nil"/>
              <w:left w:val="nil"/>
              <w:bottom w:val="single" w:sz="4" w:space="0" w:color="auto"/>
              <w:right w:val="single" w:sz="4" w:space="0" w:color="auto"/>
            </w:tcBorders>
            <w:shd w:val="clear" w:color="auto" w:fill="auto"/>
            <w:noWrap/>
            <w:vAlign w:val="center"/>
            <w:hideMark/>
          </w:tcPr>
          <w:p w14:paraId="2A63C716" w14:textId="77777777" w:rsidR="00F618EB" w:rsidRPr="00F618EB" w:rsidRDefault="00F618EB" w:rsidP="001860A4">
            <w:pPr>
              <w:spacing w:after="120" w:line="240" w:lineRule="auto"/>
              <w:jc w:val="right"/>
              <w:rPr>
                <w:rFonts w:ascii="Times New Roman" w:eastAsia="Times New Roman" w:hAnsi="Times New Roman"/>
                <w:sz w:val="24"/>
                <w:szCs w:val="24"/>
                <w:lang w:eastAsia="pt-BR"/>
              </w:rPr>
            </w:pPr>
            <w:r w:rsidRPr="00F618EB">
              <w:rPr>
                <w:rFonts w:ascii="Times New Roman" w:eastAsia="Times New Roman" w:hAnsi="Times New Roman"/>
                <w:sz w:val="24"/>
                <w:szCs w:val="24"/>
                <w:lang w:eastAsia="pt-BR"/>
              </w:rPr>
              <w:t>5</w:t>
            </w:r>
          </w:p>
        </w:tc>
        <w:tc>
          <w:tcPr>
            <w:tcW w:w="1323" w:type="dxa"/>
            <w:tcBorders>
              <w:top w:val="nil"/>
              <w:left w:val="nil"/>
              <w:bottom w:val="single" w:sz="4" w:space="0" w:color="auto"/>
              <w:right w:val="single" w:sz="4" w:space="0" w:color="auto"/>
            </w:tcBorders>
            <w:shd w:val="clear" w:color="auto" w:fill="auto"/>
            <w:noWrap/>
            <w:vAlign w:val="center"/>
            <w:hideMark/>
          </w:tcPr>
          <w:p w14:paraId="50D96DAF" w14:textId="77777777" w:rsidR="00F618EB" w:rsidRPr="00F618EB" w:rsidRDefault="00F618EB" w:rsidP="001860A4">
            <w:pPr>
              <w:spacing w:after="120" w:line="240" w:lineRule="auto"/>
              <w:jc w:val="right"/>
              <w:rPr>
                <w:rFonts w:ascii="Times New Roman" w:eastAsia="Times New Roman" w:hAnsi="Times New Roman"/>
                <w:sz w:val="24"/>
                <w:szCs w:val="24"/>
                <w:lang w:eastAsia="pt-BR"/>
              </w:rPr>
            </w:pPr>
            <w:r w:rsidRPr="00F618EB">
              <w:rPr>
                <w:rFonts w:ascii="Times New Roman" w:eastAsia="Times New Roman" w:hAnsi="Times New Roman"/>
                <w:sz w:val="24"/>
                <w:szCs w:val="24"/>
                <w:lang w:eastAsia="pt-BR"/>
              </w:rPr>
              <w:t>1,81%</w:t>
            </w:r>
          </w:p>
        </w:tc>
      </w:tr>
      <w:tr w:rsidR="00F618EB" w:rsidRPr="00F618EB" w14:paraId="43CDBEDF" w14:textId="77777777" w:rsidTr="002B60FE">
        <w:trPr>
          <w:trHeight w:val="312"/>
        </w:trPr>
        <w:tc>
          <w:tcPr>
            <w:tcW w:w="2405" w:type="dxa"/>
            <w:tcBorders>
              <w:top w:val="nil"/>
              <w:left w:val="single" w:sz="4" w:space="0" w:color="auto"/>
              <w:bottom w:val="single" w:sz="4" w:space="0" w:color="auto"/>
              <w:right w:val="single" w:sz="4" w:space="0" w:color="auto"/>
            </w:tcBorders>
            <w:shd w:val="clear" w:color="auto" w:fill="auto"/>
            <w:noWrap/>
            <w:vAlign w:val="center"/>
            <w:hideMark/>
          </w:tcPr>
          <w:p w14:paraId="193905B5" w14:textId="77777777" w:rsidR="00F618EB" w:rsidRPr="00F618EB" w:rsidRDefault="00F618EB" w:rsidP="001860A4">
            <w:pPr>
              <w:spacing w:after="120" w:line="240" w:lineRule="auto"/>
              <w:rPr>
                <w:rFonts w:ascii="Times New Roman" w:eastAsia="Times New Roman" w:hAnsi="Times New Roman"/>
                <w:sz w:val="24"/>
                <w:szCs w:val="24"/>
                <w:lang w:eastAsia="pt-BR"/>
              </w:rPr>
            </w:pPr>
            <w:r w:rsidRPr="00F618EB">
              <w:rPr>
                <w:rFonts w:ascii="Times New Roman" w:eastAsia="Times New Roman" w:hAnsi="Times New Roman"/>
                <w:sz w:val="24"/>
                <w:szCs w:val="24"/>
                <w:lang w:eastAsia="pt-BR"/>
              </w:rPr>
              <w:t>Mais de 500 000</w:t>
            </w:r>
          </w:p>
        </w:tc>
        <w:tc>
          <w:tcPr>
            <w:tcW w:w="1247" w:type="dxa"/>
            <w:tcBorders>
              <w:top w:val="nil"/>
              <w:left w:val="nil"/>
              <w:bottom w:val="single" w:sz="4" w:space="0" w:color="auto"/>
              <w:right w:val="single" w:sz="4" w:space="0" w:color="auto"/>
            </w:tcBorders>
            <w:shd w:val="clear" w:color="auto" w:fill="auto"/>
            <w:noWrap/>
            <w:vAlign w:val="center"/>
            <w:hideMark/>
          </w:tcPr>
          <w:p w14:paraId="3B9CAF3F" w14:textId="77777777" w:rsidR="00F618EB" w:rsidRPr="00F618EB" w:rsidRDefault="00F618EB" w:rsidP="001860A4">
            <w:pPr>
              <w:spacing w:after="120" w:line="240" w:lineRule="auto"/>
              <w:jc w:val="right"/>
              <w:rPr>
                <w:rFonts w:ascii="Times New Roman" w:eastAsia="Times New Roman" w:hAnsi="Times New Roman"/>
                <w:sz w:val="24"/>
                <w:szCs w:val="24"/>
                <w:lang w:eastAsia="pt-BR"/>
              </w:rPr>
            </w:pPr>
            <w:r w:rsidRPr="00F618EB">
              <w:rPr>
                <w:rFonts w:ascii="Times New Roman" w:eastAsia="Times New Roman" w:hAnsi="Times New Roman"/>
                <w:sz w:val="24"/>
                <w:szCs w:val="24"/>
                <w:lang w:eastAsia="pt-BR"/>
              </w:rPr>
              <w:t>48</w:t>
            </w:r>
          </w:p>
        </w:tc>
        <w:tc>
          <w:tcPr>
            <w:tcW w:w="1843" w:type="dxa"/>
            <w:tcBorders>
              <w:top w:val="nil"/>
              <w:left w:val="nil"/>
              <w:bottom w:val="single" w:sz="4" w:space="0" w:color="auto"/>
              <w:right w:val="single" w:sz="4" w:space="0" w:color="auto"/>
            </w:tcBorders>
            <w:shd w:val="clear" w:color="auto" w:fill="auto"/>
            <w:noWrap/>
            <w:vAlign w:val="center"/>
            <w:hideMark/>
          </w:tcPr>
          <w:p w14:paraId="04FBCA19" w14:textId="77777777" w:rsidR="00F618EB" w:rsidRPr="00F618EB" w:rsidRDefault="00F618EB" w:rsidP="001860A4">
            <w:pPr>
              <w:spacing w:after="120" w:line="240" w:lineRule="auto"/>
              <w:jc w:val="right"/>
              <w:rPr>
                <w:rFonts w:ascii="Times New Roman" w:eastAsia="Times New Roman" w:hAnsi="Times New Roman"/>
                <w:sz w:val="24"/>
                <w:szCs w:val="24"/>
                <w:lang w:eastAsia="pt-BR"/>
              </w:rPr>
            </w:pPr>
            <w:r w:rsidRPr="00F618EB">
              <w:rPr>
                <w:rFonts w:ascii="Times New Roman" w:eastAsia="Times New Roman" w:hAnsi="Times New Roman"/>
                <w:sz w:val="24"/>
                <w:szCs w:val="24"/>
                <w:lang w:eastAsia="pt-BR"/>
              </w:rPr>
              <w:t>46</w:t>
            </w:r>
          </w:p>
        </w:tc>
        <w:tc>
          <w:tcPr>
            <w:tcW w:w="1134" w:type="dxa"/>
            <w:tcBorders>
              <w:top w:val="nil"/>
              <w:left w:val="nil"/>
              <w:bottom w:val="single" w:sz="4" w:space="0" w:color="auto"/>
              <w:right w:val="single" w:sz="4" w:space="0" w:color="auto"/>
            </w:tcBorders>
            <w:shd w:val="clear" w:color="auto" w:fill="auto"/>
            <w:noWrap/>
            <w:vAlign w:val="center"/>
            <w:hideMark/>
          </w:tcPr>
          <w:p w14:paraId="4A84DC20" w14:textId="77777777" w:rsidR="00F618EB" w:rsidRPr="00F618EB" w:rsidRDefault="00F618EB" w:rsidP="001860A4">
            <w:pPr>
              <w:spacing w:after="120" w:line="240" w:lineRule="auto"/>
              <w:jc w:val="right"/>
              <w:rPr>
                <w:rFonts w:ascii="Times New Roman" w:eastAsia="Times New Roman" w:hAnsi="Times New Roman"/>
                <w:sz w:val="24"/>
                <w:szCs w:val="24"/>
                <w:lang w:eastAsia="pt-BR"/>
              </w:rPr>
            </w:pPr>
            <w:r w:rsidRPr="00F618EB">
              <w:rPr>
                <w:rFonts w:ascii="Times New Roman" w:eastAsia="Times New Roman" w:hAnsi="Times New Roman"/>
                <w:sz w:val="24"/>
                <w:szCs w:val="24"/>
                <w:lang w:eastAsia="pt-BR"/>
              </w:rPr>
              <w:t>2</w:t>
            </w:r>
          </w:p>
        </w:tc>
        <w:tc>
          <w:tcPr>
            <w:tcW w:w="1021" w:type="dxa"/>
            <w:tcBorders>
              <w:top w:val="nil"/>
              <w:left w:val="nil"/>
              <w:bottom w:val="single" w:sz="4" w:space="0" w:color="auto"/>
              <w:right w:val="single" w:sz="4" w:space="0" w:color="auto"/>
            </w:tcBorders>
            <w:shd w:val="clear" w:color="auto" w:fill="auto"/>
            <w:noWrap/>
            <w:vAlign w:val="center"/>
            <w:hideMark/>
          </w:tcPr>
          <w:p w14:paraId="65FD968F" w14:textId="77777777" w:rsidR="00F618EB" w:rsidRPr="00F618EB" w:rsidRDefault="00F618EB" w:rsidP="001860A4">
            <w:pPr>
              <w:spacing w:after="120" w:line="240" w:lineRule="auto"/>
              <w:jc w:val="right"/>
              <w:rPr>
                <w:rFonts w:ascii="Times New Roman" w:eastAsia="Times New Roman" w:hAnsi="Times New Roman"/>
                <w:sz w:val="24"/>
                <w:szCs w:val="24"/>
                <w:lang w:eastAsia="pt-BR"/>
              </w:rPr>
            </w:pPr>
            <w:r w:rsidRPr="00F618EB">
              <w:rPr>
                <w:rFonts w:ascii="Times New Roman" w:eastAsia="Times New Roman" w:hAnsi="Times New Roman"/>
                <w:sz w:val="24"/>
                <w:szCs w:val="24"/>
                <w:lang w:eastAsia="pt-BR"/>
              </w:rPr>
              <w:t>0</w:t>
            </w:r>
          </w:p>
        </w:tc>
        <w:tc>
          <w:tcPr>
            <w:tcW w:w="1323" w:type="dxa"/>
            <w:tcBorders>
              <w:top w:val="nil"/>
              <w:left w:val="nil"/>
              <w:bottom w:val="single" w:sz="4" w:space="0" w:color="auto"/>
              <w:right w:val="single" w:sz="4" w:space="0" w:color="auto"/>
            </w:tcBorders>
            <w:shd w:val="clear" w:color="auto" w:fill="auto"/>
            <w:noWrap/>
            <w:vAlign w:val="center"/>
            <w:hideMark/>
          </w:tcPr>
          <w:p w14:paraId="4C85CB1C" w14:textId="77777777" w:rsidR="00F618EB" w:rsidRPr="00F618EB" w:rsidRDefault="00F618EB" w:rsidP="001860A4">
            <w:pPr>
              <w:spacing w:after="120" w:line="240" w:lineRule="auto"/>
              <w:jc w:val="right"/>
              <w:rPr>
                <w:rFonts w:ascii="Times New Roman" w:eastAsia="Times New Roman" w:hAnsi="Times New Roman"/>
                <w:sz w:val="24"/>
                <w:szCs w:val="24"/>
                <w:lang w:eastAsia="pt-BR"/>
              </w:rPr>
            </w:pPr>
            <w:r w:rsidRPr="00F618EB">
              <w:rPr>
                <w:rFonts w:ascii="Times New Roman" w:eastAsia="Times New Roman" w:hAnsi="Times New Roman"/>
                <w:sz w:val="24"/>
                <w:szCs w:val="24"/>
                <w:lang w:eastAsia="pt-BR"/>
              </w:rPr>
              <w:t>0,00%</w:t>
            </w:r>
          </w:p>
        </w:tc>
      </w:tr>
    </w:tbl>
    <w:p w14:paraId="4F6D2F49" w14:textId="77777777" w:rsidR="00F373C2" w:rsidRDefault="00F373C2" w:rsidP="001860A4">
      <w:pPr>
        <w:spacing w:after="120" w:line="240" w:lineRule="auto"/>
        <w:ind w:firstLine="1560"/>
        <w:jc w:val="both"/>
        <w:rPr>
          <w:rFonts w:ascii="Times New Roman" w:eastAsia="Times New Roman" w:hAnsi="Times New Roman"/>
          <w:sz w:val="24"/>
          <w:szCs w:val="24"/>
          <w:lang w:eastAsia="pt-BR"/>
        </w:rPr>
      </w:pPr>
    </w:p>
    <w:p w14:paraId="55017E4E" w14:textId="7C226AEE" w:rsidR="003A56BC" w:rsidRDefault="003A56BC" w:rsidP="001860A4">
      <w:pPr>
        <w:spacing w:after="120" w:line="240" w:lineRule="auto"/>
        <w:ind w:firstLine="851"/>
        <w:jc w:val="both"/>
        <w:rPr>
          <w:rFonts w:ascii="Times New Roman" w:eastAsia="Times New Roman" w:hAnsi="Times New Roman"/>
          <w:sz w:val="24"/>
          <w:szCs w:val="24"/>
          <w:lang w:eastAsia="pt-BR"/>
        </w:rPr>
      </w:pPr>
      <w:r>
        <w:rPr>
          <w:rFonts w:ascii="Times New Roman" w:eastAsia="Times New Roman" w:hAnsi="Times New Roman"/>
          <w:sz w:val="24"/>
          <w:szCs w:val="24"/>
          <w:lang w:eastAsia="pt-BR"/>
        </w:rPr>
        <w:t xml:space="preserve">Quanto menor </w:t>
      </w:r>
      <w:r w:rsidR="002B60FE">
        <w:rPr>
          <w:rFonts w:ascii="Times New Roman" w:eastAsia="Times New Roman" w:hAnsi="Times New Roman"/>
          <w:sz w:val="24"/>
          <w:szCs w:val="24"/>
          <w:lang w:eastAsia="pt-BR"/>
        </w:rPr>
        <w:t>o município, em termos populacionais, menor a qualificação técnica dos servidores diretamente relacionados às atividades burocráticas.</w:t>
      </w:r>
    </w:p>
    <w:p w14:paraId="5D436E5B" w14:textId="003EF670" w:rsidR="002B60FE" w:rsidRDefault="002B60FE" w:rsidP="001860A4">
      <w:pPr>
        <w:spacing w:after="120" w:line="240" w:lineRule="auto"/>
        <w:ind w:firstLine="851"/>
        <w:jc w:val="both"/>
        <w:rPr>
          <w:rFonts w:ascii="Times New Roman" w:eastAsia="Times New Roman" w:hAnsi="Times New Roman"/>
          <w:sz w:val="24"/>
          <w:szCs w:val="24"/>
          <w:lang w:eastAsia="pt-BR"/>
        </w:rPr>
      </w:pPr>
      <w:r>
        <w:rPr>
          <w:rFonts w:ascii="Times New Roman" w:eastAsia="Times New Roman" w:hAnsi="Times New Roman"/>
          <w:sz w:val="24"/>
          <w:szCs w:val="24"/>
          <w:lang w:eastAsia="pt-BR"/>
        </w:rPr>
        <w:t xml:space="preserve">Os dados da pesquisa do IBGE, acima retratados, se referem a informações prestadas pelo poder executivo de cada município. É importante que se tenha em mente que, além das </w:t>
      </w:r>
      <w:r>
        <w:rPr>
          <w:rFonts w:ascii="Times New Roman" w:eastAsia="Times New Roman" w:hAnsi="Times New Roman"/>
          <w:sz w:val="24"/>
          <w:szCs w:val="24"/>
          <w:lang w:eastAsia="pt-BR"/>
        </w:rPr>
        <w:lastRenderedPageBreak/>
        <w:t>prefeituras, existem diversas pequenas unidades administrativas, em nível municipal, com quadro de pessoal ainda mais reduzido e menos qualificado. É o caso das câmaras municipais, de institutos de previdência, de fundações e de autarquias. Estas unidades administrativas, serão obrigadas a realizar todas as compras e contratações de acordo com os ditames da nova Lei de Licitações.</w:t>
      </w:r>
      <w:r w:rsidR="001C3805">
        <w:rPr>
          <w:rFonts w:ascii="Times New Roman" w:eastAsia="Times New Roman" w:hAnsi="Times New Roman"/>
          <w:sz w:val="24"/>
          <w:szCs w:val="24"/>
          <w:lang w:eastAsia="pt-BR"/>
        </w:rPr>
        <w:t xml:space="preserve"> </w:t>
      </w:r>
    </w:p>
    <w:p w14:paraId="0A80D06D" w14:textId="7D7623B0" w:rsidR="001C3805" w:rsidRDefault="001C3805" w:rsidP="001860A4">
      <w:pPr>
        <w:spacing w:after="120" w:line="240" w:lineRule="auto"/>
        <w:ind w:firstLine="851"/>
        <w:jc w:val="both"/>
        <w:rPr>
          <w:rFonts w:ascii="Times New Roman" w:eastAsia="Times New Roman" w:hAnsi="Times New Roman"/>
          <w:sz w:val="24"/>
          <w:szCs w:val="24"/>
          <w:lang w:eastAsia="pt-BR"/>
        </w:rPr>
      </w:pPr>
      <w:r>
        <w:rPr>
          <w:rFonts w:ascii="Times New Roman" w:eastAsia="Times New Roman" w:hAnsi="Times New Roman"/>
          <w:sz w:val="24"/>
          <w:szCs w:val="24"/>
          <w:lang w:eastAsia="pt-BR"/>
        </w:rPr>
        <w:t>O parágrafo 1º, do artigo 51, da Lei 8.666/1993, trazia a faculdade para as “pequenas unidades administrativas”, com relação a licitações na modalidade convite, que o processo fosse conduzido por servidor especialmente designado, em substituição à comissão de licitação. No dispositivo há o reconhecimento expresso de que tal faculdade se dá “</w:t>
      </w:r>
      <w:r w:rsidRPr="001C3805">
        <w:rPr>
          <w:rFonts w:ascii="Times New Roman" w:eastAsia="Times New Roman" w:hAnsi="Times New Roman"/>
          <w:sz w:val="24"/>
          <w:szCs w:val="24"/>
          <w:lang w:eastAsia="pt-BR"/>
        </w:rPr>
        <w:t>em face da exiguidade de pessoal disponível”</w:t>
      </w:r>
    </w:p>
    <w:p w14:paraId="1EC6EFEF" w14:textId="7FB83C2E" w:rsidR="001C3805" w:rsidRDefault="001C3805" w:rsidP="001860A4">
      <w:pPr>
        <w:spacing w:after="120" w:line="240" w:lineRule="auto"/>
        <w:ind w:firstLine="851"/>
        <w:jc w:val="both"/>
        <w:rPr>
          <w:rFonts w:ascii="Times New Roman" w:eastAsia="Times New Roman" w:hAnsi="Times New Roman"/>
          <w:sz w:val="24"/>
          <w:szCs w:val="24"/>
          <w:lang w:eastAsia="pt-BR"/>
        </w:rPr>
      </w:pPr>
      <w:r>
        <w:rPr>
          <w:rFonts w:ascii="Times New Roman" w:eastAsia="Times New Roman" w:hAnsi="Times New Roman"/>
          <w:sz w:val="24"/>
          <w:szCs w:val="24"/>
          <w:lang w:eastAsia="pt-BR"/>
        </w:rPr>
        <w:t>A nova Lei não traz qualquer exceção com relação a “pequenas unidades administrativas”.</w:t>
      </w:r>
    </w:p>
    <w:p w14:paraId="26205252" w14:textId="1EF3CCFA" w:rsidR="001C3805" w:rsidRDefault="001C3805" w:rsidP="001860A4">
      <w:pPr>
        <w:spacing w:after="120" w:line="240" w:lineRule="auto"/>
        <w:ind w:firstLine="851"/>
        <w:jc w:val="both"/>
        <w:rPr>
          <w:rFonts w:ascii="Times New Roman" w:eastAsia="Times New Roman" w:hAnsi="Times New Roman"/>
          <w:sz w:val="24"/>
          <w:szCs w:val="24"/>
          <w:lang w:eastAsia="pt-BR"/>
        </w:rPr>
      </w:pPr>
      <w:r>
        <w:rPr>
          <w:rFonts w:ascii="Times New Roman" w:eastAsia="Times New Roman" w:hAnsi="Times New Roman"/>
          <w:sz w:val="24"/>
          <w:szCs w:val="24"/>
          <w:lang w:eastAsia="pt-BR"/>
        </w:rPr>
        <w:t xml:space="preserve">Outrossim, é forçoso reconhecer que a nova Lei não se apresentou totalmente indiferente aos pequenos municípios. </w:t>
      </w:r>
    </w:p>
    <w:p w14:paraId="4AA30197" w14:textId="5F637088" w:rsidR="001C3805" w:rsidRDefault="001C3805" w:rsidP="001860A4">
      <w:pPr>
        <w:spacing w:after="120" w:line="240" w:lineRule="auto"/>
        <w:ind w:firstLine="851"/>
        <w:jc w:val="both"/>
        <w:rPr>
          <w:rFonts w:ascii="Times New Roman" w:eastAsia="Times New Roman" w:hAnsi="Times New Roman"/>
          <w:sz w:val="24"/>
          <w:szCs w:val="24"/>
          <w:lang w:eastAsia="pt-BR"/>
        </w:rPr>
      </w:pPr>
      <w:r>
        <w:rPr>
          <w:rFonts w:ascii="Times New Roman" w:eastAsia="Times New Roman" w:hAnsi="Times New Roman"/>
          <w:sz w:val="24"/>
          <w:szCs w:val="24"/>
          <w:lang w:eastAsia="pt-BR"/>
        </w:rPr>
        <w:t xml:space="preserve">O artigo 76 da nova Lei confere prazo de 6 (seis) anos para que os municípios com até 20.000 (vinte mil) habitantes se adequem </w:t>
      </w:r>
      <w:r w:rsidR="001F0D4F">
        <w:rPr>
          <w:rFonts w:ascii="Times New Roman" w:eastAsia="Times New Roman" w:hAnsi="Times New Roman"/>
          <w:sz w:val="24"/>
          <w:szCs w:val="24"/>
          <w:lang w:eastAsia="pt-BR"/>
        </w:rPr>
        <w:t>a obrigações relativas à designação de agentes públicos para execução de tarefas relativas às licitações, previstas nos artigos 7º e 8º da Lei.</w:t>
      </w:r>
    </w:p>
    <w:p w14:paraId="04E1003B" w14:textId="3DCCABC2" w:rsidR="001F0D4F" w:rsidRDefault="001F0D4F" w:rsidP="001860A4">
      <w:pPr>
        <w:spacing w:after="120" w:line="240" w:lineRule="auto"/>
        <w:ind w:firstLine="851"/>
        <w:jc w:val="both"/>
        <w:rPr>
          <w:rFonts w:ascii="Times New Roman" w:eastAsia="Times New Roman" w:hAnsi="Times New Roman"/>
          <w:sz w:val="24"/>
          <w:szCs w:val="24"/>
          <w:lang w:eastAsia="pt-BR"/>
        </w:rPr>
      </w:pPr>
      <w:r>
        <w:rPr>
          <w:rFonts w:ascii="Times New Roman" w:eastAsia="Times New Roman" w:hAnsi="Times New Roman"/>
          <w:sz w:val="24"/>
          <w:szCs w:val="24"/>
          <w:lang w:eastAsia="pt-BR"/>
        </w:rPr>
        <w:t xml:space="preserve">Com relação ao planejamento, apesar de não haver exceções ou tratamento diferenciado de acordo com população ou porte da unidade administrativa, a nova Lei indica um caminho: </w:t>
      </w:r>
      <w:r w:rsidR="001133B2">
        <w:rPr>
          <w:rFonts w:ascii="Times New Roman" w:eastAsia="Times New Roman" w:hAnsi="Times New Roman"/>
          <w:sz w:val="24"/>
          <w:szCs w:val="24"/>
          <w:lang w:eastAsia="pt-BR"/>
        </w:rPr>
        <w:t>consórcios públicos.</w:t>
      </w:r>
    </w:p>
    <w:p w14:paraId="05025A45" w14:textId="77777777" w:rsidR="00F373C2" w:rsidRDefault="00F373C2" w:rsidP="001860A4">
      <w:pPr>
        <w:spacing w:after="120" w:line="240" w:lineRule="auto"/>
        <w:ind w:left="2829"/>
        <w:jc w:val="both"/>
        <w:rPr>
          <w:rFonts w:ascii="Times New Roman" w:hAnsi="Times New Roman"/>
        </w:rPr>
      </w:pPr>
    </w:p>
    <w:p w14:paraId="4BCE4B3A" w14:textId="2ABBE30E" w:rsidR="001F0D4F" w:rsidRPr="001F0D4F" w:rsidRDefault="001F0D4F" w:rsidP="001860A4">
      <w:pPr>
        <w:spacing w:after="120" w:line="240" w:lineRule="auto"/>
        <w:ind w:left="2268"/>
        <w:jc w:val="both"/>
        <w:rPr>
          <w:rFonts w:ascii="Times New Roman" w:hAnsi="Times New Roman"/>
        </w:rPr>
      </w:pPr>
      <w:r w:rsidRPr="001F0D4F">
        <w:rPr>
          <w:rFonts w:ascii="Times New Roman" w:hAnsi="Times New Roman"/>
        </w:rPr>
        <w:t>Art. 181. Os entes federativos instituirão centrais de compras, com o objetivo de realizar compras em grande escala, para atender a diversos órgãos e entidades sob sua competência e atingir as finalidades desta Lei.</w:t>
      </w:r>
    </w:p>
    <w:p w14:paraId="4428C676" w14:textId="6D9BDEB4" w:rsidR="001F0D4F" w:rsidRPr="001F0D4F" w:rsidRDefault="001F0D4F" w:rsidP="001860A4">
      <w:pPr>
        <w:spacing w:after="120" w:line="240" w:lineRule="auto"/>
        <w:ind w:left="2268"/>
        <w:jc w:val="both"/>
        <w:rPr>
          <w:rFonts w:ascii="Times New Roman" w:hAnsi="Times New Roman"/>
        </w:rPr>
      </w:pPr>
      <w:bookmarkStart w:id="8" w:name="art180p"/>
      <w:bookmarkEnd w:id="8"/>
      <w:r w:rsidRPr="001F0D4F">
        <w:rPr>
          <w:rFonts w:ascii="Times New Roman" w:hAnsi="Times New Roman"/>
        </w:rPr>
        <w:t>Parágrafo único. No caso dos Municípios com até 10.000 (dez mil) habitantes, serão preferencialmente constituídos consórcios públicos para a realização das atividades previstas no caput deste artigo, nos termos da Lei nº 11.107, de 6 de abril de 2005.</w:t>
      </w:r>
    </w:p>
    <w:p w14:paraId="2E443DCF" w14:textId="77777777" w:rsidR="00F373C2" w:rsidRDefault="00F373C2" w:rsidP="001860A4">
      <w:pPr>
        <w:spacing w:after="120" w:line="240" w:lineRule="auto"/>
        <w:ind w:firstLine="1560"/>
        <w:jc w:val="both"/>
        <w:rPr>
          <w:rFonts w:ascii="Times New Roman" w:eastAsia="Times New Roman" w:hAnsi="Times New Roman"/>
          <w:sz w:val="24"/>
          <w:szCs w:val="24"/>
          <w:lang w:eastAsia="pt-BR"/>
        </w:rPr>
      </w:pPr>
    </w:p>
    <w:p w14:paraId="2352A57D" w14:textId="464DB5CC" w:rsidR="001C3805" w:rsidRDefault="001133B2" w:rsidP="001860A4">
      <w:pPr>
        <w:spacing w:after="120" w:line="240" w:lineRule="auto"/>
        <w:ind w:firstLine="851"/>
        <w:jc w:val="both"/>
        <w:rPr>
          <w:rFonts w:ascii="Times New Roman" w:eastAsia="Times New Roman" w:hAnsi="Times New Roman"/>
          <w:sz w:val="24"/>
          <w:szCs w:val="24"/>
          <w:lang w:eastAsia="pt-BR"/>
        </w:rPr>
      </w:pPr>
      <w:r>
        <w:rPr>
          <w:rFonts w:ascii="Times New Roman" w:eastAsia="Times New Roman" w:hAnsi="Times New Roman"/>
          <w:sz w:val="24"/>
          <w:szCs w:val="24"/>
          <w:lang w:eastAsia="pt-BR"/>
        </w:rPr>
        <w:t>A constituição</w:t>
      </w:r>
      <w:r w:rsidR="00CC04C1">
        <w:rPr>
          <w:rFonts w:ascii="Times New Roman" w:eastAsia="Times New Roman" w:hAnsi="Times New Roman"/>
          <w:sz w:val="24"/>
          <w:szCs w:val="24"/>
          <w:lang w:eastAsia="pt-BR"/>
        </w:rPr>
        <w:t xml:space="preserve"> e o fortalecimento</w:t>
      </w:r>
      <w:r>
        <w:rPr>
          <w:rFonts w:ascii="Times New Roman" w:eastAsia="Times New Roman" w:hAnsi="Times New Roman"/>
          <w:sz w:val="24"/>
          <w:szCs w:val="24"/>
          <w:lang w:eastAsia="pt-BR"/>
        </w:rPr>
        <w:t xml:space="preserve"> de </w:t>
      </w:r>
      <w:r w:rsidR="00CC04C1">
        <w:rPr>
          <w:rFonts w:ascii="Times New Roman" w:eastAsia="Times New Roman" w:hAnsi="Times New Roman"/>
          <w:sz w:val="24"/>
          <w:szCs w:val="24"/>
          <w:lang w:eastAsia="pt-BR"/>
        </w:rPr>
        <w:t xml:space="preserve">consórcios públicos pode ser o caminho, não só para instituição de centrais de compras, mas também para solução de diversas questões diretamente ligadas ao planejamento das licitações públicas realizadas por pequenos municípios. </w:t>
      </w:r>
    </w:p>
    <w:p w14:paraId="795576E8" w14:textId="1FE94CC5" w:rsidR="00CC04C1" w:rsidRDefault="00CC04C1" w:rsidP="001860A4">
      <w:pPr>
        <w:spacing w:after="120" w:line="240" w:lineRule="auto"/>
        <w:ind w:firstLine="851"/>
        <w:jc w:val="both"/>
        <w:rPr>
          <w:rFonts w:ascii="Times New Roman" w:eastAsia="Times New Roman" w:hAnsi="Times New Roman"/>
          <w:sz w:val="24"/>
          <w:szCs w:val="24"/>
          <w:lang w:eastAsia="pt-BR"/>
        </w:rPr>
      </w:pPr>
      <w:r>
        <w:rPr>
          <w:rFonts w:ascii="Times New Roman" w:eastAsia="Times New Roman" w:hAnsi="Times New Roman"/>
          <w:sz w:val="24"/>
          <w:szCs w:val="24"/>
          <w:lang w:eastAsia="pt-BR"/>
        </w:rPr>
        <w:t>O suporte técnico, eventualmente necessário em licitações que envolvam bens ou serviços de contratação não rotineira, pode ser dado de forma conjunta aos municípios, por meio de consórcio ou associação de municípios. Assim, a contratação de empresa ou profissional especializado para assessoramento, tal qual previsto no artigo 8º, §4º, da nova Lei, pode se dar a custo acessível</w:t>
      </w:r>
      <w:r w:rsidR="0059315C">
        <w:rPr>
          <w:rFonts w:ascii="Times New Roman" w:eastAsia="Times New Roman" w:hAnsi="Times New Roman"/>
          <w:sz w:val="24"/>
          <w:szCs w:val="24"/>
          <w:lang w:eastAsia="pt-BR"/>
        </w:rPr>
        <w:t>.</w:t>
      </w:r>
    </w:p>
    <w:p w14:paraId="52C846E9" w14:textId="2471985F" w:rsidR="001923DD" w:rsidRDefault="001923DD" w:rsidP="001860A4">
      <w:pPr>
        <w:spacing w:after="120" w:line="240" w:lineRule="auto"/>
        <w:ind w:firstLine="851"/>
        <w:jc w:val="both"/>
        <w:rPr>
          <w:rFonts w:ascii="Times New Roman" w:eastAsia="Times New Roman" w:hAnsi="Times New Roman"/>
          <w:sz w:val="24"/>
          <w:szCs w:val="24"/>
          <w:lang w:eastAsia="pt-BR"/>
        </w:rPr>
      </w:pPr>
      <w:r>
        <w:rPr>
          <w:rFonts w:ascii="Times New Roman" w:eastAsia="Times New Roman" w:hAnsi="Times New Roman"/>
          <w:sz w:val="24"/>
          <w:szCs w:val="24"/>
          <w:lang w:eastAsia="pt-BR"/>
        </w:rPr>
        <w:t>Em termos concretos, a Lei 14.133/2021, que deveria traçar normas gerais e se prestou a definir detalhadamente procedimentos, não respeitou as realidades regionais e a capacidade operacional de cada ente da federação.</w:t>
      </w:r>
    </w:p>
    <w:p w14:paraId="34EF3A1F" w14:textId="08C0331C" w:rsidR="001923DD" w:rsidRDefault="001923DD" w:rsidP="001860A4">
      <w:pPr>
        <w:spacing w:after="120" w:line="240" w:lineRule="auto"/>
        <w:ind w:firstLine="851"/>
        <w:jc w:val="both"/>
        <w:rPr>
          <w:rFonts w:ascii="Times New Roman" w:eastAsia="Times New Roman" w:hAnsi="Times New Roman"/>
          <w:sz w:val="24"/>
          <w:szCs w:val="24"/>
          <w:lang w:eastAsia="pt-BR"/>
        </w:rPr>
      </w:pPr>
      <w:r>
        <w:rPr>
          <w:rFonts w:ascii="Times New Roman" w:eastAsia="Times New Roman" w:hAnsi="Times New Roman"/>
          <w:sz w:val="24"/>
          <w:szCs w:val="24"/>
          <w:lang w:eastAsia="pt-BR"/>
        </w:rPr>
        <w:t>Há grande probabilidade de que pequenos municípios se adequem, formalmente, à nova Lei. Mas</w:t>
      </w:r>
      <w:r w:rsidR="00045A7A">
        <w:rPr>
          <w:rFonts w:ascii="Times New Roman" w:eastAsia="Times New Roman" w:hAnsi="Times New Roman"/>
          <w:sz w:val="24"/>
          <w:szCs w:val="24"/>
          <w:lang w:eastAsia="pt-BR"/>
        </w:rPr>
        <w:t xml:space="preserve">, a adequação poderá ser apenas para dar a falsa impressão de atendimento da norma. Estudos técnicos preliminares e termos de referência poderão ser banalizados a partir de modelos-padrão ou copiados de outros órgãos, sem refletir, de fato, a realidade local e, </w:t>
      </w:r>
      <w:r w:rsidR="00045A7A">
        <w:rPr>
          <w:rFonts w:ascii="Times New Roman" w:eastAsia="Times New Roman" w:hAnsi="Times New Roman"/>
          <w:sz w:val="24"/>
          <w:szCs w:val="24"/>
          <w:lang w:eastAsia="pt-BR"/>
        </w:rPr>
        <w:lastRenderedPageBreak/>
        <w:t>portanto, não atendendo os objetivos da lei que poderiam ser alcançados com o bom planejamento.</w:t>
      </w:r>
    </w:p>
    <w:p w14:paraId="116BB4B3" w14:textId="77777777" w:rsidR="00844E21" w:rsidRDefault="00844E21" w:rsidP="001860A4">
      <w:pPr>
        <w:spacing w:after="120" w:line="240" w:lineRule="auto"/>
        <w:ind w:firstLine="851"/>
        <w:jc w:val="both"/>
        <w:rPr>
          <w:rFonts w:ascii="Times New Roman" w:hAnsi="Times New Roman"/>
          <w:sz w:val="24"/>
          <w:szCs w:val="24"/>
        </w:rPr>
      </w:pPr>
    </w:p>
    <w:p w14:paraId="33726399" w14:textId="33A5318D" w:rsidR="004315D2" w:rsidRDefault="004315D2" w:rsidP="001860A4">
      <w:pPr>
        <w:spacing w:after="120" w:line="240" w:lineRule="auto"/>
        <w:jc w:val="both"/>
        <w:rPr>
          <w:rFonts w:ascii="Times New Roman" w:hAnsi="Times New Roman"/>
          <w:b/>
          <w:bCs/>
          <w:sz w:val="24"/>
          <w:szCs w:val="24"/>
        </w:rPr>
      </w:pPr>
      <w:r>
        <w:rPr>
          <w:rFonts w:ascii="Times New Roman" w:hAnsi="Times New Roman"/>
          <w:b/>
          <w:bCs/>
          <w:sz w:val="24"/>
          <w:szCs w:val="24"/>
        </w:rPr>
        <w:t>CONCLUSÃO</w:t>
      </w:r>
    </w:p>
    <w:p w14:paraId="3AC3F7F0" w14:textId="77777777" w:rsidR="00EC788F" w:rsidRDefault="00EC788F" w:rsidP="001860A4">
      <w:pPr>
        <w:spacing w:after="120" w:line="240" w:lineRule="auto"/>
        <w:ind w:firstLine="851"/>
        <w:jc w:val="both"/>
        <w:rPr>
          <w:rFonts w:ascii="Times New Roman" w:eastAsia="Times New Roman" w:hAnsi="Times New Roman"/>
          <w:sz w:val="24"/>
          <w:szCs w:val="24"/>
          <w:lang w:eastAsia="pt-BR"/>
        </w:rPr>
      </w:pPr>
    </w:p>
    <w:p w14:paraId="394CB29C" w14:textId="5F4A26EB" w:rsidR="00F90FA3" w:rsidRDefault="00F90FA3" w:rsidP="001860A4">
      <w:pPr>
        <w:spacing w:after="120" w:line="240" w:lineRule="auto"/>
        <w:ind w:firstLine="851"/>
        <w:jc w:val="both"/>
        <w:rPr>
          <w:rFonts w:ascii="Times New Roman" w:eastAsia="Times New Roman" w:hAnsi="Times New Roman"/>
          <w:sz w:val="24"/>
          <w:szCs w:val="24"/>
          <w:lang w:eastAsia="pt-BR"/>
        </w:rPr>
      </w:pPr>
      <w:r>
        <w:rPr>
          <w:rFonts w:ascii="Times New Roman" w:eastAsia="Times New Roman" w:hAnsi="Times New Roman"/>
          <w:sz w:val="24"/>
          <w:szCs w:val="24"/>
          <w:lang w:eastAsia="pt-BR"/>
        </w:rPr>
        <w:t xml:space="preserve">A efetivação de políticas públicas exige planejamento das ações administrativas em todas as suas esferas. </w:t>
      </w:r>
    </w:p>
    <w:p w14:paraId="02FF6078" w14:textId="52AABBDD" w:rsidR="00F90FA3" w:rsidRDefault="00F90FA3" w:rsidP="001860A4">
      <w:pPr>
        <w:spacing w:after="120" w:line="240" w:lineRule="auto"/>
        <w:ind w:firstLine="851"/>
        <w:jc w:val="both"/>
        <w:rPr>
          <w:rFonts w:ascii="Times New Roman" w:eastAsia="Times New Roman" w:hAnsi="Times New Roman"/>
          <w:sz w:val="24"/>
          <w:szCs w:val="24"/>
          <w:lang w:eastAsia="pt-BR"/>
        </w:rPr>
      </w:pPr>
      <w:r>
        <w:rPr>
          <w:rFonts w:ascii="Times New Roman" w:eastAsia="Times New Roman" w:hAnsi="Times New Roman"/>
          <w:sz w:val="24"/>
          <w:szCs w:val="24"/>
          <w:lang w:eastAsia="pt-BR"/>
        </w:rPr>
        <w:t xml:space="preserve">A situação de pandemia provocada pela COVID 19 apenas reforçou a imprescindibilidade da adoção de políticas públicas ótimas. </w:t>
      </w:r>
      <w:r w:rsidR="000D4AEA">
        <w:rPr>
          <w:rFonts w:ascii="Times New Roman" w:eastAsia="Times New Roman" w:hAnsi="Times New Roman"/>
          <w:sz w:val="24"/>
          <w:szCs w:val="24"/>
          <w:lang w:eastAsia="pt-BR"/>
        </w:rPr>
        <w:t>Ainda que, por vezes, o não-conhecimento, ou o negacionismo, tenham afetado a atuação eficiente de governos, o quadro atual só veio confirmar que a atuação do Estado é fundamental para retomada da normalidade.</w:t>
      </w:r>
    </w:p>
    <w:p w14:paraId="7AF5E912" w14:textId="3EE88C18" w:rsidR="000D4AEA" w:rsidRDefault="000D4AEA" w:rsidP="001860A4">
      <w:pPr>
        <w:spacing w:after="120" w:line="240" w:lineRule="auto"/>
        <w:ind w:firstLine="851"/>
        <w:jc w:val="both"/>
        <w:rPr>
          <w:rFonts w:ascii="Times New Roman" w:eastAsia="Times New Roman" w:hAnsi="Times New Roman"/>
          <w:sz w:val="24"/>
          <w:szCs w:val="24"/>
          <w:lang w:eastAsia="pt-BR"/>
        </w:rPr>
      </w:pPr>
      <w:r>
        <w:rPr>
          <w:rFonts w:ascii="Times New Roman" w:eastAsia="Times New Roman" w:hAnsi="Times New Roman"/>
          <w:sz w:val="24"/>
          <w:szCs w:val="24"/>
          <w:lang w:eastAsia="pt-BR"/>
        </w:rPr>
        <w:t>O planejamento das contratações ainda é deficiente e sua não observância pode implicar em enormes perdas para Administração Pública e para a sociedade.</w:t>
      </w:r>
    </w:p>
    <w:p w14:paraId="46CD86EF" w14:textId="77777777" w:rsidR="00045A7A" w:rsidRDefault="004315D2" w:rsidP="001860A4">
      <w:pPr>
        <w:spacing w:after="120" w:line="240" w:lineRule="auto"/>
        <w:ind w:firstLine="851"/>
        <w:jc w:val="both"/>
        <w:rPr>
          <w:rFonts w:ascii="Times New Roman" w:eastAsia="Times New Roman" w:hAnsi="Times New Roman"/>
          <w:sz w:val="24"/>
          <w:szCs w:val="24"/>
          <w:lang w:eastAsia="pt-BR"/>
        </w:rPr>
      </w:pPr>
      <w:r>
        <w:rPr>
          <w:rFonts w:ascii="Times New Roman" w:eastAsia="Times New Roman" w:hAnsi="Times New Roman"/>
          <w:sz w:val="24"/>
          <w:szCs w:val="24"/>
          <w:lang w:eastAsia="pt-BR"/>
        </w:rPr>
        <w:t>A Nova Lei de Licitações é dotada de tecnicidade</w:t>
      </w:r>
      <w:r w:rsidR="000D4AEA">
        <w:rPr>
          <w:rFonts w:ascii="Times New Roman" w:eastAsia="Times New Roman" w:hAnsi="Times New Roman"/>
          <w:sz w:val="24"/>
          <w:szCs w:val="24"/>
          <w:lang w:eastAsia="pt-BR"/>
        </w:rPr>
        <w:t xml:space="preserve"> impar</w:t>
      </w:r>
      <w:r>
        <w:rPr>
          <w:rFonts w:ascii="Times New Roman" w:eastAsia="Times New Roman" w:hAnsi="Times New Roman"/>
          <w:sz w:val="24"/>
          <w:szCs w:val="24"/>
          <w:lang w:eastAsia="pt-BR"/>
        </w:rPr>
        <w:t xml:space="preserve"> e trouxe, com grande mérito, o planejamento como princípio do processo licitatório. </w:t>
      </w:r>
    </w:p>
    <w:p w14:paraId="4D9D912F" w14:textId="6C40666C" w:rsidR="004C7CB9" w:rsidRDefault="004315D2" w:rsidP="001860A4">
      <w:pPr>
        <w:spacing w:after="120" w:line="240" w:lineRule="auto"/>
        <w:ind w:firstLine="851"/>
        <w:jc w:val="both"/>
        <w:rPr>
          <w:rFonts w:ascii="Times New Roman" w:eastAsia="Times New Roman" w:hAnsi="Times New Roman"/>
          <w:sz w:val="24"/>
          <w:szCs w:val="24"/>
          <w:lang w:eastAsia="pt-BR"/>
        </w:rPr>
      </w:pPr>
      <w:r>
        <w:rPr>
          <w:rFonts w:ascii="Times New Roman" w:eastAsia="Times New Roman" w:hAnsi="Times New Roman"/>
          <w:sz w:val="24"/>
          <w:szCs w:val="24"/>
          <w:lang w:eastAsia="pt-BR"/>
        </w:rPr>
        <w:t>Foi além</w:t>
      </w:r>
      <w:r w:rsidR="00045A7A">
        <w:rPr>
          <w:rFonts w:ascii="Times New Roman" w:eastAsia="Times New Roman" w:hAnsi="Times New Roman"/>
          <w:sz w:val="24"/>
          <w:szCs w:val="24"/>
          <w:lang w:eastAsia="pt-BR"/>
        </w:rPr>
        <w:t>:</w:t>
      </w:r>
      <w:r>
        <w:rPr>
          <w:rFonts w:ascii="Times New Roman" w:eastAsia="Times New Roman" w:hAnsi="Times New Roman"/>
          <w:sz w:val="24"/>
          <w:szCs w:val="24"/>
          <w:lang w:eastAsia="pt-BR"/>
        </w:rPr>
        <w:t xml:space="preserve"> </w:t>
      </w:r>
      <w:r w:rsidR="00F90FA3">
        <w:rPr>
          <w:rFonts w:ascii="Times New Roman" w:eastAsia="Times New Roman" w:hAnsi="Times New Roman"/>
          <w:sz w:val="24"/>
          <w:szCs w:val="24"/>
          <w:lang w:eastAsia="pt-BR"/>
        </w:rPr>
        <w:t>disciplinou com riqueza de detalhes</w:t>
      </w:r>
      <w:r>
        <w:rPr>
          <w:rFonts w:ascii="Times New Roman" w:eastAsia="Times New Roman" w:hAnsi="Times New Roman"/>
          <w:sz w:val="24"/>
          <w:szCs w:val="24"/>
          <w:lang w:eastAsia="pt-BR"/>
        </w:rPr>
        <w:t xml:space="preserve"> </w:t>
      </w:r>
      <w:r w:rsidR="00F90FA3">
        <w:rPr>
          <w:rFonts w:ascii="Times New Roman" w:eastAsia="Times New Roman" w:hAnsi="Times New Roman"/>
          <w:sz w:val="24"/>
          <w:szCs w:val="24"/>
          <w:lang w:eastAsia="pt-BR"/>
        </w:rPr>
        <w:t>procedimentos preparatórios à licitação.</w:t>
      </w:r>
      <w:r w:rsidR="00045A7A">
        <w:rPr>
          <w:rFonts w:ascii="Times New Roman" w:eastAsia="Times New Roman" w:hAnsi="Times New Roman"/>
          <w:sz w:val="24"/>
          <w:szCs w:val="24"/>
          <w:lang w:eastAsia="pt-BR"/>
        </w:rPr>
        <w:t xml:space="preserve"> Neste aspecto, ocorreu a primeira incongruência</w:t>
      </w:r>
      <w:r w:rsidR="00045A7A" w:rsidRPr="00045A7A">
        <w:rPr>
          <w:rFonts w:ascii="Times New Roman" w:eastAsia="Times New Roman" w:hAnsi="Times New Roman"/>
          <w:sz w:val="24"/>
          <w:szCs w:val="24"/>
          <w:lang w:eastAsia="pt-BR"/>
        </w:rPr>
        <w:t xml:space="preserve"> </w:t>
      </w:r>
      <w:r w:rsidR="00045A7A">
        <w:rPr>
          <w:rFonts w:ascii="Times New Roman" w:eastAsia="Times New Roman" w:hAnsi="Times New Roman"/>
          <w:sz w:val="24"/>
          <w:szCs w:val="24"/>
          <w:lang w:eastAsia="pt-BR"/>
        </w:rPr>
        <w:t>A nova Lei de Licitações e Contratos Administrativos, traz 195 (cento e noventa e cinco) artigos para estabelecer “normas gerais de licitação e contratação para as administrações públicas”. Uma L</w:t>
      </w:r>
      <w:r w:rsidR="004C7CB9">
        <w:rPr>
          <w:rFonts w:ascii="Times New Roman" w:eastAsia="Times New Roman" w:hAnsi="Times New Roman"/>
          <w:sz w:val="24"/>
          <w:szCs w:val="24"/>
          <w:lang w:eastAsia="pt-BR"/>
        </w:rPr>
        <w:t>ei</w:t>
      </w:r>
      <w:r w:rsidR="00045A7A">
        <w:rPr>
          <w:rFonts w:ascii="Times New Roman" w:eastAsia="Times New Roman" w:hAnsi="Times New Roman"/>
          <w:sz w:val="24"/>
          <w:szCs w:val="24"/>
          <w:lang w:eastAsia="pt-BR"/>
        </w:rPr>
        <w:t xml:space="preserve"> </w:t>
      </w:r>
      <w:r w:rsidR="004C7CB9">
        <w:rPr>
          <w:rFonts w:ascii="Times New Roman" w:eastAsia="Times New Roman" w:hAnsi="Times New Roman"/>
          <w:sz w:val="24"/>
          <w:szCs w:val="24"/>
          <w:lang w:eastAsia="pt-BR"/>
        </w:rPr>
        <w:t xml:space="preserve">destinada a tratar de normas gerais não poderia se apegar a tantas minúcias. </w:t>
      </w:r>
    </w:p>
    <w:p w14:paraId="43EEE894" w14:textId="0651AF2D" w:rsidR="000D4AEA" w:rsidRDefault="00045A7A" w:rsidP="001860A4">
      <w:pPr>
        <w:spacing w:after="120" w:line="240" w:lineRule="auto"/>
        <w:ind w:firstLine="851"/>
        <w:jc w:val="both"/>
        <w:rPr>
          <w:rFonts w:ascii="Times New Roman" w:eastAsia="Times New Roman" w:hAnsi="Times New Roman"/>
          <w:sz w:val="24"/>
          <w:szCs w:val="24"/>
          <w:lang w:eastAsia="pt-BR"/>
        </w:rPr>
      </w:pPr>
      <w:r>
        <w:rPr>
          <w:rFonts w:ascii="Times New Roman" w:eastAsia="Times New Roman" w:hAnsi="Times New Roman"/>
          <w:sz w:val="24"/>
          <w:szCs w:val="24"/>
          <w:lang w:eastAsia="pt-BR"/>
        </w:rPr>
        <w:t>A</w:t>
      </w:r>
      <w:r w:rsidR="000D4AEA">
        <w:rPr>
          <w:rFonts w:ascii="Times New Roman" w:eastAsia="Times New Roman" w:hAnsi="Times New Roman"/>
          <w:sz w:val="24"/>
          <w:szCs w:val="24"/>
          <w:lang w:eastAsia="pt-BR"/>
        </w:rPr>
        <w:t>s múltiplas realidades regionais brasileiras, sobretudo a estrutura precária</w:t>
      </w:r>
      <w:r w:rsidR="004C7CB9">
        <w:rPr>
          <w:rFonts w:ascii="Times New Roman" w:eastAsia="Times New Roman" w:hAnsi="Times New Roman"/>
          <w:sz w:val="24"/>
          <w:szCs w:val="24"/>
          <w:lang w:eastAsia="pt-BR"/>
        </w:rPr>
        <w:t>, desprovida de qualificação técnica, existente na maioria dos municípios de pequeno porte, podem dificultar sobremaneira a aplicação da Nova Lei em sua totalidade.</w:t>
      </w:r>
    </w:p>
    <w:p w14:paraId="32CEB62A" w14:textId="06BA0487" w:rsidR="004C7CB9" w:rsidRDefault="004C7CB9" w:rsidP="001860A4">
      <w:pPr>
        <w:spacing w:after="120" w:line="240" w:lineRule="auto"/>
        <w:ind w:firstLine="851"/>
        <w:jc w:val="both"/>
        <w:rPr>
          <w:rFonts w:ascii="Times New Roman" w:eastAsia="Times New Roman" w:hAnsi="Times New Roman"/>
          <w:sz w:val="24"/>
          <w:szCs w:val="24"/>
          <w:lang w:eastAsia="pt-BR"/>
        </w:rPr>
      </w:pPr>
      <w:r>
        <w:rPr>
          <w:rFonts w:ascii="Times New Roman" w:eastAsia="Times New Roman" w:hAnsi="Times New Roman"/>
          <w:sz w:val="24"/>
          <w:szCs w:val="24"/>
          <w:lang w:eastAsia="pt-BR"/>
        </w:rPr>
        <w:t xml:space="preserve">É previsível que prefeituras e câmaras municipais de pequenos municípios adotem modelos simplificados para dar aparência de cumprimento dos ditames legais atinentes ao planejamento do processo licitatório. Mas, de fato, a Lei não terá atendido seu objetivo. </w:t>
      </w:r>
    </w:p>
    <w:p w14:paraId="294C64D8" w14:textId="600A9403" w:rsidR="00045A7A" w:rsidRDefault="00045A7A" w:rsidP="001860A4">
      <w:pPr>
        <w:spacing w:after="120" w:line="240" w:lineRule="auto"/>
        <w:ind w:firstLine="851"/>
        <w:jc w:val="both"/>
        <w:rPr>
          <w:rFonts w:ascii="Times New Roman" w:eastAsia="Times New Roman" w:hAnsi="Times New Roman"/>
          <w:sz w:val="24"/>
          <w:szCs w:val="24"/>
          <w:lang w:eastAsia="pt-BR"/>
        </w:rPr>
      </w:pPr>
      <w:r>
        <w:rPr>
          <w:rFonts w:ascii="Times New Roman" w:eastAsia="Times New Roman" w:hAnsi="Times New Roman"/>
          <w:sz w:val="24"/>
          <w:szCs w:val="24"/>
          <w:lang w:eastAsia="pt-BR"/>
        </w:rPr>
        <w:t xml:space="preserve">É, também, previsível, que fornecedores potenciais </w:t>
      </w:r>
      <w:r w:rsidR="000F3321">
        <w:rPr>
          <w:rFonts w:ascii="Times New Roman" w:eastAsia="Times New Roman" w:hAnsi="Times New Roman"/>
          <w:sz w:val="24"/>
          <w:szCs w:val="24"/>
          <w:lang w:eastAsia="pt-BR"/>
        </w:rPr>
        <w:t>disponibilizem instrumentos formais</w:t>
      </w:r>
      <w:r>
        <w:rPr>
          <w:rFonts w:ascii="Times New Roman" w:eastAsia="Times New Roman" w:hAnsi="Times New Roman"/>
          <w:sz w:val="24"/>
          <w:szCs w:val="24"/>
          <w:lang w:eastAsia="pt-BR"/>
        </w:rPr>
        <w:t xml:space="preserve"> de planejamento</w:t>
      </w:r>
      <w:r w:rsidR="000F3321">
        <w:rPr>
          <w:rFonts w:ascii="Times New Roman" w:eastAsia="Times New Roman" w:hAnsi="Times New Roman"/>
          <w:sz w:val="24"/>
          <w:szCs w:val="24"/>
          <w:lang w:eastAsia="pt-BR"/>
        </w:rPr>
        <w:t>, prontos e dotados de direcionamento, àqueles órgãos incapazes tecnicamente de produzir seus próprios documentos exigidos pela Lei.</w:t>
      </w:r>
    </w:p>
    <w:p w14:paraId="10DD137B" w14:textId="2776E0CD" w:rsidR="000F3321" w:rsidRDefault="000F3321" w:rsidP="001860A4">
      <w:pPr>
        <w:spacing w:after="120" w:line="240" w:lineRule="auto"/>
        <w:ind w:firstLine="851"/>
        <w:jc w:val="both"/>
        <w:rPr>
          <w:rFonts w:ascii="Times New Roman" w:eastAsia="Times New Roman" w:hAnsi="Times New Roman"/>
          <w:sz w:val="24"/>
          <w:szCs w:val="24"/>
          <w:lang w:eastAsia="pt-BR"/>
        </w:rPr>
      </w:pPr>
      <w:r>
        <w:rPr>
          <w:rFonts w:ascii="Times New Roman" w:eastAsia="Times New Roman" w:hAnsi="Times New Roman"/>
          <w:sz w:val="24"/>
          <w:szCs w:val="24"/>
          <w:lang w:eastAsia="pt-BR"/>
        </w:rPr>
        <w:t>Caberá aos gestores municipais, em face da falta de sensibilidade do legislador federal, encontrar mecanismos de capacitação de servidores e de congregação de esforços, por meio de consórcios públicos e associações, para minimizar as dificuldades técnicas impostas pela nova Lei, sob pena de serem estigmatizados como ineficientes ou, pior, punidos pela não observância dos preceitos legais.</w:t>
      </w:r>
    </w:p>
    <w:p w14:paraId="6D898C04" w14:textId="77777777" w:rsidR="00844E21" w:rsidRDefault="000F3321" w:rsidP="001860A4">
      <w:pPr>
        <w:spacing w:after="120" w:line="240" w:lineRule="auto"/>
        <w:ind w:firstLine="851"/>
        <w:jc w:val="both"/>
        <w:rPr>
          <w:rFonts w:ascii="Times New Roman" w:eastAsia="Times New Roman" w:hAnsi="Times New Roman"/>
          <w:sz w:val="24"/>
          <w:szCs w:val="24"/>
          <w:lang w:eastAsia="pt-BR"/>
        </w:rPr>
      </w:pPr>
      <w:r>
        <w:rPr>
          <w:rFonts w:ascii="Times New Roman" w:eastAsia="Times New Roman" w:hAnsi="Times New Roman"/>
          <w:sz w:val="24"/>
          <w:szCs w:val="24"/>
          <w:lang w:eastAsia="pt-BR"/>
        </w:rPr>
        <w:t>A realidade vivenciada em órgãos públicos na esfera da União</w:t>
      </w:r>
      <w:r w:rsidR="00844E21">
        <w:rPr>
          <w:rFonts w:ascii="Times New Roman" w:eastAsia="Times New Roman" w:hAnsi="Times New Roman"/>
          <w:sz w:val="24"/>
          <w:szCs w:val="24"/>
          <w:lang w:eastAsia="pt-BR"/>
        </w:rPr>
        <w:t xml:space="preserve"> é totalmente distinta do quadro precário, em todos os seus aspectos, dos pequenos municípios. Aquilo que é extremamente simples e descomplicado para uns, pode ser um passo intransponível para outros.</w:t>
      </w:r>
    </w:p>
    <w:p w14:paraId="725AA496" w14:textId="50CD61CB" w:rsidR="004C7CB9" w:rsidRDefault="004C7CB9" w:rsidP="001860A4">
      <w:pPr>
        <w:spacing w:after="120" w:line="240" w:lineRule="auto"/>
        <w:ind w:firstLine="851"/>
        <w:jc w:val="both"/>
        <w:rPr>
          <w:rFonts w:ascii="Times New Roman" w:eastAsia="Times New Roman" w:hAnsi="Times New Roman"/>
          <w:sz w:val="24"/>
          <w:szCs w:val="24"/>
          <w:lang w:eastAsia="pt-BR"/>
        </w:rPr>
      </w:pPr>
      <w:r>
        <w:rPr>
          <w:rFonts w:ascii="Times New Roman" w:eastAsia="Times New Roman" w:hAnsi="Times New Roman"/>
          <w:sz w:val="24"/>
          <w:szCs w:val="24"/>
          <w:lang w:eastAsia="pt-BR"/>
        </w:rPr>
        <w:t xml:space="preserve">A cultura do planejamento deve imperar na Administração Pública. Entretanto, a mera imposição legal pode não ser o melhor caminho para implantá-la. </w:t>
      </w:r>
    </w:p>
    <w:p w14:paraId="722D941E" w14:textId="3A014FF5" w:rsidR="00844E21" w:rsidRDefault="00844E21" w:rsidP="001860A4">
      <w:pPr>
        <w:spacing w:after="120" w:line="240" w:lineRule="auto"/>
        <w:ind w:firstLine="851"/>
        <w:jc w:val="both"/>
        <w:rPr>
          <w:rFonts w:ascii="Times New Roman" w:eastAsia="Times New Roman" w:hAnsi="Times New Roman"/>
          <w:sz w:val="24"/>
          <w:szCs w:val="24"/>
          <w:lang w:eastAsia="pt-BR"/>
        </w:rPr>
      </w:pPr>
      <w:r>
        <w:rPr>
          <w:rFonts w:ascii="Times New Roman" w:eastAsia="Times New Roman" w:hAnsi="Times New Roman"/>
          <w:sz w:val="24"/>
          <w:szCs w:val="24"/>
          <w:lang w:eastAsia="pt-BR"/>
        </w:rPr>
        <w:t xml:space="preserve">Cabe sim à União traçar normas gerais de licitações e contratos administrativos. Mas, por óbvio, as normas gerais deveriam refletir as realidades e possibilidades de cada ente da federação. </w:t>
      </w:r>
    </w:p>
    <w:p w14:paraId="5F6536A8" w14:textId="77777777" w:rsidR="003F4F52" w:rsidRDefault="003F4F52" w:rsidP="001860A4">
      <w:pPr>
        <w:spacing w:after="120" w:line="240" w:lineRule="auto"/>
        <w:ind w:firstLine="851"/>
        <w:jc w:val="both"/>
        <w:rPr>
          <w:rFonts w:ascii="Times New Roman" w:eastAsia="Times New Roman" w:hAnsi="Times New Roman"/>
          <w:sz w:val="24"/>
          <w:szCs w:val="24"/>
          <w:lang w:eastAsia="pt-BR"/>
        </w:rPr>
      </w:pPr>
    </w:p>
    <w:p w14:paraId="1FDA07D3" w14:textId="77777777" w:rsidR="00430C54" w:rsidRPr="00637336" w:rsidRDefault="00430C54" w:rsidP="001860A4">
      <w:pPr>
        <w:spacing w:after="120" w:line="240" w:lineRule="auto"/>
        <w:jc w:val="center"/>
        <w:rPr>
          <w:rFonts w:ascii="Times New Roman" w:hAnsi="Times New Roman"/>
          <w:b/>
          <w:bCs/>
          <w:sz w:val="24"/>
          <w:szCs w:val="24"/>
          <w:lang w:val="fr-CA"/>
        </w:rPr>
      </w:pPr>
      <w:r w:rsidRPr="00637336">
        <w:rPr>
          <w:rFonts w:ascii="Times New Roman" w:hAnsi="Times New Roman"/>
          <w:b/>
          <w:bCs/>
          <w:sz w:val="24"/>
          <w:szCs w:val="24"/>
          <w:lang w:val="fr-CA"/>
        </w:rPr>
        <w:lastRenderedPageBreak/>
        <w:t>PLANNING IN THE NEW BIDDING LAW AND THE APPLICABILITY OF ITS INSTRUMENTS IN SMALL MUNICIPALITIES</w:t>
      </w:r>
    </w:p>
    <w:p w14:paraId="1433BCAD" w14:textId="77777777" w:rsidR="00430C54" w:rsidRPr="00430C54" w:rsidRDefault="00430C54" w:rsidP="001860A4">
      <w:pPr>
        <w:spacing w:after="120" w:line="240" w:lineRule="auto"/>
        <w:jc w:val="center"/>
        <w:rPr>
          <w:rFonts w:ascii="Times New Roman" w:hAnsi="Times New Roman"/>
          <w:b/>
          <w:bCs/>
          <w:sz w:val="24"/>
          <w:szCs w:val="24"/>
          <w:lang w:val="fr-CA"/>
        </w:rPr>
      </w:pPr>
    </w:p>
    <w:p w14:paraId="37D7855C" w14:textId="2276459B" w:rsidR="00430C54" w:rsidRDefault="00430C54" w:rsidP="001860A4">
      <w:pPr>
        <w:spacing w:after="120" w:line="240" w:lineRule="auto"/>
        <w:jc w:val="both"/>
        <w:rPr>
          <w:rFonts w:ascii="Times New Roman" w:eastAsia="Times New Roman" w:hAnsi="Times New Roman"/>
          <w:sz w:val="24"/>
          <w:szCs w:val="24"/>
          <w:lang w:val="fr-CA" w:eastAsia="pt-BR"/>
        </w:rPr>
      </w:pPr>
      <w:r w:rsidRPr="008555B6">
        <w:rPr>
          <w:rFonts w:ascii="Times New Roman" w:hAnsi="Times New Roman"/>
          <w:sz w:val="24"/>
          <w:szCs w:val="24"/>
          <w:lang w:val="fr-CA"/>
        </w:rPr>
        <w:t xml:space="preserve">Abstract: </w:t>
      </w:r>
      <w:r w:rsidRPr="008555B6">
        <w:rPr>
          <w:rFonts w:ascii="Times New Roman" w:eastAsia="Times New Roman" w:hAnsi="Times New Roman"/>
          <w:sz w:val="24"/>
          <w:szCs w:val="24"/>
          <w:lang w:val="fr-CA" w:eastAsia="pt-BR"/>
        </w:rPr>
        <w:t xml:space="preserve">Law No. 14,133 of April 1, 2021, which provides for bidding and administrative contracts, relentlessly highlighted the planning instrument to the government procurement and contracting regime. To delimit the theme, the specific situation of small municipalities was analyzed, with the aim of the article to verify the applicability of the planning mechanisms provided for in the new </w:t>
      </w:r>
      <w:r w:rsidR="00BD2F4C">
        <w:rPr>
          <w:rFonts w:ascii="Times New Roman" w:eastAsia="Times New Roman" w:hAnsi="Times New Roman"/>
          <w:sz w:val="24"/>
          <w:szCs w:val="24"/>
          <w:lang w:val="fr-CA" w:eastAsia="pt-BR"/>
        </w:rPr>
        <w:t>bidding</w:t>
      </w:r>
      <w:r w:rsidRPr="008555B6">
        <w:rPr>
          <w:rFonts w:ascii="Times New Roman" w:eastAsia="Times New Roman" w:hAnsi="Times New Roman"/>
          <w:sz w:val="24"/>
          <w:szCs w:val="24"/>
          <w:lang w:val="fr-CA" w:eastAsia="pt-BR"/>
        </w:rPr>
        <w:t xml:space="preserve"> </w:t>
      </w:r>
      <w:r w:rsidR="00BD2F4C">
        <w:rPr>
          <w:rFonts w:ascii="Times New Roman" w:eastAsia="Times New Roman" w:hAnsi="Times New Roman"/>
          <w:sz w:val="24"/>
          <w:szCs w:val="24"/>
          <w:lang w:val="fr-CA" w:eastAsia="pt-BR"/>
        </w:rPr>
        <w:t>l</w:t>
      </w:r>
      <w:r w:rsidRPr="008555B6">
        <w:rPr>
          <w:rFonts w:ascii="Times New Roman" w:eastAsia="Times New Roman" w:hAnsi="Times New Roman"/>
          <w:sz w:val="24"/>
          <w:szCs w:val="24"/>
          <w:lang w:val="fr-CA" w:eastAsia="pt-BR"/>
        </w:rPr>
        <w:t xml:space="preserve">aw. </w:t>
      </w:r>
      <w:r w:rsidRPr="00E544BA">
        <w:rPr>
          <w:rFonts w:ascii="Times New Roman" w:eastAsia="Times New Roman" w:hAnsi="Times New Roman"/>
          <w:sz w:val="24"/>
          <w:szCs w:val="24"/>
          <w:lang w:val="fr-CA" w:eastAsia="pt-BR"/>
        </w:rPr>
        <w:t>How small municipalities will behave in the face of the new legal rule is based on the work hypothesis. The article, divided into three parts, presents, first, the contextualization of the planning of administrative actions in the public sphere. Then, the innovations brought by the new Law in the scope of purchasing and contracting planning were presented. And, in the third and last part, barriers to the adoption of planning mechanisms by small municipalities were brought up. It was concluded that the formalities imposed by the new Law disregard the multiple realities of Brazilian municipalities. To achieve the proposed, bibliographical and theoretical research was used, prioritizing content analysis. Also, data from the IBGE were evaluated in relation to the organizational structure of the internal control bodies of the municipalities and, also, the staff of small municipalities in the micro-region of Vale do Paranaíba in Minas Gerais. The relevance of the study is precisely related to the small scientific production aimed at the applicability of the new Law to small municipalities.</w:t>
      </w:r>
    </w:p>
    <w:p w14:paraId="53782C31" w14:textId="77777777" w:rsidR="00EC788F" w:rsidRDefault="00EC788F" w:rsidP="001860A4">
      <w:pPr>
        <w:spacing w:after="120" w:line="240" w:lineRule="auto"/>
        <w:jc w:val="both"/>
        <w:rPr>
          <w:rFonts w:ascii="Times New Roman" w:eastAsia="Times New Roman" w:hAnsi="Times New Roman"/>
          <w:sz w:val="24"/>
          <w:szCs w:val="24"/>
          <w:lang w:val="fr-CA" w:eastAsia="pt-BR"/>
        </w:rPr>
      </w:pPr>
    </w:p>
    <w:p w14:paraId="6223EEF0" w14:textId="0B0B819D" w:rsidR="00430C54" w:rsidRPr="00DB0196" w:rsidRDefault="00430C54" w:rsidP="001860A4">
      <w:pPr>
        <w:spacing w:after="120" w:line="240" w:lineRule="auto"/>
        <w:jc w:val="both"/>
        <w:rPr>
          <w:rFonts w:ascii="Times New Roman" w:eastAsia="Times New Roman" w:hAnsi="Times New Roman"/>
          <w:sz w:val="24"/>
          <w:szCs w:val="24"/>
          <w:lang w:val="fr-CA" w:eastAsia="pt-BR"/>
        </w:rPr>
      </w:pPr>
      <w:r w:rsidRPr="00DB0196">
        <w:rPr>
          <w:rFonts w:ascii="Times New Roman" w:eastAsia="Times New Roman" w:hAnsi="Times New Roman"/>
          <w:sz w:val="24"/>
          <w:szCs w:val="24"/>
          <w:lang w:val="fr-CA" w:eastAsia="pt-BR"/>
        </w:rPr>
        <w:t>Keywords: planning; biddings; purchases and contracts; public administration; small municipalities</w:t>
      </w:r>
    </w:p>
    <w:p w14:paraId="15EC9FD3" w14:textId="31BC2D68" w:rsidR="00430C54" w:rsidRPr="00430C54" w:rsidRDefault="00430C54" w:rsidP="003F4F52">
      <w:pPr>
        <w:spacing w:after="0" w:line="240" w:lineRule="auto"/>
        <w:jc w:val="center"/>
        <w:rPr>
          <w:rFonts w:ascii="Times New Roman" w:hAnsi="Times New Roman"/>
          <w:b/>
          <w:bCs/>
          <w:sz w:val="24"/>
          <w:szCs w:val="24"/>
          <w:lang w:val="fr-CA"/>
        </w:rPr>
      </w:pPr>
    </w:p>
    <w:p w14:paraId="4BE24B72" w14:textId="0C75B9A8" w:rsidR="00EA76D5" w:rsidRDefault="00EA76D5" w:rsidP="003F4F52">
      <w:pPr>
        <w:spacing w:after="0" w:line="240" w:lineRule="auto"/>
        <w:jc w:val="center"/>
        <w:rPr>
          <w:rFonts w:ascii="Times New Roman" w:hAnsi="Times New Roman"/>
          <w:b/>
          <w:bCs/>
          <w:sz w:val="24"/>
          <w:szCs w:val="24"/>
        </w:rPr>
      </w:pPr>
      <w:r w:rsidRPr="00EE025F">
        <w:rPr>
          <w:rFonts w:ascii="Times New Roman" w:hAnsi="Times New Roman"/>
          <w:b/>
          <w:bCs/>
          <w:sz w:val="24"/>
          <w:szCs w:val="24"/>
        </w:rPr>
        <w:t>REFERÊNCIAS</w:t>
      </w:r>
    </w:p>
    <w:p w14:paraId="1B600B2B" w14:textId="77777777" w:rsidR="003F4F52" w:rsidRDefault="003F4F52" w:rsidP="003F4F52">
      <w:pPr>
        <w:spacing w:after="0" w:line="240" w:lineRule="auto"/>
        <w:jc w:val="center"/>
        <w:rPr>
          <w:rFonts w:ascii="Times New Roman" w:hAnsi="Times New Roman"/>
          <w:b/>
          <w:bCs/>
          <w:sz w:val="24"/>
          <w:szCs w:val="24"/>
        </w:rPr>
      </w:pPr>
    </w:p>
    <w:p w14:paraId="61173ED5" w14:textId="6BCCB22F" w:rsidR="006E27C0" w:rsidRPr="009472F6" w:rsidRDefault="006E27C0" w:rsidP="001860A4">
      <w:pPr>
        <w:spacing w:after="120" w:line="240" w:lineRule="auto"/>
        <w:rPr>
          <w:rFonts w:ascii="Times New Roman" w:hAnsi="Times New Roman"/>
          <w:iCs/>
          <w:sz w:val="24"/>
          <w:szCs w:val="24"/>
        </w:rPr>
      </w:pPr>
      <w:r w:rsidRPr="009472F6">
        <w:rPr>
          <w:rFonts w:ascii="Times New Roman" w:hAnsi="Times New Roman"/>
          <w:iCs/>
          <w:sz w:val="24"/>
          <w:szCs w:val="24"/>
        </w:rPr>
        <w:t xml:space="preserve">BALEEIRO, </w:t>
      </w:r>
      <w:proofErr w:type="spellStart"/>
      <w:r w:rsidRPr="009472F6">
        <w:rPr>
          <w:rFonts w:ascii="Times New Roman" w:hAnsi="Times New Roman"/>
          <w:iCs/>
          <w:sz w:val="24"/>
          <w:szCs w:val="24"/>
        </w:rPr>
        <w:t>Aliomar</w:t>
      </w:r>
      <w:proofErr w:type="spellEnd"/>
      <w:r w:rsidRPr="009472F6">
        <w:rPr>
          <w:rFonts w:ascii="Times New Roman" w:hAnsi="Times New Roman"/>
          <w:iCs/>
          <w:sz w:val="24"/>
          <w:szCs w:val="24"/>
        </w:rPr>
        <w:t xml:space="preserve">. </w:t>
      </w:r>
      <w:r w:rsidRPr="00F373C2">
        <w:rPr>
          <w:rFonts w:ascii="Times New Roman" w:hAnsi="Times New Roman"/>
          <w:bCs/>
          <w:i/>
          <w:sz w:val="24"/>
          <w:szCs w:val="24"/>
        </w:rPr>
        <w:t>Uma Introdução à Ciência das Finanças</w:t>
      </w:r>
      <w:r w:rsidRPr="009472F6">
        <w:rPr>
          <w:rFonts w:ascii="Times New Roman" w:hAnsi="Times New Roman"/>
          <w:iCs/>
          <w:sz w:val="24"/>
          <w:szCs w:val="24"/>
        </w:rPr>
        <w:t>. 13ª edição. Rio de Janeiro: Forense, 1981.</w:t>
      </w:r>
    </w:p>
    <w:p w14:paraId="7AEFA44D" w14:textId="77777777" w:rsidR="009472F6" w:rsidRPr="009472F6" w:rsidRDefault="009472F6" w:rsidP="001860A4">
      <w:pPr>
        <w:pStyle w:val="Textodenotaderodap"/>
        <w:spacing w:after="120"/>
        <w:rPr>
          <w:rFonts w:ascii="Times New Roman" w:hAnsi="Times New Roman"/>
          <w:sz w:val="24"/>
          <w:szCs w:val="24"/>
        </w:rPr>
      </w:pPr>
      <w:r w:rsidRPr="009472F6">
        <w:rPr>
          <w:rFonts w:ascii="Times New Roman" w:hAnsi="Times New Roman"/>
          <w:color w:val="222222"/>
          <w:sz w:val="24"/>
          <w:szCs w:val="24"/>
          <w:shd w:val="clear" w:color="auto" w:fill="FFFFFF"/>
        </w:rPr>
        <w:t>BRASIL. Tribunal de Contas da União. Acórdão nº 265. Relator: Raimundo Carreiro. </w:t>
      </w:r>
      <w:r w:rsidRPr="00F373C2">
        <w:rPr>
          <w:rStyle w:val="Forte"/>
          <w:rFonts w:ascii="Times New Roman" w:hAnsi="Times New Roman"/>
          <w:b w:val="0"/>
          <w:bCs w:val="0"/>
          <w:i/>
          <w:iCs/>
          <w:color w:val="222222"/>
          <w:sz w:val="24"/>
          <w:szCs w:val="24"/>
          <w:shd w:val="clear" w:color="auto" w:fill="FFFFFF"/>
        </w:rPr>
        <w:t>Tribunal de Contas da União</w:t>
      </w:r>
      <w:r w:rsidRPr="009472F6">
        <w:rPr>
          <w:rFonts w:ascii="Times New Roman" w:hAnsi="Times New Roman"/>
          <w:color w:val="222222"/>
          <w:sz w:val="24"/>
          <w:szCs w:val="24"/>
          <w:shd w:val="clear" w:color="auto" w:fill="FFFFFF"/>
        </w:rPr>
        <w:t>. Brasília, 24 fev. 2010. Disponível em: https://www.lexml.gov.br/urn/urn:lex:br:tribunal.contas.uniao;plenario:acordao:2010-02-24;265. Acesso em: 02 set. 2021.</w:t>
      </w:r>
    </w:p>
    <w:p w14:paraId="66B4071E" w14:textId="77777777" w:rsidR="006E27C0" w:rsidRPr="009472F6" w:rsidRDefault="006E27C0" w:rsidP="001860A4">
      <w:pPr>
        <w:spacing w:after="120" w:line="240" w:lineRule="auto"/>
        <w:rPr>
          <w:rFonts w:ascii="Times New Roman" w:hAnsi="Times New Roman"/>
          <w:sz w:val="24"/>
          <w:szCs w:val="24"/>
        </w:rPr>
      </w:pPr>
      <w:r w:rsidRPr="009472F6">
        <w:rPr>
          <w:rFonts w:ascii="Times New Roman" w:hAnsi="Times New Roman"/>
          <w:color w:val="172938"/>
          <w:sz w:val="24"/>
          <w:szCs w:val="24"/>
          <w:shd w:val="clear" w:color="auto" w:fill="FFFFFF"/>
        </w:rPr>
        <w:t>BÖCKENFÖRDE</w:t>
      </w:r>
      <w:r w:rsidRPr="009472F6">
        <w:rPr>
          <w:rFonts w:ascii="Times New Roman" w:hAnsi="Times New Roman"/>
          <w:sz w:val="24"/>
          <w:szCs w:val="24"/>
        </w:rPr>
        <w:t xml:space="preserve">, Ernest Wolfgang. </w:t>
      </w:r>
      <w:proofErr w:type="spellStart"/>
      <w:r w:rsidRPr="00F373C2">
        <w:rPr>
          <w:rFonts w:ascii="Times New Roman" w:hAnsi="Times New Roman"/>
          <w:i/>
          <w:iCs/>
          <w:sz w:val="24"/>
          <w:szCs w:val="24"/>
        </w:rPr>
        <w:t>Estudios</w:t>
      </w:r>
      <w:proofErr w:type="spellEnd"/>
      <w:r w:rsidRPr="00F373C2">
        <w:rPr>
          <w:rFonts w:ascii="Times New Roman" w:hAnsi="Times New Roman"/>
          <w:i/>
          <w:iCs/>
          <w:sz w:val="24"/>
          <w:szCs w:val="24"/>
        </w:rPr>
        <w:t xml:space="preserve"> sobre </w:t>
      </w:r>
      <w:proofErr w:type="spellStart"/>
      <w:r w:rsidRPr="00F373C2">
        <w:rPr>
          <w:rFonts w:ascii="Times New Roman" w:hAnsi="Times New Roman"/>
          <w:i/>
          <w:iCs/>
          <w:sz w:val="24"/>
          <w:szCs w:val="24"/>
        </w:rPr>
        <w:t>el</w:t>
      </w:r>
      <w:proofErr w:type="spellEnd"/>
      <w:r w:rsidRPr="00F373C2">
        <w:rPr>
          <w:rFonts w:ascii="Times New Roman" w:hAnsi="Times New Roman"/>
          <w:i/>
          <w:iCs/>
          <w:sz w:val="24"/>
          <w:szCs w:val="24"/>
        </w:rPr>
        <w:t xml:space="preserve"> Estado de </w:t>
      </w:r>
      <w:proofErr w:type="spellStart"/>
      <w:r w:rsidRPr="00F373C2">
        <w:rPr>
          <w:rFonts w:ascii="Times New Roman" w:hAnsi="Times New Roman"/>
          <w:i/>
          <w:iCs/>
          <w:sz w:val="24"/>
          <w:szCs w:val="24"/>
        </w:rPr>
        <w:t>Derecho</w:t>
      </w:r>
      <w:proofErr w:type="spellEnd"/>
      <w:r w:rsidRPr="00F373C2">
        <w:rPr>
          <w:rFonts w:ascii="Times New Roman" w:hAnsi="Times New Roman"/>
          <w:i/>
          <w:iCs/>
          <w:sz w:val="24"/>
          <w:szCs w:val="24"/>
        </w:rPr>
        <w:t xml:space="preserve"> y </w:t>
      </w:r>
      <w:proofErr w:type="spellStart"/>
      <w:r w:rsidRPr="00F373C2">
        <w:rPr>
          <w:rFonts w:ascii="Times New Roman" w:hAnsi="Times New Roman"/>
          <w:i/>
          <w:iCs/>
          <w:sz w:val="24"/>
          <w:szCs w:val="24"/>
        </w:rPr>
        <w:t>la</w:t>
      </w:r>
      <w:proofErr w:type="spellEnd"/>
      <w:r w:rsidRPr="00F373C2">
        <w:rPr>
          <w:rFonts w:ascii="Times New Roman" w:hAnsi="Times New Roman"/>
          <w:i/>
          <w:iCs/>
          <w:sz w:val="24"/>
          <w:szCs w:val="24"/>
        </w:rPr>
        <w:t xml:space="preserve"> Democracia</w:t>
      </w:r>
      <w:r w:rsidRPr="009472F6">
        <w:rPr>
          <w:rFonts w:ascii="Times New Roman" w:hAnsi="Times New Roman"/>
          <w:sz w:val="24"/>
          <w:szCs w:val="24"/>
        </w:rPr>
        <w:t xml:space="preserve">. Madri: Editorial </w:t>
      </w:r>
      <w:proofErr w:type="spellStart"/>
      <w:r w:rsidRPr="009472F6">
        <w:rPr>
          <w:rFonts w:ascii="Times New Roman" w:hAnsi="Times New Roman"/>
          <w:sz w:val="24"/>
          <w:szCs w:val="24"/>
        </w:rPr>
        <w:t>Trotta</w:t>
      </w:r>
      <w:proofErr w:type="spellEnd"/>
      <w:r w:rsidRPr="009472F6">
        <w:rPr>
          <w:rFonts w:ascii="Times New Roman" w:hAnsi="Times New Roman"/>
          <w:sz w:val="24"/>
          <w:szCs w:val="24"/>
        </w:rPr>
        <w:t xml:space="preserve"> S.A., 2000.</w:t>
      </w:r>
    </w:p>
    <w:p w14:paraId="3B24CF7E" w14:textId="77777777" w:rsidR="006E27C0" w:rsidRPr="009472F6" w:rsidRDefault="006E27C0" w:rsidP="001860A4">
      <w:pPr>
        <w:spacing w:after="120" w:line="240" w:lineRule="auto"/>
        <w:rPr>
          <w:rFonts w:ascii="Times New Roman" w:hAnsi="Times New Roman"/>
          <w:b/>
          <w:iCs/>
          <w:sz w:val="24"/>
          <w:szCs w:val="24"/>
        </w:rPr>
      </w:pPr>
      <w:r w:rsidRPr="009472F6">
        <w:rPr>
          <w:rFonts w:ascii="Times New Roman" w:hAnsi="Times New Roman"/>
          <w:bCs/>
          <w:iCs/>
          <w:sz w:val="24"/>
          <w:szCs w:val="24"/>
        </w:rPr>
        <w:t>CAMARÃO, Tatiana.</w:t>
      </w:r>
      <w:r w:rsidRPr="009472F6">
        <w:rPr>
          <w:rFonts w:ascii="Times New Roman" w:hAnsi="Times New Roman"/>
          <w:b/>
          <w:iCs/>
          <w:sz w:val="24"/>
          <w:szCs w:val="24"/>
        </w:rPr>
        <w:t xml:space="preserve"> </w:t>
      </w:r>
      <w:r w:rsidRPr="00F373C2">
        <w:rPr>
          <w:rFonts w:ascii="Times New Roman" w:hAnsi="Times New Roman"/>
          <w:bCs/>
          <w:i/>
          <w:sz w:val="24"/>
          <w:szCs w:val="24"/>
        </w:rPr>
        <w:t>O Termo de Referência e sua Importância para alcance de uma Licitação Perfeita.</w:t>
      </w:r>
      <w:r w:rsidRPr="009472F6">
        <w:rPr>
          <w:rFonts w:ascii="Times New Roman" w:hAnsi="Times New Roman"/>
          <w:b/>
          <w:iCs/>
          <w:sz w:val="24"/>
          <w:szCs w:val="24"/>
        </w:rPr>
        <w:t xml:space="preserve"> </w:t>
      </w:r>
      <w:r w:rsidRPr="009472F6">
        <w:rPr>
          <w:rFonts w:ascii="Times New Roman" w:hAnsi="Times New Roman"/>
          <w:bCs/>
          <w:iCs/>
          <w:sz w:val="24"/>
          <w:szCs w:val="24"/>
        </w:rPr>
        <w:t>[s.n.t]</w:t>
      </w:r>
    </w:p>
    <w:p w14:paraId="112510C2" w14:textId="086A14AB" w:rsidR="00E5146B" w:rsidRPr="009472F6" w:rsidRDefault="00E5146B" w:rsidP="001860A4">
      <w:pPr>
        <w:pStyle w:val="NormalWeb"/>
        <w:shd w:val="clear" w:color="auto" w:fill="FFFFFF"/>
        <w:spacing w:before="0" w:beforeAutospacing="0" w:after="120" w:afterAutospacing="0"/>
        <w:rPr>
          <w:color w:val="1A1A1A"/>
        </w:rPr>
      </w:pPr>
      <w:r w:rsidRPr="009472F6">
        <w:rPr>
          <w:color w:val="1A1A1A"/>
        </w:rPr>
        <w:t xml:space="preserve">DALLARI, Adilson de Abreu. </w:t>
      </w:r>
      <w:r w:rsidRPr="00F373C2">
        <w:rPr>
          <w:i/>
          <w:iCs/>
          <w:color w:val="1A1A1A"/>
        </w:rPr>
        <w:t>Análise crítica das licitações na Lei 14.133/21</w:t>
      </w:r>
      <w:r w:rsidRPr="009472F6">
        <w:rPr>
          <w:color w:val="1A1A1A"/>
        </w:rPr>
        <w:t>. Disponível em: &lt;</w:t>
      </w:r>
      <w:hyperlink r:id="rId8" w:history="1">
        <w:r w:rsidR="00DB65DF" w:rsidRPr="009472F6">
          <w:rPr>
            <w:rStyle w:val="Hyperlink"/>
          </w:rPr>
          <w:t>https://www.conjur.com.br/2021-abr-29/interesse-publico-analise-critica-licitacoes-lei-1413321</w:t>
        </w:r>
      </w:hyperlink>
      <w:r w:rsidRPr="009472F6">
        <w:rPr>
          <w:color w:val="1A1A1A"/>
        </w:rPr>
        <w:t>&gt;. Acesso em 3/9/21.</w:t>
      </w:r>
    </w:p>
    <w:p w14:paraId="63AA585A" w14:textId="77777777" w:rsidR="006E27C0" w:rsidRPr="009472F6" w:rsidRDefault="006E27C0" w:rsidP="001860A4">
      <w:pPr>
        <w:spacing w:after="120" w:line="240" w:lineRule="auto"/>
        <w:rPr>
          <w:rFonts w:ascii="Times New Roman" w:hAnsi="Times New Roman"/>
          <w:sz w:val="24"/>
          <w:szCs w:val="24"/>
        </w:rPr>
      </w:pPr>
      <w:r w:rsidRPr="009472F6">
        <w:rPr>
          <w:rFonts w:ascii="Times New Roman" w:hAnsi="Times New Roman"/>
          <w:sz w:val="24"/>
          <w:szCs w:val="24"/>
        </w:rPr>
        <w:t xml:space="preserve">DEZAN, Sandro Lúcio; HERKENHOFF, Henrique </w:t>
      </w:r>
      <w:proofErr w:type="spellStart"/>
      <w:r w:rsidRPr="009472F6">
        <w:rPr>
          <w:rFonts w:ascii="Times New Roman" w:hAnsi="Times New Roman"/>
          <w:sz w:val="24"/>
          <w:szCs w:val="24"/>
        </w:rPr>
        <w:t>Geaquinto</w:t>
      </w:r>
      <w:proofErr w:type="spellEnd"/>
      <w:r w:rsidRPr="009472F6">
        <w:rPr>
          <w:rFonts w:ascii="Times New Roman" w:hAnsi="Times New Roman"/>
          <w:sz w:val="24"/>
          <w:szCs w:val="24"/>
        </w:rPr>
        <w:t xml:space="preserve">; GUIMARÃES, Jader Ferreira. </w:t>
      </w:r>
      <w:r w:rsidRPr="00F373C2">
        <w:rPr>
          <w:rFonts w:ascii="Times New Roman" w:hAnsi="Times New Roman"/>
          <w:i/>
          <w:iCs/>
          <w:sz w:val="24"/>
          <w:szCs w:val="24"/>
        </w:rPr>
        <w:t>A administração pública concretista de direitos fundamentais</w:t>
      </w:r>
      <w:r w:rsidRPr="009472F6">
        <w:rPr>
          <w:rFonts w:ascii="Times New Roman" w:hAnsi="Times New Roman"/>
          <w:sz w:val="24"/>
          <w:szCs w:val="24"/>
        </w:rPr>
        <w:t>. Belo Horizonte: Arraes, 2019.</w:t>
      </w:r>
    </w:p>
    <w:p w14:paraId="0312C61A" w14:textId="07EEB84A" w:rsidR="00844E21" w:rsidRPr="009472F6" w:rsidRDefault="00844E21" w:rsidP="001860A4">
      <w:pPr>
        <w:autoSpaceDE w:val="0"/>
        <w:autoSpaceDN w:val="0"/>
        <w:adjustRightInd w:val="0"/>
        <w:spacing w:after="120" w:line="240" w:lineRule="auto"/>
        <w:rPr>
          <w:rFonts w:ascii="Times New Roman" w:hAnsi="Times New Roman"/>
          <w:sz w:val="24"/>
          <w:szCs w:val="24"/>
        </w:rPr>
      </w:pPr>
      <w:r w:rsidRPr="00187372">
        <w:rPr>
          <w:rFonts w:ascii="Times New Roman" w:eastAsiaTheme="minorHAnsi" w:hAnsi="Times New Roman"/>
          <w:i/>
          <w:iCs/>
          <w:sz w:val="24"/>
          <w:szCs w:val="24"/>
        </w:rPr>
        <w:t>Estado, instituições e democraci</w:t>
      </w:r>
      <w:r w:rsidR="00610737" w:rsidRPr="00187372">
        <w:rPr>
          <w:rFonts w:ascii="Times New Roman" w:eastAsiaTheme="minorHAnsi" w:hAnsi="Times New Roman"/>
          <w:i/>
          <w:iCs/>
          <w:sz w:val="24"/>
          <w:szCs w:val="24"/>
        </w:rPr>
        <w:t>a</w:t>
      </w:r>
      <w:r w:rsidRPr="00187372">
        <w:rPr>
          <w:rFonts w:ascii="Times New Roman" w:eastAsiaTheme="minorHAnsi" w:hAnsi="Times New Roman"/>
          <w:i/>
          <w:iCs/>
          <w:sz w:val="24"/>
          <w:szCs w:val="24"/>
        </w:rPr>
        <w:t>: democracia</w:t>
      </w:r>
      <w:r w:rsidR="00187372">
        <w:rPr>
          <w:rFonts w:ascii="Times New Roman" w:eastAsiaTheme="minorHAnsi" w:hAnsi="Times New Roman"/>
          <w:sz w:val="24"/>
          <w:szCs w:val="24"/>
        </w:rPr>
        <w:t xml:space="preserve">. Brasília: IPEA, </w:t>
      </w:r>
      <w:r w:rsidRPr="009472F6">
        <w:rPr>
          <w:rFonts w:ascii="Times New Roman" w:eastAsiaTheme="minorHAnsi" w:hAnsi="Times New Roman"/>
          <w:sz w:val="24"/>
          <w:szCs w:val="24"/>
        </w:rPr>
        <w:t>2010. v.2</w:t>
      </w:r>
      <w:r w:rsidR="00187372">
        <w:rPr>
          <w:rFonts w:ascii="Times New Roman" w:eastAsiaTheme="minorHAnsi" w:hAnsi="Times New Roman"/>
          <w:sz w:val="24"/>
          <w:szCs w:val="24"/>
        </w:rPr>
        <w:t>.</w:t>
      </w:r>
      <w:r w:rsidRPr="009472F6">
        <w:rPr>
          <w:rFonts w:ascii="Times New Roman" w:eastAsiaTheme="minorHAnsi" w:hAnsi="Times New Roman"/>
          <w:sz w:val="24"/>
          <w:szCs w:val="24"/>
        </w:rPr>
        <w:t xml:space="preserve"> </w:t>
      </w:r>
    </w:p>
    <w:p w14:paraId="4600C710" w14:textId="623BD4D1" w:rsidR="00212C53" w:rsidRPr="009472F6" w:rsidRDefault="00212C53" w:rsidP="001860A4">
      <w:pPr>
        <w:spacing w:after="120" w:line="240" w:lineRule="auto"/>
        <w:rPr>
          <w:rFonts w:ascii="Times New Roman" w:hAnsi="Times New Roman"/>
          <w:sz w:val="24"/>
          <w:szCs w:val="24"/>
        </w:rPr>
      </w:pPr>
      <w:r w:rsidRPr="009472F6">
        <w:rPr>
          <w:rFonts w:ascii="Times New Roman" w:hAnsi="Times New Roman"/>
          <w:sz w:val="24"/>
          <w:szCs w:val="24"/>
        </w:rPr>
        <w:t>FARAH, Marta Ferreira Santos</w:t>
      </w:r>
      <w:r w:rsidR="00815838">
        <w:rPr>
          <w:rFonts w:ascii="Times New Roman" w:hAnsi="Times New Roman"/>
          <w:sz w:val="24"/>
          <w:szCs w:val="24"/>
        </w:rPr>
        <w:t>.</w:t>
      </w:r>
      <w:r w:rsidRPr="009472F6">
        <w:rPr>
          <w:rFonts w:ascii="Times New Roman" w:hAnsi="Times New Roman"/>
          <w:sz w:val="24"/>
          <w:szCs w:val="24"/>
        </w:rPr>
        <w:t xml:space="preserve"> </w:t>
      </w:r>
      <w:r w:rsidRPr="00815838">
        <w:rPr>
          <w:rFonts w:ascii="Times New Roman" w:hAnsi="Times New Roman"/>
          <w:sz w:val="24"/>
          <w:szCs w:val="24"/>
        </w:rPr>
        <w:t>A contribuição da administração pública para a constituição do campo de estudos de políticas públicas</w:t>
      </w:r>
      <w:r w:rsidRPr="009472F6">
        <w:rPr>
          <w:rFonts w:ascii="Times New Roman" w:hAnsi="Times New Roman"/>
          <w:sz w:val="24"/>
          <w:szCs w:val="24"/>
        </w:rPr>
        <w:t xml:space="preserve">. In: MARQUES, Eduardo e FARIA, Carlos Aurélio </w:t>
      </w:r>
      <w:r w:rsidRPr="009472F6">
        <w:rPr>
          <w:rFonts w:ascii="Times New Roman" w:hAnsi="Times New Roman"/>
          <w:sz w:val="24"/>
          <w:szCs w:val="24"/>
        </w:rPr>
        <w:lastRenderedPageBreak/>
        <w:t xml:space="preserve">de (org.). </w:t>
      </w:r>
      <w:r w:rsidRPr="00815838">
        <w:rPr>
          <w:rFonts w:ascii="Times New Roman" w:hAnsi="Times New Roman"/>
          <w:i/>
          <w:iCs/>
          <w:sz w:val="24"/>
          <w:szCs w:val="24"/>
        </w:rPr>
        <w:t>A política pública como campo multidisciplinar</w:t>
      </w:r>
      <w:r w:rsidRPr="009472F6">
        <w:rPr>
          <w:rFonts w:ascii="Times New Roman" w:hAnsi="Times New Roman"/>
          <w:sz w:val="24"/>
          <w:szCs w:val="24"/>
        </w:rPr>
        <w:t>. São Paulo: Editora Unesp; Rio de Janeiro: Editora Fiocruz, 2013.</w:t>
      </w:r>
    </w:p>
    <w:p w14:paraId="34E804BB" w14:textId="34CEDAC9" w:rsidR="006E27C0" w:rsidRPr="009472F6" w:rsidRDefault="006E27C0" w:rsidP="001860A4">
      <w:pPr>
        <w:spacing w:after="120" w:line="240" w:lineRule="auto"/>
        <w:rPr>
          <w:rFonts w:ascii="Times New Roman" w:hAnsi="Times New Roman"/>
          <w:sz w:val="24"/>
          <w:szCs w:val="24"/>
        </w:rPr>
      </w:pPr>
      <w:r w:rsidRPr="009472F6">
        <w:rPr>
          <w:rFonts w:ascii="Times New Roman" w:hAnsi="Times New Roman"/>
          <w:sz w:val="24"/>
          <w:szCs w:val="24"/>
        </w:rPr>
        <w:t xml:space="preserve">GUEDES, Jefferson Carlos </w:t>
      </w:r>
      <w:proofErr w:type="spellStart"/>
      <w:r w:rsidRPr="009472F6">
        <w:rPr>
          <w:rFonts w:ascii="Times New Roman" w:hAnsi="Times New Roman"/>
          <w:sz w:val="24"/>
          <w:szCs w:val="24"/>
        </w:rPr>
        <w:t>Carús</w:t>
      </w:r>
      <w:proofErr w:type="spellEnd"/>
      <w:r w:rsidRPr="009472F6">
        <w:rPr>
          <w:rFonts w:ascii="Times New Roman" w:hAnsi="Times New Roman"/>
          <w:sz w:val="24"/>
          <w:szCs w:val="24"/>
        </w:rPr>
        <w:t xml:space="preserve"> e PINTO, Henrique Alves. </w:t>
      </w:r>
      <w:r w:rsidRPr="00815838">
        <w:rPr>
          <w:rFonts w:ascii="Times New Roman" w:hAnsi="Times New Roman"/>
          <w:i/>
          <w:iCs/>
          <w:sz w:val="24"/>
          <w:szCs w:val="24"/>
        </w:rPr>
        <w:t>Decisões estruturais</w:t>
      </w:r>
      <w:r w:rsidRPr="009472F6">
        <w:rPr>
          <w:rFonts w:ascii="Times New Roman" w:hAnsi="Times New Roman"/>
          <w:sz w:val="24"/>
          <w:szCs w:val="24"/>
        </w:rPr>
        <w:t xml:space="preserve">: vetores de implementação de políticas públicas. Juris </w:t>
      </w:r>
      <w:proofErr w:type="spellStart"/>
      <w:r w:rsidRPr="009472F6">
        <w:rPr>
          <w:rFonts w:ascii="Times New Roman" w:hAnsi="Times New Roman"/>
          <w:sz w:val="24"/>
          <w:szCs w:val="24"/>
        </w:rPr>
        <w:t>Plenum</w:t>
      </w:r>
      <w:proofErr w:type="spellEnd"/>
      <w:r w:rsidRPr="009472F6">
        <w:rPr>
          <w:rFonts w:ascii="Times New Roman" w:hAnsi="Times New Roman"/>
          <w:sz w:val="24"/>
          <w:szCs w:val="24"/>
        </w:rPr>
        <w:t xml:space="preserve"> Direito Administrativo, Ano VII, n. 26 (</w:t>
      </w:r>
      <w:proofErr w:type="spellStart"/>
      <w:r w:rsidRPr="009472F6">
        <w:rPr>
          <w:rFonts w:ascii="Times New Roman" w:hAnsi="Times New Roman"/>
          <w:sz w:val="24"/>
          <w:szCs w:val="24"/>
        </w:rPr>
        <w:t>abr</w:t>
      </w:r>
      <w:proofErr w:type="spellEnd"/>
      <w:r w:rsidRPr="009472F6">
        <w:rPr>
          <w:rFonts w:ascii="Times New Roman" w:hAnsi="Times New Roman"/>
          <w:sz w:val="24"/>
          <w:szCs w:val="24"/>
        </w:rPr>
        <w:t>/</w:t>
      </w:r>
      <w:proofErr w:type="spellStart"/>
      <w:r w:rsidRPr="009472F6">
        <w:rPr>
          <w:rFonts w:ascii="Times New Roman" w:hAnsi="Times New Roman"/>
          <w:sz w:val="24"/>
          <w:szCs w:val="24"/>
        </w:rPr>
        <w:t>jun</w:t>
      </w:r>
      <w:proofErr w:type="spellEnd"/>
      <w:r w:rsidRPr="009472F6">
        <w:rPr>
          <w:rFonts w:ascii="Times New Roman" w:hAnsi="Times New Roman"/>
          <w:sz w:val="24"/>
          <w:szCs w:val="24"/>
        </w:rPr>
        <w:t xml:space="preserve">). Caxias do Sul. 2020, pp. 75-98. </w:t>
      </w:r>
    </w:p>
    <w:p w14:paraId="336E07E9" w14:textId="681302B2" w:rsidR="00DB65DF" w:rsidRPr="009472F6" w:rsidRDefault="00DB65DF" w:rsidP="001860A4">
      <w:pPr>
        <w:spacing w:after="120" w:line="240" w:lineRule="auto"/>
        <w:rPr>
          <w:rFonts w:ascii="Times New Roman" w:hAnsi="Times New Roman"/>
          <w:iCs/>
          <w:sz w:val="24"/>
          <w:szCs w:val="24"/>
        </w:rPr>
      </w:pPr>
      <w:r w:rsidRPr="00815838">
        <w:rPr>
          <w:rFonts w:ascii="Times New Roman" w:hAnsi="Times New Roman"/>
          <w:i/>
          <w:sz w:val="24"/>
          <w:szCs w:val="24"/>
        </w:rPr>
        <w:t>Perfil dos municípios brasileiros: 2019</w:t>
      </w:r>
      <w:r w:rsidR="00187372">
        <w:rPr>
          <w:rFonts w:ascii="Times New Roman" w:hAnsi="Times New Roman"/>
          <w:i/>
          <w:sz w:val="24"/>
          <w:szCs w:val="24"/>
        </w:rPr>
        <w:t>.</w:t>
      </w:r>
      <w:r w:rsidRPr="009472F6">
        <w:rPr>
          <w:rFonts w:ascii="Times New Roman" w:hAnsi="Times New Roman"/>
          <w:iCs/>
          <w:sz w:val="24"/>
          <w:szCs w:val="24"/>
        </w:rPr>
        <w:t xml:space="preserve"> Rio de Janeiro: IBGE, 2020.</w:t>
      </w:r>
      <w:r w:rsidR="00187372">
        <w:rPr>
          <w:rFonts w:ascii="Times New Roman" w:hAnsi="Times New Roman"/>
          <w:iCs/>
          <w:sz w:val="24"/>
          <w:szCs w:val="24"/>
        </w:rPr>
        <w:t xml:space="preserve"> </w:t>
      </w:r>
    </w:p>
    <w:p w14:paraId="65373F8F" w14:textId="33A4D254" w:rsidR="006E27C0" w:rsidRPr="009472F6" w:rsidRDefault="006E27C0" w:rsidP="001860A4">
      <w:pPr>
        <w:spacing w:after="120" w:line="240" w:lineRule="auto"/>
        <w:rPr>
          <w:rFonts w:ascii="Times New Roman" w:hAnsi="Times New Roman"/>
          <w:sz w:val="24"/>
          <w:szCs w:val="24"/>
        </w:rPr>
      </w:pPr>
      <w:r w:rsidRPr="009472F6">
        <w:rPr>
          <w:rFonts w:ascii="Times New Roman" w:hAnsi="Times New Roman"/>
          <w:sz w:val="24"/>
          <w:szCs w:val="24"/>
        </w:rPr>
        <w:t xml:space="preserve">SUXBERGER, Antônio Henrique Graciano. </w:t>
      </w:r>
      <w:r w:rsidRPr="00815838">
        <w:rPr>
          <w:rFonts w:ascii="Times New Roman" w:hAnsi="Times New Roman"/>
          <w:sz w:val="24"/>
          <w:szCs w:val="24"/>
        </w:rPr>
        <w:t>O Direito nas Políticas Públicas</w:t>
      </w:r>
      <w:r w:rsidRPr="009472F6">
        <w:rPr>
          <w:rFonts w:ascii="Times New Roman" w:hAnsi="Times New Roman"/>
          <w:sz w:val="24"/>
          <w:szCs w:val="24"/>
        </w:rPr>
        <w:t xml:space="preserve">: o déficit de efetividade dos direitos é um problema normativo ou </w:t>
      </w:r>
      <w:proofErr w:type="gramStart"/>
      <w:r w:rsidRPr="009472F6">
        <w:rPr>
          <w:rFonts w:ascii="Times New Roman" w:hAnsi="Times New Roman"/>
          <w:sz w:val="24"/>
          <w:szCs w:val="24"/>
        </w:rPr>
        <w:t>institucional?,</w:t>
      </w:r>
      <w:proofErr w:type="gramEnd"/>
      <w:r w:rsidRPr="009472F6">
        <w:rPr>
          <w:rFonts w:ascii="Times New Roman" w:hAnsi="Times New Roman"/>
          <w:sz w:val="24"/>
          <w:szCs w:val="24"/>
        </w:rPr>
        <w:t xml:space="preserve"> pp. 111-127. In: CALHAO, Antônio Ernani Pedroso e MENEZES, Rafael Lessa Vieira de Sá (org.). </w:t>
      </w:r>
      <w:r w:rsidRPr="00815838">
        <w:rPr>
          <w:rFonts w:ascii="Times New Roman" w:hAnsi="Times New Roman"/>
          <w:i/>
          <w:iCs/>
          <w:sz w:val="24"/>
          <w:szCs w:val="24"/>
        </w:rPr>
        <w:t>Direitos Humanos e Democracia: estudos em homenagem ao Professor Vital Moreira</w:t>
      </w:r>
      <w:r w:rsidRPr="009472F6">
        <w:rPr>
          <w:rFonts w:ascii="Times New Roman" w:hAnsi="Times New Roman"/>
          <w:sz w:val="24"/>
          <w:szCs w:val="24"/>
        </w:rPr>
        <w:t xml:space="preserve">. Rio de Janeiro: </w:t>
      </w:r>
      <w:proofErr w:type="spellStart"/>
      <w:r w:rsidRPr="009472F6">
        <w:rPr>
          <w:rFonts w:ascii="Times New Roman" w:hAnsi="Times New Roman"/>
          <w:sz w:val="24"/>
          <w:szCs w:val="24"/>
        </w:rPr>
        <w:t>Lumen</w:t>
      </w:r>
      <w:proofErr w:type="spellEnd"/>
      <w:r w:rsidRPr="009472F6">
        <w:rPr>
          <w:rFonts w:ascii="Times New Roman" w:hAnsi="Times New Roman"/>
          <w:sz w:val="24"/>
          <w:szCs w:val="24"/>
        </w:rPr>
        <w:t xml:space="preserve"> Juris, 2018. </w:t>
      </w:r>
    </w:p>
    <w:p w14:paraId="0CE1A8ED" w14:textId="7C8CCB13" w:rsidR="00A125AC" w:rsidRPr="009472F6" w:rsidRDefault="00A125AC" w:rsidP="001860A4">
      <w:pPr>
        <w:spacing w:after="120" w:line="240" w:lineRule="auto"/>
        <w:rPr>
          <w:rFonts w:ascii="Times New Roman" w:hAnsi="Times New Roman"/>
          <w:sz w:val="24"/>
          <w:szCs w:val="24"/>
        </w:rPr>
      </w:pPr>
      <w:r w:rsidRPr="009472F6">
        <w:rPr>
          <w:rFonts w:ascii="Times New Roman" w:hAnsi="Times New Roman"/>
          <w:sz w:val="24"/>
          <w:szCs w:val="24"/>
        </w:rPr>
        <w:t xml:space="preserve">TAYLOR, Frederick Winslow. </w:t>
      </w:r>
      <w:r w:rsidRPr="00815838">
        <w:rPr>
          <w:rFonts w:ascii="Times New Roman" w:hAnsi="Times New Roman"/>
          <w:i/>
          <w:iCs/>
          <w:sz w:val="24"/>
          <w:szCs w:val="24"/>
        </w:rPr>
        <w:t>Princípios da administração científica</w:t>
      </w:r>
      <w:r w:rsidRPr="009472F6">
        <w:rPr>
          <w:rFonts w:ascii="Times New Roman" w:hAnsi="Times New Roman"/>
          <w:sz w:val="24"/>
          <w:szCs w:val="24"/>
        </w:rPr>
        <w:t>. 8</w:t>
      </w:r>
      <w:r w:rsidR="00815838">
        <w:rPr>
          <w:rFonts w:ascii="Times New Roman" w:hAnsi="Times New Roman"/>
          <w:sz w:val="24"/>
          <w:szCs w:val="24"/>
        </w:rPr>
        <w:t xml:space="preserve"> </w:t>
      </w:r>
      <w:r w:rsidRPr="009472F6">
        <w:rPr>
          <w:rFonts w:ascii="Times New Roman" w:hAnsi="Times New Roman"/>
          <w:sz w:val="24"/>
          <w:szCs w:val="24"/>
        </w:rPr>
        <w:t>ed. São Paulo: Atlas, 1990.</w:t>
      </w:r>
    </w:p>
    <w:p w14:paraId="0B66EE85" w14:textId="2C602EDE" w:rsidR="00822E4F" w:rsidRPr="009472F6" w:rsidRDefault="00822E4F" w:rsidP="001860A4">
      <w:pPr>
        <w:spacing w:after="120" w:line="240" w:lineRule="auto"/>
        <w:rPr>
          <w:rFonts w:ascii="Times New Roman" w:hAnsi="Times New Roman"/>
          <w:iCs/>
          <w:sz w:val="24"/>
          <w:szCs w:val="24"/>
        </w:rPr>
      </w:pPr>
      <w:r w:rsidRPr="009472F6">
        <w:rPr>
          <w:rFonts w:ascii="Times New Roman" w:hAnsi="Times New Roman"/>
          <w:iCs/>
          <w:sz w:val="24"/>
          <w:szCs w:val="24"/>
        </w:rPr>
        <w:t xml:space="preserve">TORRES, Ricardo Lobo. </w:t>
      </w:r>
      <w:r w:rsidRPr="00815838">
        <w:rPr>
          <w:rFonts w:ascii="Times New Roman" w:hAnsi="Times New Roman"/>
          <w:bCs/>
          <w:i/>
          <w:sz w:val="24"/>
          <w:szCs w:val="24"/>
        </w:rPr>
        <w:t>Curso de Direito Financeiro e Tributário</w:t>
      </w:r>
      <w:r w:rsidRPr="009472F6">
        <w:rPr>
          <w:rFonts w:ascii="Times New Roman" w:hAnsi="Times New Roman"/>
          <w:iCs/>
          <w:sz w:val="24"/>
          <w:szCs w:val="24"/>
        </w:rPr>
        <w:t>. 18 ed. Rio de Janeiro: Editora Renovar, 2011.</w:t>
      </w:r>
    </w:p>
    <w:p w14:paraId="25DF419B" w14:textId="4A6DD032" w:rsidR="000D192E" w:rsidRPr="009472F6" w:rsidRDefault="000D192E" w:rsidP="001860A4">
      <w:pPr>
        <w:spacing w:after="120" w:line="240" w:lineRule="auto"/>
        <w:rPr>
          <w:rFonts w:ascii="Times New Roman" w:hAnsi="Times New Roman"/>
          <w:sz w:val="24"/>
          <w:szCs w:val="24"/>
        </w:rPr>
      </w:pPr>
    </w:p>
    <w:sectPr w:rsidR="000D192E" w:rsidRPr="009472F6" w:rsidSect="003F4F52">
      <w:pgSz w:w="11906" w:h="16838"/>
      <w:pgMar w:top="1701"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873241" w14:textId="77777777" w:rsidR="009B34DF" w:rsidRDefault="009B34DF" w:rsidP="00D064FD">
      <w:pPr>
        <w:spacing w:after="0" w:line="240" w:lineRule="auto"/>
      </w:pPr>
      <w:r>
        <w:separator/>
      </w:r>
    </w:p>
  </w:endnote>
  <w:endnote w:type="continuationSeparator" w:id="0">
    <w:p w14:paraId="160139FF" w14:textId="77777777" w:rsidR="009B34DF" w:rsidRDefault="009B34DF" w:rsidP="00D064F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A13942" w14:textId="77777777" w:rsidR="009B34DF" w:rsidRDefault="009B34DF" w:rsidP="00D064FD">
      <w:pPr>
        <w:spacing w:after="0" w:line="240" w:lineRule="auto"/>
      </w:pPr>
      <w:r>
        <w:separator/>
      </w:r>
    </w:p>
  </w:footnote>
  <w:footnote w:type="continuationSeparator" w:id="0">
    <w:p w14:paraId="346A01A5" w14:textId="77777777" w:rsidR="009B34DF" w:rsidRDefault="009B34DF" w:rsidP="00D064FD">
      <w:pPr>
        <w:spacing w:after="0" w:line="240" w:lineRule="auto"/>
      </w:pPr>
      <w:r>
        <w:continuationSeparator/>
      </w:r>
    </w:p>
  </w:footnote>
  <w:footnote w:id="1">
    <w:p w14:paraId="3D34E4C9" w14:textId="4B69773D" w:rsidR="008D0413" w:rsidRPr="00F22D02" w:rsidRDefault="008D0413" w:rsidP="00F22D02">
      <w:pPr>
        <w:pStyle w:val="Textodenotaderodap"/>
        <w:spacing w:after="120"/>
        <w:jc w:val="both"/>
        <w:rPr>
          <w:rFonts w:ascii="Times New Roman" w:hAnsi="Times New Roman"/>
        </w:rPr>
      </w:pPr>
      <w:r w:rsidRPr="00F22D02">
        <w:rPr>
          <w:rStyle w:val="Refdenotaderodap"/>
          <w:rFonts w:ascii="Times New Roman" w:hAnsi="Times New Roman"/>
        </w:rPr>
        <w:footnoteRef/>
      </w:r>
      <w:r w:rsidRPr="00F22D02">
        <w:rPr>
          <w:rFonts w:ascii="Times New Roman" w:hAnsi="Times New Roman"/>
        </w:rPr>
        <w:t xml:space="preserve"> </w:t>
      </w:r>
      <w:r w:rsidR="00F373C2" w:rsidRPr="00F22D02">
        <w:rPr>
          <w:rFonts w:ascii="Times New Roman" w:hAnsi="Times New Roman"/>
        </w:rPr>
        <w:t>Conforme a</w:t>
      </w:r>
      <w:r w:rsidRPr="00F22D02">
        <w:rPr>
          <w:rFonts w:ascii="Times New Roman" w:hAnsi="Times New Roman"/>
        </w:rPr>
        <w:t>rt. 5º da Lei 14.133, de 1º de abril de 2021.</w:t>
      </w:r>
    </w:p>
  </w:footnote>
  <w:footnote w:id="2">
    <w:p w14:paraId="7042B276" w14:textId="661A2D10" w:rsidR="008D0413" w:rsidRPr="00F22D02" w:rsidRDefault="008D0413" w:rsidP="00F22D02">
      <w:pPr>
        <w:pStyle w:val="NormalWeb"/>
        <w:shd w:val="clear" w:color="auto" w:fill="FFFFFF"/>
        <w:spacing w:before="0" w:beforeAutospacing="0" w:after="120" w:afterAutospacing="0"/>
        <w:jc w:val="both"/>
        <w:rPr>
          <w:sz w:val="20"/>
          <w:szCs w:val="20"/>
        </w:rPr>
      </w:pPr>
      <w:r w:rsidRPr="00F22D02">
        <w:rPr>
          <w:rStyle w:val="Refdenotaderodap"/>
          <w:sz w:val="20"/>
          <w:szCs w:val="20"/>
        </w:rPr>
        <w:footnoteRef/>
      </w:r>
      <w:r w:rsidRPr="00F22D02">
        <w:rPr>
          <w:sz w:val="20"/>
          <w:szCs w:val="20"/>
        </w:rPr>
        <w:t xml:space="preserve"> Nos termos do </w:t>
      </w:r>
      <w:r w:rsidR="00F22D02">
        <w:rPr>
          <w:color w:val="000000"/>
          <w:sz w:val="20"/>
          <w:szCs w:val="20"/>
        </w:rPr>
        <w:t>a</w:t>
      </w:r>
      <w:r w:rsidRPr="00F22D02">
        <w:rPr>
          <w:color w:val="000000"/>
          <w:sz w:val="20"/>
          <w:szCs w:val="20"/>
        </w:rPr>
        <w:t>rt. 3º da Constituição Federal, constituem objetivos fundamentais da República Federativa do Brasil:</w:t>
      </w:r>
      <w:r w:rsidR="00F373C2" w:rsidRPr="00F22D02">
        <w:rPr>
          <w:color w:val="000000"/>
          <w:sz w:val="20"/>
          <w:szCs w:val="20"/>
        </w:rPr>
        <w:t xml:space="preserve"> </w:t>
      </w:r>
      <w:bookmarkStart w:id="0" w:name="art3i"/>
      <w:bookmarkEnd w:id="0"/>
      <w:r w:rsidRPr="00F22D02">
        <w:rPr>
          <w:color w:val="000000"/>
          <w:sz w:val="20"/>
          <w:szCs w:val="20"/>
        </w:rPr>
        <w:t>I - construir uma sociedade livre, justa e solidária;</w:t>
      </w:r>
      <w:r w:rsidR="00F373C2" w:rsidRPr="00F22D02">
        <w:rPr>
          <w:color w:val="000000"/>
          <w:sz w:val="20"/>
          <w:szCs w:val="20"/>
        </w:rPr>
        <w:t xml:space="preserve"> </w:t>
      </w:r>
      <w:bookmarkStart w:id="1" w:name="art3ii"/>
      <w:bookmarkStart w:id="2" w:name="3II"/>
      <w:bookmarkEnd w:id="1"/>
      <w:bookmarkEnd w:id="2"/>
      <w:r w:rsidRPr="00F22D02">
        <w:rPr>
          <w:color w:val="000000"/>
          <w:sz w:val="20"/>
          <w:szCs w:val="20"/>
        </w:rPr>
        <w:t>II - garantir o desenvolvimento nacional;</w:t>
      </w:r>
      <w:r w:rsidR="00F373C2" w:rsidRPr="00F22D02">
        <w:rPr>
          <w:color w:val="000000"/>
          <w:sz w:val="20"/>
          <w:szCs w:val="20"/>
        </w:rPr>
        <w:t xml:space="preserve"> </w:t>
      </w:r>
      <w:bookmarkStart w:id="3" w:name="art3iii"/>
      <w:bookmarkStart w:id="4" w:name="cfart3iii"/>
      <w:bookmarkStart w:id="5" w:name="3III"/>
      <w:bookmarkEnd w:id="3"/>
      <w:bookmarkEnd w:id="4"/>
      <w:bookmarkEnd w:id="5"/>
      <w:r w:rsidRPr="00F22D02">
        <w:rPr>
          <w:color w:val="000000"/>
          <w:sz w:val="20"/>
          <w:szCs w:val="20"/>
        </w:rPr>
        <w:t>III - erradicar a pobreza e a marginalização e reduzir as desigualdades sociais e regionais;</w:t>
      </w:r>
      <w:r w:rsidR="00F373C2" w:rsidRPr="00F22D02">
        <w:rPr>
          <w:color w:val="000000"/>
          <w:sz w:val="20"/>
          <w:szCs w:val="20"/>
        </w:rPr>
        <w:t xml:space="preserve"> </w:t>
      </w:r>
      <w:bookmarkStart w:id="6" w:name="art3iv"/>
      <w:bookmarkStart w:id="7" w:name="3IV"/>
      <w:bookmarkEnd w:id="6"/>
      <w:bookmarkEnd w:id="7"/>
      <w:r w:rsidRPr="00F22D02">
        <w:rPr>
          <w:color w:val="000000"/>
          <w:sz w:val="20"/>
          <w:szCs w:val="20"/>
        </w:rPr>
        <w:t>IV - promover o bem de todos, sem preconceitos de origem, raça, sexo, cor, idade e quaisquer outras formas de discriminação.</w:t>
      </w:r>
    </w:p>
  </w:footnote>
  <w:footnote w:id="3">
    <w:p w14:paraId="4BC863E1" w14:textId="28467140" w:rsidR="00430C54" w:rsidRPr="00F22D02" w:rsidRDefault="00430C54" w:rsidP="00F22D02">
      <w:pPr>
        <w:pStyle w:val="NormalWeb"/>
        <w:shd w:val="clear" w:color="auto" w:fill="FFFFFF"/>
        <w:spacing w:before="0" w:beforeAutospacing="0" w:after="120" w:afterAutospacing="0"/>
        <w:jc w:val="both"/>
        <w:rPr>
          <w:rStyle w:val="Refdenotaderodap"/>
          <w:sz w:val="20"/>
          <w:szCs w:val="20"/>
          <w:lang w:val="fr-CA"/>
        </w:rPr>
      </w:pPr>
      <w:r w:rsidRPr="00F22D02">
        <w:rPr>
          <w:rStyle w:val="Refdenotaderodap"/>
          <w:sz w:val="20"/>
          <w:szCs w:val="20"/>
        </w:rPr>
        <w:footnoteRef/>
      </w:r>
      <w:r w:rsidRPr="00F22D02">
        <w:rPr>
          <w:sz w:val="20"/>
          <w:szCs w:val="20"/>
          <w:lang w:val="fr-CA"/>
        </w:rPr>
        <w:t xml:space="preserve"> </w:t>
      </w:r>
      <w:r w:rsidRPr="00F22D02">
        <w:rPr>
          <w:rStyle w:val="Refdenotaderodap"/>
          <w:sz w:val="20"/>
          <w:szCs w:val="20"/>
          <w:vertAlign w:val="baseline"/>
          <w:lang w:val="fr-CA"/>
        </w:rPr>
        <w:t xml:space="preserve">Para efeito do presente estudo consideram-se municípios de pequeno porte aqueles com população </w:t>
      </w:r>
      <w:r w:rsidR="008555B6" w:rsidRPr="00F22D02">
        <w:rPr>
          <w:rStyle w:val="Refdenotaderodap"/>
          <w:sz w:val="20"/>
          <w:szCs w:val="20"/>
          <w:vertAlign w:val="baseline"/>
          <w:lang w:val="fr-CA"/>
        </w:rPr>
        <w:t>a</w:t>
      </w:r>
      <w:r w:rsidR="008555B6" w:rsidRPr="00F22D02">
        <w:rPr>
          <w:sz w:val="20"/>
          <w:szCs w:val="20"/>
          <w:lang w:val="fr-CA"/>
        </w:rPr>
        <w:t>té</w:t>
      </w:r>
      <w:r w:rsidRPr="00F22D02">
        <w:rPr>
          <w:rStyle w:val="Refdenotaderodap"/>
          <w:sz w:val="20"/>
          <w:szCs w:val="20"/>
          <w:vertAlign w:val="baseline"/>
          <w:lang w:val="fr-CA"/>
        </w:rPr>
        <w:t xml:space="preserve"> </w:t>
      </w:r>
      <w:r w:rsidR="008555B6" w:rsidRPr="00F22D02">
        <w:rPr>
          <w:rStyle w:val="Refdenotaderodap"/>
          <w:sz w:val="20"/>
          <w:szCs w:val="20"/>
          <w:vertAlign w:val="baseline"/>
          <w:lang w:val="fr-CA"/>
        </w:rPr>
        <w:t>1</w:t>
      </w:r>
      <w:r w:rsidRPr="00F22D02">
        <w:rPr>
          <w:rStyle w:val="Refdenotaderodap"/>
          <w:sz w:val="20"/>
          <w:szCs w:val="20"/>
          <w:vertAlign w:val="baseline"/>
          <w:lang w:val="fr-CA"/>
        </w:rPr>
        <w:t>0.000 habitantes.</w:t>
      </w:r>
    </w:p>
  </w:footnote>
  <w:footnote w:id="4">
    <w:p w14:paraId="49C5522D" w14:textId="77777777" w:rsidR="008D0413" w:rsidRPr="00F22D02" w:rsidRDefault="008D0413" w:rsidP="00F22D02">
      <w:pPr>
        <w:pStyle w:val="NormalWeb"/>
        <w:shd w:val="clear" w:color="auto" w:fill="FFFFFF"/>
        <w:spacing w:before="0" w:beforeAutospacing="0" w:after="120" w:afterAutospacing="0"/>
        <w:jc w:val="both"/>
        <w:rPr>
          <w:sz w:val="20"/>
          <w:szCs w:val="20"/>
          <w:lang w:val="fr-CA"/>
        </w:rPr>
      </w:pPr>
      <w:r w:rsidRPr="00F22D02">
        <w:rPr>
          <w:rStyle w:val="Refdenotaderodap"/>
          <w:sz w:val="20"/>
          <w:szCs w:val="20"/>
        </w:rPr>
        <w:footnoteRef/>
      </w:r>
      <w:r w:rsidRPr="00F22D02">
        <w:rPr>
          <w:rStyle w:val="Refdenotaderodap"/>
          <w:sz w:val="20"/>
          <w:szCs w:val="20"/>
          <w:lang w:val="fr-CA"/>
        </w:rPr>
        <w:t xml:space="preserve"> </w:t>
      </w:r>
      <w:r w:rsidRPr="00F22D02">
        <w:rPr>
          <w:rStyle w:val="Refdenotaderodap"/>
          <w:sz w:val="20"/>
          <w:szCs w:val="20"/>
          <w:vertAlign w:val="baseline"/>
          <w:lang w:val="fr-CA"/>
        </w:rPr>
        <w:t>Lei Complementar nº 101, de 4 de maio de 2000, que estabelece normas de finanças públicas voltadas para a responsabilidade na gestão fiscal e dá outras providências.</w:t>
      </w:r>
      <w:r w:rsidRPr="00F22D02">
        <w:rPr>
          <w:sz w:val="20"/>
          <w:szCs w:val="20"/>
          <w:lang w:val="fr-CA"/>
        </w:rPr>
        <w:t xml:space="preserve"> </w:t>
      </w:r>
    </w:p>
  </w:footnote>
  <w:footnote w:id="5">
    <w:p w14:paraId="310EDECE" w14:textId="381A878A" w:rsidR="00787295" w:rsidRPr="00F22D02" w:rsidRDefault="00787295" w:rsidP="00F22D02">
      <w:pPr>
        <w:spacing w:after="120" w:line="240" w:lineRule="auto"/>
        <w:jc w:val="both"/>
        <w:rPr>
          <w:rFonts w:ascii="Times New Roman" w:hAnsi="Times New Roman"/>
          <w:sz w:val="20"/>
          <w:szCs w:val="20"/>
        </w:rPr>
      </w:pPr>
      <w:r w:rsidRPr="00F22D02">
        <w:rPr>
          <w:rStyle w:val="Refdenotaderodap"/>
          <w:rFonts w:ascii="Times New Roman" w:hAnsi="Times New Roman"/>
          <w:sz w:val="20"/>
          <w:szCs w:val="20"/>
        </w:rPr>
        <w:footnoteRef/>
      </w:r>
      <w:r w:rsidRPr="00F22D02">
        <w:rPr>
          <w:rFonts w:ascii="Times New Roman" w:hAnsi="Times New Roman"/>
          <w:sz w:val="20"/>
          <w:szCs w:val="20"/>
        </w:rPr>
        <w:t xml:space="preserve"> </w:t>
      </w:r>
      <w:r w:rsidR="008A5592" w:rsidRPr="00F22D02">
        <w:rPr>
          <w:rFonts w:ascii="Times New Roman" w:hAnsi="Times New Roman"/>
          <w:color w:val="172938"/>
          <w:sz w:val="20"/>
          <w:szCs w:val="20"/>
          <w:shd w:val="clear" w:color="auto" w:fill="FFFFFF"/>
        </w:rPr>
        <w:t>BÖCKENFÖRDE</w:t>
      </w:r>
      <w:r w:rsidR="008A5592" w:rsidRPr="00F22D02">
        <w:rPr>
          <w:rFonts w:ascii="Times New Roman" w:hAnsi="Times New Roman"/>
          <w:sz w:val="20"/>
          <w:szCs w:val="20"/>
        </w:rPr>
        <w:t xml:space="preserve">, Ernest Wolfgang. </w:t>
      </w:r>
      <w:proofErr w:type="spellStart"/>
      <w:r w:rsidR="008A5592" w:rsidRPr="00F22D02">
        <w:rPr>
          <w:rFonts w:ascii="Times New Roman" w:hAnsi="Times New Roman"/>
          <w:i/>
          <w:iCs/>
          <w:sz w:val="20"/>
          <w:szCs w:val="20"/>
        </w:rPr>
        <w:t>Estudios</w:t>
      </w:r>
      <w:proofErr w:type="spellEnd"/>
      <w:r w:rsidR="008A5592" w:rsidRPr="00F22D02">
        <w:rPr>
          <w:rFonts w:ascii="Times New Roman" w:hAnsi="Times New Roman"/>
          <w:i/>
          <w:iCs/>
          <w:sz w:val="20"/>
          <w:szCs w:val="20"/>
        </w:rPr>
        <w:t xml:space="preserve"> sobre </w:t>
      </w:r>
      <w:proofErr w:type="spellStart"/>
      <w:r w:rsidR="008A5592" w:rsidRPr="00F22D02">
        <w:rPr>
          <w:rFonts w:ascii="Times New Roman" w:hAnsi="Times New Roman"/>
          <w:i/>
          <w:iCs/>
          <w:sz w:val="20"/>
          <w:szCs w:val="20"/>
        </w:rPr>
        <w:t>el</w:t>
      </w:r>
      <w:proofErr w:type="spellEnd"/>
      <w:r w:rsidR="008A5592" w:rsidRPr="00F22D02">
        <w:rPr>
          <w:rFonts w:ascii="Times New Roman" w:hAnsi="Times New Roman"/>
          <w:i/>
          <w:iCs/>
          <w:sz w:val="20"/>
          <w:szCs w:val="20"/>
        </w:rPr>
        <w:t xml:space="preserve"> Estado de </w:t>
      </w:r>
      <w:proofErr w:type="spellStart"/>
      <w:r w:rsidR="008A5592" w:rsidRPr="00F22D02">
        <w:rPr>
          <w:rFonts w:ascii="Times New Roman" w:hAnsi="Times New Roman"/>
          <w:i/>
          <w:iCs/>
          <w:sz w:val="20"/>
          <w:szCs w:val="20"/>
        </w:rPr>
        <w:t>Derecho</w:t>
      </w:r>
      <w:proofErr w:type="spellEnd"/>
      <w:r w:rsidR="008A5592" w:rsidRPr="00F22D02">
        <w:rPr>
          <w:rFonts w:ascii="Times New Roman" w:hAnsi="Times New Roman"/>
          <w:i/>
          <w:iCs/>
          <w:sz w:val="20"/>
          <w:szCs w:val="20"/>
        </w:rPr>
        <w:t xml:space="preserve"> y </w:t>
      </w:r>
      <w:proofErr w:type="spellStart"/>
      <w:r w:rsidR="008A5592" w:rsidRPr="00F22D02">
        <w:rPr>
          <w:rFonts w:ascii="Times New Roman" w:hAnsi="Times New Roman"/>
          <w:i/>
          <w:iCs/>
          <w:sz w:val="20"/>
          <w:szCs w:val="20"/>
        </w:rPr>
        <w:t>la</w:t>
      </w:r>
      <w:proofErr w:type="spellEnd"/>
      <w:r w:rsidR="008A5592" w:rsidRPr="00F22D02">
        <w:rPr>
          <w:rFonts w:ascii="Times New Roman" w:hAnsi="Times New Roman"/>
          <w:i/>
          <w:iCs/>
          <w:sz w:val="20"/>
          <w:szCs w:val="20"/>
        </w:rPr>
        <w:t xml:space="preserve"> Democracia</w:t>
      </w:r>
      <w:r w:rsidR="008A5592" w:rsidRPr="00F22D02">
        <w:rPr>
          <w:rFonts w:ascii="Times New Roman" w:hAnsi="Times New Roman"/>
          <w:sz w:val="20"/>
          <w:szCs w:val="20"/>
        </w:rPr>
        <w:t xml:space="preserve">. Madri: Editorial </w:t>
      </w:r>
      <w:proofErr w:type="spellStart"/>
      <w:r w:rsidR="008A5592" w:rsidRPr="00F22D02">
        <w:rPr>
          <w:rFonts w:ascii="Times New Roman" w:hAnsi="Times New Roman"/>
          <w:sz w:val="20"/>
          <w:szCs w:val="20"/>
        </w:rPr>
        <w:t>Trotta</w:t>
      </w:r>
      <w:proofErr w:type="spellEnd"/>
      <w:r w:rsidR="008A5592" w:rsidRPr="00F22D02">
        <w:rPr>
          <w:rFonts w:ascii="Times New Roman" w:hAnsi="Times New Roman"/>
          <w:sz w:val="20"/>
          <w:szCs w:val="20"/>
        </w:rPr>
        <w:t xml:space="preserve"> S.A., 2000, </w:t>
      </w:r>
      <w:r w:rsidRPr="00F22D02">
        <w:rPr>
          <w:rFonts w:ascii="Times New Roman" w:hAnsi="Times New Roman"/>
          <w:sz w:val="20"/>
          <w:szCs w:val="20"/>
        </w:rPr>
        <w:t>p.130.</w:t>
      </w:r>
    </w:p>
  </w:footnote>
  <w:footnote w:id="6">
    <w:p w14:paraId="272A3FF2" w14:textId="461AF479" w:rsidR="00640068" w:rsidRPr="00F22D02" w:rsidRDefault="00640068" w:rsidP="00F22D02">
      <w:pPr>
        <w:spacing w:after="120" w:line="240" w:lineRule="auto"/>
        <w:jc w:val="both"/>
        <w:rPr>
          <w:rFonts w:ascii="Times New Roman" w:hAnsi="Times New Roman"/>
          <w:sz w:val="20"/>
          <w:szCs w:val="20"/>
        </w:rPr>
      </w:pPr>
      <w:r w:rsidRPr="00F22D02">
        <w:rPr>
          <w:rStyle w:val="Refdenotaderodap"/>
          <w:rFonts w:ascii="Times New Roman" w:hAnsi="Times New Roman"/>
          <w:sz w:val="20"/>
          <w:szCs w:val="20"/>
        </w:rPr>
        <w:footnoteRef/>
      </w:r>
      <w:r w:rsidRPr="00F22D02">
        <w:rPr>
          <w:rFonts w:ascii="Times New Roman" w:hAnsi="Times New Roman"/>
          <w:sz w:val="20"/>
          <w:szCs w:val="20"/>
        </w:rPr>
        <w:t xml:space="preserve"> </w:t>
      </w:r>
      <w:r w:rsidR="00B050F2" w:rsidRPr="00F22D02">
        <w:rPr>
          <w:rFonts w:ascii="Times New Roman" w:hAnsi="Times New Roman"/>
          <w:sz w:val="20"/>
          <w:szCs w:val="20"/>
        </w:rPr>
        <w:t xml:space="preserve">Conforme </w:t>
      </w:r>
      <w:r w:rsidR="00B050F2" w:rsidRPr="00F22D02">
        <w:rPr>
          <w:rFonts w:ascii="Times New Roman" w:hAnsi="Times New Roman"/>
          <w:i/>
          <w:sz w:val="20"/>
          <w:szCs w:val="20"/>
        </w:rPr>
        <w:t>Perfil dos municípios brasileiros: 2019 / IBGE</w:t>
      </w:r>
      <w:r w:rsidR="00B050F2" w:rsidRPr="00F22D02">
        <w:rPr>
          <w:rFonts w:ascii="Times New Roman" w:hAnsi="Times New Roman"/>
          <w:iCs/>
          <w:sz w:val="20"/>
          <w:szCs w:val="20"/>
        </w:rPr>
        <w:t xml:space="preserve">, Coordenação de População e Indicadores Sociais. - Rio de Janeiro: IBGE, 2020 e na </w:t>
      </w:r>
      <w:r w:rsidR="00787295" w:rsidRPr="00F22D02">
        <w:rPr>
          <w:rFonts w:ascii="Times New Roman" w:hAnsi="Times New Roman"/>
          <w:sz w:val="20"/>
          <w:szCs w:val="20"/>
        </w:rPr>
        <w:t>AMVAPMG</w:t>
      </w:r>
      <w:r w:rsidR="008A5592" w:rsidRPr="00F22D02">
        <w:rPr>
          <w:rFonts w:ascii="Times New Roman" w:hAnsi="Times New Roman"/>
          <w:sz w:val="20"/>
          <w:szCs w:val="20"/>
        </w:rPr>
        <w:t>, no seguinte endereço el</w:t>
      </w:r>
      <w:r w:rsidR="00A267B6" w:rsidRPr="00F22D02">
        <w:rPr>
          <w:rFonts w:ascii="Times New Roman" w:hAnsi="Times New Roman"/>
          <w:sz w:val="20"/>
          <w:szCs w:val="20"/>
        </w:rPr>
        <w:t>e</w:t>
      </w:r>
      <w:r w:rsidR="008A5592" w:rsidRPr="00F22D02">
        <w:rPr>
          <w:rFonts w:ascii="Times New Roman" w:hAnsi="Times New Roman"/>
          <w:sz w:val="20"/>
          <w:szCs w:val="20"/>
        </w:rPr>
        <w:t>t</w:t>
      </w:r>
      <w:r w:rsidR="00A267B6" w:rsidRPr="00F22D02">
        <w:rPr>
          <w:rFonts w:ascii="Times New Roman" w:hAnsi="Times New Roman"/>
          <w:sz w:val="20"/>
          <w:szCs w:val="20"/>
        </w:rPr>
        <w:t>r</w:t>
      </w:r>
      <w:r w:rsidR="008A5592" w:rsidRPr="00F22D02">
        <w:rPr>
          <w:rFonts w:ascii="Times New Roman" w:hAnsi="Times New Roman"/>
          <w:sz w:val="20"/>
          <w:szCs w:val="20"/>
        </w:rPr>
        <w:t xml:space="preserve">ônico: </w:t>
      </w:r>
      <w:hyperlink r:id="rId1" w:history="1">
        <w:r w:rsidR="008A5592" w:rsidRPr="00F22D02">
          <w:rPr>
            <w:rStyle w:val="Hyperlink"/>
            <w:rFonts w:ascii="Times New Roman" w:hAnsi="Times New Roman"/>
            <w:sz w:val="20"/>
            <w:szCs w:val="20"/>
          </w:rPr>
          <w:t>http://www.amvapmg.org.br/1/municipios/</w:t>
        </w:r>
      </w:hyperlink>
      <w:r w:rsidR="00A267B6" w:rsidRPr="00F22D02">
        <w:rPr>
          <w:rFonts w:ascii="Times New Roman" w:hAnsi="Times New Roman"/>
          <w:sz w:val="20"/>
          <w:szCs w:val="20"/>
        </w:rPr>
        <w:t xml:space="preserve"> </w:t>
      </w:r>
    </w:p>
  </w:footnote>
  <w:footnote w:id="7">
    <w:p w14:paraId="31EE652F" w14:textId="0E7AF976" w:rsidR="008D0413" w:rsidRPr="00F22D02" w:rsidRDefault="008D0413" w:rsidP="00F22D02">
      <w:pPr>
        <w:spacing w:after="120" w:line="240" w:lineRule="auto"/>
        <w:jc w:val="both"/>
        <w:rPr>
          <w:rStyle w:val="Refdenotaderodap"/>
          <w:rFonts w:ascii="Times New Roman" w:hAnsi="Times New Roman"/>
          <w:sz w:val="20"/>
          <w:szCs w:val="20"/>
          <w:vertAlign w:val="baseline"/>
        </w:rPr>
      </w:pPr>
      <w:r w:rsidRPr="00F22D02">
        <w:rPr>
          <w:rStyle w:val="Refdenotaderodap"/>
          <w:rFonts w:ascii="Times New Roman" w:hAnsi="Times New Roman"/>
          <w:sz w:val="20"/>
          <w:szCs w:val="20"/>
        </w:rPr>
        <w:footnoteRef/>
      </w:r>
      <w:r w:rsidRPr="00F22D02">
        <w:rPr>
          <w:rStyle w:val="Refdenotaderodap"/>
          <w:rFonts w:ascii="Times New Roman" w:hAnsi="Times New Roman"/>
          <w:sz w:val="20"/>
          <w:szCs w:val="20"/>
          <w:vertAlign w:val="baseline"/>
        </w:rPr>
        <w:t xml:space="preserve"> </w:t>
      </w:r>
      <w:r w:rsidR="00A267B6" w:rsidRPr="00F22D02">
        <w:rPr>
          <w:rFonts w:ascii="Times New Roman" w:hAnsi="Times New Roman"/>
          <w:sz w:val="20"/>
          <w:szCs w:val="20"/>
        </w:rPr>
        <w:t xml:space="preserve">TAYLOR, Frederick Winslow. </w:t>
      </w:r>
      <w:r w:rsidR="00A267B6" w:rsidRPr="00F22D02">
        <w:rPr>
          <w:rFonts w:ascii="Times New Roman" w:hAnsi="Times New Roman"/>
          <w:i/>
          <w:iCs/>
          <w:sz w:val="20"/>
          <w:szCs w:val="20"/>
        </w:rPr>
        <w:t>Princípios da administração científica</w:t>
      </w:r>
      <w:r w:rsidR="00A267B6" w:rsidRPr="00F22D02">
        <w:rPr>
          <w:rFonts w:ascii="Times New Roman" w:hAnsi="Times New Roman"/>
          <w:sz w:val="20"/>
          <w:szCs w:val="20"/>
        </w:rPr>
        <w:t>. 8.ed. São Paulo: Atlas, 1990. p.</w:t>
      </w:r>
      <w:r w:rsidR="00492D8C" w:rsidRPr="00F22D02">
        <w:rPr>
          <w:rFonts w:ascii="Times New Roman" w:hAnsi="Times New Roman"/>
          <w:sz w:val="20"/>
          <w:szCs w:val="20"/>
        </w:rPr>
        <w:t xml:space="preserve"> 33.</w:t>
      </w:r>
      <w:r w:rsidR="00A267B6" w:rsidRPr="00F22D02">
        <w:rPr>
          <w:rFonts w:ascii="Times New Roman" w:hAnsi="Times New Roman"/>
          <w:sz w:val="20"/>
          <w:szCs w:val="20"/>
        </w:rPr>
        <w:t xml:space="preserve"> O autor </w:t>
      </w:r>
      <w:r w:rsidRPr="00F22D02">
        <w:rPr>
          <w:rStyle w:val="Refdenotaderodap"/>
          <w:rFonts w:ascii="Times New Roman" w:hAnsi="Times New Roman"/>
          <w:sz w:val="20"/>
          <w:szCs w:val="20"/>
          <w:vertAlign w:val="baseline"/>
        </w:rPr>
        <w:t>desenvolveu o modelo de Administração Científica, conhecido como Taylorismo</w:t>
      </w:r>
      <w:r w:rsidRPr="00F22D02">
        <w:rPr>
          <w:rFonts w:ascii="Times New Roman" w:hAnsi="Times New Roman"/>
          <w:sz w:val="20"/>
          <w:szCs w:val="20"/>
        </w:rPr>
        <w:t>,</w:t>
      </w:r>
      <w:r w:rsidRPr="00F22D02">
        <w:rPr>
          <w:rStyle w:val="Refdenotaderodap"/>
          <w:rFonts w:ascii="Times New Roman" w:hAnsi="Times New Roman"/>
          <w:sz w:val="20"/>
          <w:szCs w:val="20"/>
          <w:vertAlign w:val="baseline"/>
        </w:rPr>
        <w:t xml:space="preserve"> sistema de organização do trabalho com o qual se pretende alcançar o máximo de produção e rendimento com o mínimo de tempo e de esforço. Apesar de bastante criticado atualmente, em função de p</w:t>
      </w:r>
      <w:r w:rsidRPr="00F22D02">
        <w:rPr>
          <w:rFonts w:ascii="Times New Roman" w:hAnsi="Times New Roman"/>
          <w:sz w:val="20"/>
          <w:szCs w:val="20"/>
        </w:rPr>
        <w:t>sicologia ultrapassada, não é possível desprezar sua contribuição para a ciência da Administração.</w:t>
      </w:r>
    </w:p>
  </w:footnote>
  <w:footnote w:id="8">
    <w:p w14:paraId="21AC97F0" w14:textId="77777777" w:rsidR="008D0413" w:rsidRPr="00F22D02" w:rsidRDefault="008D0413" w:rsidP="00F22D02">
      <w:pPr>
        <w:pStyle w:val="Textodenotaderodap"/>
        <w:spacing w:after="120"/>
        <w:jc w:val="both"/>
        <w:rPr>
          <w:rFonts w:ascii="Times New Roman" w:hAnsi="Times New Roman"/>
        </w:rPr>
      </w:pPr>
      <w:r w:rsidRPr="00F22D02">
        <w:rPr>
          <w:rStyle w:val="Refdenotaderodap"/>
          <w:rFonts w:ascii="Times New Roman" w:hAnsi="Times New Roman"/>
        </w:rPr>
        <w:footnoteRef/>
      </w:r>
      <w:r w:rsidRPr="00F22D02">
        <w:rPr>
          <w:rFonts w:ascii="Times New Roman" w:hAnsi="Times New Roman"/>
        </w:rPr>
        <w:t xml:space="preserve"> Art. 6ª, inciso I, do </w:t>
      </w:r>
      <w:r w:rsidRPr="00F22D02">
        <w:rPr>
          <w:rFonts w:ascii="Times New Roman" w:hAnsi="Times New Roman"/>
          <w:i/>
          <w:iCs/>
        </w:rPr>
        <w:t>Decreto-Lei nº 200</w:t>
      </w:r>
      <w:r w:rsidRPr="00F22D02">
        <w:rPr>
          <w:rFonts w:ascii="Times New Roman" w:hAnsi="Times New Roman"/>
        </w:rPr>
        <w:t>, de 25 de fevereiro de 1967.</w:t>
      </w:r>
    </w:p>
  </w:footnote>
  <w:footnote w:id="9">
    <w:p w14:paraId="3E072EA6" w14:textId="69260ED0" w:rsidR="008D0413" w:rsidRPr="00F22D02" w:rsidRDefault="008D0413" w:rsidP="00F22D02">
      <w:pPr>
        <w:pStyle w:val="Textodenotaderodap"/>
        <w:spacing w:after="120"/>
        <w:jc w:val="both"/>
        <w:rPr>
          <w:rFonts w:ascii="Times New Roman" w:hAnsi="Times New Roman"/>
        </w:rPr>
      </w:pPr>
      <w:r w:rsidRPr="00F22D02">
        <w:rPr>
          <w:rStyle w:val="Refdenotaderodap"/>
          <w:rFonts w:ascii="Times New Roman" w:hAnsi="Times New Roman"/>
        </w:rPr>
        <w:footnoteRef/>
      </w:r>
      <w:r w:rsidRPr="00F22D02">
        <w:rPr>
          <w:rFonts w:ascii="Times New Roman" w:hAnsi="Times New Roman"/>
        </w:rPr>
        <w:t xml:space="preserve"> O objetivo principal do </w:t>
      </w:r>
      <w:proofErr w:type="spellStart"/>
      <w:r w:rsidRPr="00F22D02">
        <w:rPr>
          <w:rFonts w:ascii="Times New Roman" w:hAnsi="Times New Roman"/>
        </w:rPr>
        <w:t>Polocentro</w:t>
      </w:r>
      <w:proofErr w:type="spellEnd"/>
      <w:r w:rsidRPr="00F22D02">
        <w:rPr>
          <w:rFonts w:ascii="Times New Roman" w:hAnsi="Times New Roman"/>
        </w:rPr>
        <w:t xml:space="preserve"> foi o desenvolvimento regional, com a ocupação do cerrado. Apesar do atingimento de seu objetivo, o programa é alvo de críticas, fundadas, relativamente à ausência de preocupação com a questão ambiental. </w:t>
      </w:r>
    </w:p>
  </w:footnote>
  <w:footnote w:id="10">
    <w:p w14:paraId="34956EA5" w14:textId="77777777" w:rsidR="008D0413" w:rsidRPr="00F22D02" w:rsidRDefault="008D0413" w:rsidP="00F22D02">
      <w:pPr>
        <w:pStyle w:val="Textodenotaderodap"/>
        <w:spacing w:after="120"/>
        <w:jc w:val="both"/>
        <w:rPr>
          <w:rFonts w:ascii="Times New Roman" w:hAnsi="Times New Roman"/>
        </w:rPr>
      </w:pPr>
      <w:r w:rsidRPr="00F22D02">
        <w:rPr>
          <w:rStyle w:val="Refdenotaderodap"/>
          <w:rFonts w:ascii="Times New Roman" w:hAnsi="Times New Roman"/>
        </w:rPr>
        <w:footnoteRef/>
      </w:r>
      <w:r w:rsidRPr="00F22D02">
        <w:rPr>
          <w:rFonts w:ascii="Times New Roman" w:hAnsi="Times New Roman"/>
          <w:vertAlign w:val="superscript"/>
        </w:rPr>
        <w:t xml:space="preserve"> </w:t>
      </w:r>
      <w:r w:rsidRPr="00F22D02">
        <w:rPr>
          <w:rFonts w:ascii="Times New Roman" w:hAnsi="Times New Roman"/>
        </w:rPr>
        <w:t xml:space="preserve">Tramita no Congresso Federal a Proposta de Emenda à Constituição (PEC) nº 188/2019, chamada de PEC do Pacto Federativo que contêm dispositivo prevendo a extinção de municípios de até cinco mil habitantes que não atingirem, em 2023, o limite de 10% dos impostos municipais sobre sua receita total. O dispositivo tem poucas chances de prosperar. </w:t>
      </w:r>
    </w:p>
  </w:footnote>
  <w:footnote w:id="11">
    <w:p w14:paraId="63C28FB3" w14:textId="2586F9AA" w:rsidR="008D0413" w:rsidRPr="00F22D02" w:rsidRDefault="008D0413" w:rsidP="00F22D02">
      <w:pPr>
        <w:pStyle w:val="NormalWeb"/>
        <w:shd w:val="clear" w:color="auto" w:fill="FFFFFF"/>
        <w:spacing w:before="0" w:beforeAutospacing="0" w:after="120" w:afterAutospacing="0"/>
        <w:jc w:val="both"/>
        <w:rPr>
          <w:rStyle w:val="Refdenotaderodap"/>
          <w:sz w:val="20"/>
          <w:szCs w:val="20"/>
        </w:rPr>
      </w:pPr>
      <w:r w:rsidRPr="00F22D02">
        <w:rPr>
          <w:rStyle w:val="Refdenotaderodap"/>
          <w:sz w:val="20"/>
          <w:szCs w:val="20"/>
        </w:rPr>
        <w:footnoteRef/>
      </w:r>
      <w:r w:rsidRPr="00F22D02">
        <w:rPr>
          <w:rStyle w:val="Refdenotaderodap"/>
          <w:sz w:val="20"/>
          <w:szCs w:val="20"/>
          <w:vertAlign w:val="baseline"/>
        </w:rPr>
        <w:t xml:space="preserve"> </w:t>
      </w:r>
      <w:r w:rsidR="00B050F2" w:rsidRPr="00F22D02">
        <w:rPr>
          <w:color w:val="1A1A1A"/>
          <w:sz w:val="20"/>
          <w:szCs w:val="20"/>
        </w:rPr>
        <w:t xml:space="preserve">DALLARI, Adilson de Abreu. </w:t>
      </w:r>
      <w:r w:rsidR="00B050F2" w:rsidRPr="00F22D02">
        <w:rPr>
          <w:i/>
          <w:iCs/>
          <w:color w:val="1A1A1A"/>
          <w:sz w:val="20"/>
          <w:szCs w:val="20"/>
        </w:rPr>
        <w:t>Análise crítica das licitações na Lei 14.133/21.</w:t>
      </w:r>
      <w:r w:rsidR="00B050F2" w:rsidRPr="00F22D02">
        <w:rPr>
          <w:color w:val="1A1A1A"/>
          <w:sz w:val="20"/>
          <w:szCs w:val="20"/>
        </w:rPr>
        <w:t xml:space="preserve"> Disponível em: &lt;</w:t>
      </w:r>
      <w:hyperlink r:id="rId2" w:history="1">
        <w:r w:rsidR="00B050F2" w:rsidRPr="00F22D02">
          <w:rPr>
            <w:rStyle w:val="Hyperlink"/>
            <w:sz w:val="20"/>
            <w:szCs w:val="20"/>
          </w:rPr>
          <w:t>https://www.conjur.com.br/2021-abr-29/interesse-publico-analise-critica-licitacoes-lei-1413321</w:t>
        </w:r>
      </w:hyperlink>
      <w:r w:rsidR="00B050F2" w:rsidRPr="00F22D02">
        <w:rPr>
          <w:color w:val="1A1A1A"/>
          <w:sz w:val="20"/>
          <w:szCs w:val="20"/>
        </w:rPr>
        <w:t xml:space="preserve">&gt;. Acesso em 3/9/21. </w:t>
      </w:r>
      <w:r w:rsidRPr="00F22D02">
        <w:rPr>
          <w:sz w:val="20"/>
          <w:szCs w:val="20"/>
        </w:rPr>
        <w:t xml:space="preserve">Segundo </w:t>
      </w:r>
      <w:r w:rsidR="003B297D" w:rsidRPr="00F22D02">
        <w:rPr>
          <w:sz w:val="20"/>
          <w:szCs w:val="20"/>
        </w:rPr>
        <w:t>o autor</w:t>
      </w:r>
      <w:r w:rsidR="00610737" w:rsidRPr="00F22D02">
        <w:rPr>
          <w:sz w:val="20"/>
          <w:szCs w:val="20"/>
        </w:rPr>
        <w:t>,</w:t>
      </w:r>
      <w:r w:rsidRPr="00F22D02">
        <w:rPr>
          <w:sz w:val="20"/>
          <w:szCs w:val="20"/>
        </w:rPr>
        <w:t xml:space="preserve"> “o </w:t>
      </w:r>
      <w:r w:rsidRPr="00F22D02">
        <w:rPr>
          <w:rStyle w:val="Refdenotaderodap"/>
          <w:sz w:val="20"/>
          <w:szCs w:val="20"/>
          <w:vertAlign w:val="baseline"/>
        </w:rPr>
        <w:t>principal problema da nova lei é o vício de inconstitucionalidade, na medida em que não contém apenas normas gerais, descendo a incríveis detalhamentos e particularidades</w:t>
      </w:r>
      <w:r w:rsidRPr="00F22D02">
        <w:rPr>
          <w:rStyle w:val="Refdenotaderodap"/>
          <w:sz w:val="20"/>
          <w:szCs w:val="20"/>
        </w:rPr>
        <w:t>”.</w:t>
      </w:r>
    </w:p>
  </w:footnote>
  <w:footnote w:id="12">
    <w:p w14:paraId="4CD3FD89" w14:textId="4E93C078" w:rsidR="006C6B40" w:rsidRPr="00F22D02" w:rsidRDefault="006C6B40" w:rsidP="00F22D02">
      <w:pPr>
        <w:pStyle w:val="Textodenotaderodap"/>
        <w:spacing w:after="120"/>
        <w:rPr>
          <w:rFonts w:ascii="Times New Roman" w:hAnsi="Times New Roman"/>
        </w:rPr>
      </w:pPr>
      <w:r w:rsidRPr="00F22D02">
        <w:rPr>
          <w:rStyle w:val="Refdenotaderodap"/>
          <w:rFonts w:ascii="Times New Roman" w:hAnsi="Times New Roman"/>
        </w:rPr>
        <w:footnoteRef/>
      </w:r>
      <w:r w:rsidRPr="00F22D02">
        <w:rPr>
          <w:rFonts w:ascii="Times New Roman" w:hAnsi="Times New Roman"/>
        </w:rPr>
        <w:t xml:space="preserve"> </w:t>
      </w:r>
      <w:r w:rsidR="00F22D02">
        <w:rPr>
          <w:rFonts w:ascii="Times New Roman" w:hAnsi="Times New Roman"/>
        </w:rPr>
        <w:t>Conforme Tatiana Camarão, (s</w:t>
      </w:r>
      <w:r w:rsidRPr="00F22D02">
        <w:rPr>
          <w:rFonts w:ascii="Times New Roman" w:hAnsi="Times New Roman"/>
        </w:rPr>
        <w:t>.n.t.</w:t>
      </w:r>
      <w:r w:rsidR="00F22D02">
        <w:rPr>
          <w:rFonts w:ascii="Times New Roman" w:hAnsi="Times New Roman"/>
        </w:rPr>
        <w:t>)</w:t>
      </w:r>
    </w:p>
  </w:footnote>
  <w:footnote w:id="13">
    <w:p w14:paraId="39101837" w14:textId="759E8C97" w:rsidR="00E3594F" w:rsidRPr="00F22D02" w:rsidRDefault="00E3594F" w:rsidP="00F22D02">
      <w:pPr>
        <w:pStyle w:val="Textodenotaderodap"/>
        <w:spacing w:after="120"/>
        <w:jc w:val="both"/>
        <w:rPr>
          <w:rFonts w:ascii="Times New Roman" w:hAnsi="Times New Roman"/>
        </w:rPr>
      </w:pPr>
      <w:r w:rsidRPr="00F22D02">
        <w:rPr>
          <w:rStyle w:val="Refdenotaderodap"/>
          <w:rFonts w:ascii="Times New Roman" w:hAnsi="Times New Roman"/>
        </w:rPr>
        <w:footnoteRef/>
      </w:r>
      <w:r w:rsidRPr="00F22D02">
        <w:rPr>
          <w:rFonts w:ascii="Times New Roman" w:hAnsi="Times New Roman"/>
        </w:rPr>
        <w:t xml:space="preserve"> Apesar da Lei 8.666/1993 já prever a necessidade de estudos técnicos preliminares como instrumento prévio aos projetos básicos, não havia exigência de formalização de documento. Assim, sobretudo em municípios, com a falta de cultura do planejamento, tais estudos eram inexistentes, pelo menos em termos formais.</w:t>
      </w:r>
    </w:p>
  </w:footnote>
  <w:footnote w:id="14">
    <w:p w14:paraId="4ABE99A6" w14:textId="090BA67F" w:rsidR="003C3E88" w:rsidRPr="00F22D02" w:rsidRDefault="003C3E88" w:rsidP="00F22D02">
      <w:pPr>
        <w:pStyle w:val="Textodenotaderodap"/>
        <w:spacing w:after="120"/>
        <w:jc w:val="both"/>
        <w:rPr>
          <w:rFonts w:ascii="Times New Roman" w:hAnsi="Times New Roman"/>
        </w:rPr>
      </w:pPr>
      <w:r w:rsidRPr="00F22D02">
        <w:rPr>
          <w:rStyle w:val="Refdenotaderodap"/>
          <w:rFonts w:ascii="Times New Roman" w:hAnsi="Times New Roman"/>
        </w:rPr>
        <w:footnoteRef/>
      </w:r>
      <w:r w:rsidRPr="00F22D02">
        <w:rPr>
          <w:rFonts w:ascii="Times New Roman" w:hAnsi="Times New Roman"/>
        </w:rPr>
        <w:t xml:space="preserve"> </w:t>
      </w:r>
      <w:r w:rsidR="009472F6" w:rsidRPr="00F22D02">
        <w:rPr>
          <w:rFonts w:ascii="Times New Roman" w:hAnsi="Times New Roman"/>
          <w:color w:val="222222"/>
          <w:shd w:val="clear" w:color="auto" w:fill="FFFFFF"/>
        </w:rPr>
        <w:t>BRASIL. Tribunal de Contas da União. Acórdão nº 265. Relator: Raimundo Carreiro. </w:t>
      </w:r>
      <w:r w:rsidR="009472F6" w:rsidRPr="00F22D02">
        <w:rPr>
          <w:rStyle w:val="Forte"/>
          <w:rFonts w:ascii="Times New Roman" w:hAnsi="Times New Roman"/>
          <w:color w:val="222222"/>
          <w:shd w:val="clear" w:color="auto" w:fill="FFFFFF"/>
        </w:rPr>
        <w:t>Tribunal de Contas da União</w:t>
      </w:r>
      <w:r w:rsidR="009472F6" w:rsidRPr="00F22D02">
        <w:rPr>
          <w:rFonts w:ascii="Times New Roman" w:hAnsi="Times New Roman"/>
          <w:color w:val="222222"/>
          <w:shd w:val="clear" w:color="auto" w:fill="FFFFFF"/>
        </w:rPr>
        <w:t xml:space="preserve">. Brasília, 24 fev. 2010. Disponível em: </w:t>
      </w:r>
      <w:hyperlink r:id="rId3" w:history="1">
        <w:r w:rsidR="00BD2F4C" w:rsidRPr="007B0203">
          <w:rPr>
            <w:rStyle w:val="Hyperlink"/>
            <w:rFonts w:ascii="Times New Roman" w:hAnsi="Times New Roman"/>
            <w:shd w:val="clear" w:color="auto" w:fill="FFFFFF"/>
          </w:rPr>
          <w:t>https://www.lexml.gov.br/urn/urn:lex:br:tribunal.contas.uniao;plenario:acordao:2010-02-24;265</w:t>
        </w:r>
      </w:hyperlink>
      <w:r w:rsidR="00BD2F4C">
        <w:rPr>
          <w:rFonts w:ascii="Times New Roman" w:hAnsi="Times New Roman"/>
          <w:color w:val="222222"/>
          <w:shd w:val="clear" w:color="auto" w:fill="FFFFFF"/>
        </w:rPr>
        <w:t xml:space="preserve">. </w:t>
      </w:r>
      <w:r w:rsidR="009472F6" w:rsidRPr="00F22D02">
        <w:rPr>
          <w:rFonts w:ascii="Times New Roman" w:hAnsi="Times New Roman"/>
          <w:color w:val="222222"/>
          <w:shd w:val="clear" w:color="auto" w:fill="FFFFFF"/>
        </w:rPr>
        <w:t>Acesso em: 02 set. 2021.</w:t>
      </w:r>
    </w:p>
  </w:footnote>
  <w:footnote w:id="15">
    <w:p w14:paraId="7FD24CF4" w14:textId="200F4A97" w:rsidR="003C3E88" w:rsidRPr="00F22D02" w:rsidRDefault="00652FBD" w:rsidP="00F22D02">
      <w:pPr>
        <w:spacing w:after="120" w:line="240" w:lineRule="auto"/>
        <w:jc w:val="both"/>
        <w:rPr>
          <w:rFonts w:ascii="Times New Roman" w:hAnsi="Times New Roman"/>
          <w:sz w:val="20"/>
          <w:szCs w:val="20"/>
        </w:rPr>
      </w:pPr>
      <w:r w:rsidRPr="00F22D02">
        <w:rPr>
          <w:rStyle w:val="Refdenotaderodap"/>
          <w:rFonts w:ascii="Times New Roman" w:hAnsi="Times New Roman"/>
          <w:sz w:val="20"/>
          <w:szCs w:val="20"/>
        </w:rPr>
        <w:footnoteRef/>
      </w:r>
      <w:r w:rsidRPr="00F22D02">
        <w:rPr>
          <w:rFonts w:ascii="Times New Roman" w:hAnsi="Times New Roman"/>
          <w:sz w:val="20"/>
          <w:szCs w:val="20"/>
        </w:rPr>
        <w:t xml:space="preserve"> </w:t>
      </w:r>
      <w:r w:rsidR="003C3E88" w:rsidRPr="00F22D02">
        <w:rPr>
          <w:rFonts w:ascii="Times New Roman" w:hAnsi="Times New Roman"/>
          <w:sz w:val="20"/>
          <w:szCs w:val="20"/>
        </w:rPr>
        <w:t xml:space="preserve">SUXBERGER, Antônio Henrique Graciano. </w:t>
      </w:r>
      <w:r w:rsidR="003C3E88" w:rsidRPr="00F22D02">
        <w:rPr>
          <w:rFonts w:ascii="Times New Roman" w:hAnsi="Times New Roman"/>
          <w:b/>
          <w:bCs/>
          <w:sz w:val="20"/>
          <w:szCs w:val="20"/>
        </w:rPr>
        <w:t>O Direito nas Políticas Públicas</w:t>
      </w:r>
      <w:r w:rsidR="003C3E88" w:rsidRPr="00F22D02">
        <w:rPr>
          <w:rFonts w:ascii="Times New Roman" w:hAnsi="Times New Roman"/>
          <w:sz w:val="20"/>
          <w:szCs w:val="20"/>
        </w:rPr>
        <w:t xml:space="preserve">: o déficit de efetividade dos direitos é um problema normativo ou </w:t>
      </w:r>
      <w:proofErr w:type="gramStart"/>
      <w:r w:rsidR="003C3E88" w:rsidRPr="00F22D02">
        <w:rPr>
          <w:rFonts w:ascii="Times New Roman" w:hAnsi="Times New Roman"/>
          <w:sz w:val="20"/>
          <w:szCs w:val="20"/>
        </w:rPr>
        <w:t>institucional?,</w:t>
      </w:r>
      <w:proofErr w:type="gramEnd"/>
      <w:r w:rsidR="003C3E88" w:rsidRPr="00F22D02">
        <w:rPr>
          <w:rFonts w:ascii="Times New Roman" w:hAnsi="Times New Roman"/>
          <w:sz w:val="20"/>
          <w:szCs w:val="20"/>
        </w:rPr>
        <w:t xml:space="preserve"> pp. 111-127. In: CALHAO, Antônio Ernani Pedroso e MENEZES, Rafael Lessa Vieira de Sá (org.). </w:t>
      </w:r>
      <w:r w:rsidR="003C3E88" w:rsidRPr="00F22D02">
        <w:rPr>
          <w:rFonts w:ascii="Times New Roman" w:hAnsi="Times New Roman"/>
          <w:b/>
          <w:bCs/>
          <w:sz w:val="20"/>
          <w:szCs w:val="20"/>
        </w:rPr>
        <w:t>Direitos Humanos e Democracia</w:t>
      </w:r>
      <w:r w:rsidR="003C3E88" w:rsidRPr="00F22D02">
        <w:rPr>
          <w:rFonts w:ascii="Times New Roman" w:hAnsi="Times New Roman"/>
          <w:sz w:val="20"/>
          <w:szCs w:val="20"/>
        </w:rPr>
        <w:t xml:space="preserve">: estudos em homenagem ao Professor Vital Moreira. Rio de Janeiro: </w:t>
      </w:r>
      <w:proofErr w:type="spellStart"/>
      <w:r w:rsidR="003C3E88" w:rsidRPr="00F22D02">
        <w:rPr>
          <w:rFonts w:ascii="Times New Roman" w:hAnsi="Times New Roman"/>
          <w:sz w:val="20"/>
          <w:szCs w:val="20"/>
        </w:rPr>
        <w:t>Lumen</w:t>
      </w:r>
      <w:proofErr w:type="spellEnd"/>
      <w:r w:rsidR="003C3E88" w:rsidRPr="00F22D02">
        <w:rPr>
          <w:rFonts w:ascii="Times New Roman" w:hAnsi="Times New Roman"/>
          <w:sz w:val="20"/>
          <w:szCs w:val="20"/>
        </w:rPr>
        <w:t xml:space="preserve"> Juris, 2018, p. 115.</w:t>
      </w:r>
    </w:p>
    <w:p w14:paraId="7C95445B" w14:textId="5B275DFF" w:rsidR="00652FBD" w:rsidRPr="00F22D02" w:rsidRDefault="00652FBD" w:rsidP="00F22D02">
      <w:pPr>
        <w:pStyle w:val="Textodenotaderodap"/>
        <w:spacing w:after="120"/>
        <w:rPr>
          <w:rFonts w:ascii="Times New Roman" w:hAnsi="Times New Roman"/>
        </w:rPr>
      </w:pPr>
      <w:r w:rsidRPr="00F22D02">
        <w:rPr>
          <w:rFonts w:ascii="Times New Roman" w:hAnsi="Times New Roman"/>
          <w:shd w:val="clear" w:color="auto" w:fill="FFFFFF"/>
        </w:rPr>
        <w:t xml:space="preserve"> </w:t>
      </w:r>
    </w:p>
  </w:footnote>
  <w:footnote w:id="16">
    <w:p w14:paraId="0D62F474" w14:textId="46B4AEFA" w:rsidR="00652FBD" w:rsidRPr="00F22D02" w:rsidRDefault="00652FBD" w:rsidP="00F22D02">
      <w:pPr>
        <w:pStyle w:val="Textodenotaderodap"/>
        <w:spacing w:after="120"/>
        <w:jc w:val="both"/>
        <w:rPr>
          <w:rFonts w:ascii="Times New Roman" w:hAnsi="Times New Roman"/>
        </w:rPr>
      </w:pPr>
      <w:r w:rsidRPr="00F22D02">
        <w:rPr>
          <w:rStyle w:val="Refdenotaderodap"/>
          <w:rFonts w:ascii="Times New Roman" w:hAnsi="Times New Roman"/>
        </w:rPr>
        <w:footnoteRef/>
      </w:r>
      <w:r w:rsidRPr="00F22D02">
        <w:rPr>
          <w:rFonts w:ascii="Times New Roman" w:hAnsi="Times New Roman"/>
        </w:rPr>
        <w:t xml:space="preserve"> DEZAN, Sandro Lúcio; HERKENHOFF, Henrique </w:t>
      </w:r>
      <w:proofErr w:type="spellStart"/>
      <w:r w:rsidRPr="00F22D02">
        <w:rPr>
          <w:rFonts w:ascii="Times New Roman" w:hAnsi="Times New Roman"/>
        </w:rPr>
        <w:t>Geaquinto</w:t>
      </w:r>
      <w:proofErr w:type="spellEnd"/>
      <w:r w:rsidRPr="00F22D02">
        <w:rPr>
          <w:rFonts w:ascii="Times New Roman" w:hAnsi="Times New Roman"/>
        </w:rPr>
        <w:t xml:space="preserve">; GUIMARÃES, Jader Ferreira. </w:t>
      </w:r>
      <w:r w:rsidRPr="00F22D02">
        <w:rPr>
          <w:rFonts w:ascii="Times New Roman" w:hAnsi="Times New Roman"/>
          <w:i/>
          <w:iCs/>
        </w:rPr>
        <w:t>A administração pública concretista de direitos fundamentais</w:t>
      </w:r>
      <w:r w:rsidRPr="00F22D02">
        <w:rPr>
          <w:rFonts w:ascii="Times New Roman" w:hAnsi="Times New Roman"/>
        </w:rPr>
        <w:t>. Belo Horizonte: Arraes, 2019</w:t>
      </w:r>
      <w:r w:rsidR="00F373C2" w:rsidRPr="00F22D02">
        <w:rPr>
          <w:rFonts w:ascii="Times New Roman" w:hAnsi="Times New Roman"/>
        </w:rPr>
        <w:t>, p. 59</w:t>
      </w:r>
      <w:r w:rsidRPr="00F22D02">
        <w:rPr>
          <w:rFonts w:ascii="Times New Roman" w:hAnsi="Times New Roman"/>
        </w:rPr>
        <w:t>.</w:t>
      </w:r>
    </w:p>
  </w:footnote>
  <w:footnote w:id="17">
    <w:p w14:paraId="7822E3DA" w14:textId="1216B250" w:rsidR="00237FCD" w:rsidRPr="00F22D02" w:rsidRDefault="00237FCD" w:rsidP="00F22D02">
      <w:pPr>
        <w:pStyle w:val="Textodenotaderodap"/>
        <w:spacing w:after="120"/>
        <w:jc w:val="both"/>
        <w:rPr>
          <w:rFonts w:ascii="Times New Roman" w:hAnsi="Times New Roman"/>
        </w:rPr>
      </w:pPr>
      <w:r w:rsidRPr="00F22D02">
        <w:rPr>
          <w:rStyle w:val="Refdenotaderodap"/>
          <w:rFonts w:ascii="Times New Roman" w:hAnsi="Times New Roman"/>
        </w:rPr>
        <w:footnoteRef/>
      </w:r>
      <w:r w:rsidRPr="00F22D02">
        <w:rPr>
          <w:rFonts w:ascii="Times New Roman" w:hAnsi="Times New Roman"/>
        </w:rPr>
        <w:t xml:space="preserve"> A Microrregião do Vale do Paranaíba está localizada na Macrorregião do Triângulo Mineiro, em Minas Gerais, que tem como</w:t>
      </w:r>
      <w:r w:rsidR="004911EA" w:rsidRPr="00F22D02">
        <w:rPr>
          <w:rFonts w:ascii="Times New Roman" w:hAnsi="Times New Roman"/>
        </w:rPr>
        <w:t xml:space="preserve"> município mais populoso Uberlândia. </w:t>
      </w:r>
    </w:p>
  </w:footnote>
  <w:footnote w:id="18">
    <w:p w14:paraId="607BAE4E" w14:textId="5EADB8BE" w:rsidR="00286224" w:rsidRPr="00286224" w:rsidRDefault="00286224" w:rsidP="00F22D02">
      <w:pPr>
        <w:pStyle w:val="Textodenotaderodap"/>
        <w:spacing w:after="120"/>
        <w:jc w:val="both"/>
        <w:rPr>
          <w:rFonts w:ascii="Times New Roman" w:hAnsi="Times New Roman"/>
          <w:sz w:val="22"/>
          <w:szCs w:val="22"/>
        </w:rPr>
      </w:pPr>
      <w:r w:rsidRPr="00BD2F4C">
        <w:rPr>
          <w:rStyle w:val="Refdenotaderodap"/>
          <w:rFonts w:ascii="Times New Roman" w:hAnsi="Times New Roman"/>
        </w:rPr>
        <w:footnoteRef/>
      </w:r>
      <w:r w:rsidRPr="00BD2F4C">
        <w:rPr>
          <w:rFonts w:ascii="Times New Roman" w:hAnsi="Times New Roman"/>
        </w:rPr>
        <w:t xml:space="preserve"> </w:t>
      </w:r>
      <w:hyperlink r:id="rId4" w:history="1">
        <w:r w:rsidR="0089782E" w:rsidRPr="00BD2F4C">
          <w:rPr>
            <w:rStyle w:val="Hyperlink"/>
            <w:rFonts w:ascii="Times New Roman" w:hAnsi="Times New Roman"/>
          </w:rPr>
          <w:t>https://www.ibge.gov.br/estatisticas/multidominio/meio-ambiente/10586-pesquisa-de-informacoes-basicas-municipais.html?=&amp;t=resultados</w:t>
        </w:r>
      </w:hyperlink>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C85730"/>
    <w:multiLevelType w:val="hybridMultilevel"/>
    <w:tmpl w:val="A4200490"/>
    <w:lvl w:ilvl="0" w:tplc="AFB8CCBA">
      <w:start w:val="1"/>
      <w:numFmt w:val="decimal"/>
      <w:lvlText w:val="%1"/>
      <w:lvlJc w:val="left"/>
      <w:pPr>
        <w:ind w:left="0" w:hanging="360"/>
      </w:pPr>
      <w:rPr>
        <w:rFonts w:hint="default"/>
      </w:rPr>
    </w:lvl>
    <w:lvl w:ilvl="1" w:tplc="04160019" w:tentative="1">
      <w:start w:val="1"/>
      <w:numFmt w:val="lowerLetter"/>
      <w:lvlText w:val="%2."/>
      <w:lvlJc w:val="left"/>
      <w:pPr>
        <w:ind w:left="720" w:hanging="360"/>
      </w:pPr>
    </w:lvl>
    <w:lvl w:ilvl="2" w:tplc="0416001B" w:tentative="1">
      <w:start w:val="1"/>
      <w:numFmt w:val="lowerRoman"/>
      <w:lvlText w:val="%3."/>
      <w:lvlJc w:val="right"/>
      <w:pPr>
        <w:ind w:left="1440" w:hanging="180"/>
      </w:pPr>
    </w:lvl>
    <w:lvl w:ilvl="3" w:tplc="0416000F" w:tentative="1">
      <w:start w:val="1"/>
      <w:numFmt w:val="decimal"/>
      <w:lvlText w:val="%4."/>
      <w:lvlJc w:val="left"/>
      <w:pPr>
        <w:ind w:left="2160" w:hanging="360"/>
      </w:pPr>
    </w:lvl>
    <w:lvl w:ilvl="4" w:tplc="04160019" w:tentative="1">
      <w:start w:val="1"/>
      <w:numFmt w:val="lowerLetter"/>
      <w:lvlText w:val="%5."/>
      <w:lvlJc w:val="left"/>
      <w:pPr>
        <w:ind w:left="2880" w:hanging="360"/>
      </w:pPr>
    </w:lvl>
    <w:lvl w:ilvl="5" w:tplc="0416001B" w:tentative="1">
      <w:start w:val="1"/>
      <w:numFmt w:val="lowerRoman"/>
      <w:lvlText w:val="%6."/>
      <w:lvlJc w:val="right"/>
      <w:pPr>
        <w:ind w:left="3600" w:hanging="180"/>
      </w:pPr>
    </w:lvl>
    <w:lvl w:ilvl="6" w:tplc="0416000F" w:tentative="1">
      <w:start w:val="1"/>
      <w:numFmt w:val="decimal"/>
      <w:lvlText w:val="%7."/>
      <w:lvlJc w:val="left"/>
      <w:pPr>
        <w:ind w:left="4320" w:hanging="360"/>
      </w:pPr>
    </w:lvl>
    <w:lvl w:ilvl="7" w:tplc="04160019" w:tentative="1">
      <w:start w:val="1"/>
      <w:numFmt w:val="lowerLetter"/>
      <w:lvlText w:val="%8."/>
      <w:lvlJc w:val="left"/>
      <w:pPr>
        <w:ind w:left="5040" w:hanging="360"/>
      </w:pPr>
    </w:lvl>
    <w:lvl w:ilvl="8" w:tplc="0416001B" w:tentative="1">
      <w:start w:val="1"/>
      <w:numFmt w:val="lowerRoman"/>
      <w:lvlText w:val="%9."/>
      <w:lvlJc w:val="right"/>
      <w:pPr>
        <w:ind w:left="5760" w:hanging="180"/>
      </w:pPr>
    </w:lvl>
  </w:abstractNum>
  <w:abstractNum w:abstractNumId="1" w15:restartNumberingAfterBreak="0">
    <w:nsid w:val="1B705D95"/>
    <w:multiLevelType w:val="multilevel"/>
    <w:tmpl w:val="EBBAF1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77F72E2"/>
    <w:multiLevelType w:val="hybridMultilevel"/>
    <w:tmpl w:val="98C89F82"/>
    <w:lvl w:ilvl="0" w:tplc="6AF48324">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15:restartNumberingAfterBreak="0">
    <w:nsid w:val="3FC80EBE"/>
    <w:multiLevelType w:val="hybridMultilevel"/>
    <w:tmpl w:val="4A761B32"/>
    <w:lvl w:ilvl="0" w:tplc="0416000F">
      <w:start w:val="1"/>
      <w:numFmt w:val="decimal"/>
      <w:lvlText w:val="%1."/>
      <w:lvlJc w:val="left"/>
      <w:pPr>
        <w:ind w:left="0" w:hanging="360"/>
      </w:pPr>
      <w:rPr>
        <w:rFonts w:hint="default"/>
      </w:rPr>
    </w:lvl>
    <w:lvl w:ilvl="1" w:tplc="04160019" w:tentative="1">
      <w:start w:val="1"/>
      <w:numFmt w:val="lowerLetter"/>
      <w:lvlText w:val="%2."/>
      <w:lvlJc w:val="left"/>
      <w:pPr>
        <w:ind w:left="720" w:hanging="360"/>
      </w:pPr>
    </w:lvl>
    <w:lvl w:ilvl="2" w:tplc="0416001B" w:tentative="1">
      <w:start w:val="1"/>
      <w:numFmt w:val="lowerRoman"/>
      <w:lvlText w:val="%3."/>
      <w:lvlJc w:val="right"/>
      <w:pPr>
        <w:ind w:left="1440" w:hanging="180"/>
      </w:pPr>
    </w:lvl>
    <w:lvl w:ilvl="3" w:tplc="0416000F" w:tentative="1">
      <w:start w:val="1"/>
      <w:numFmt w:val="decimal"/>
      <w:lvlText w:val="%4."/>
      <w:lvlJc w:val="left"/>
      <w:pPr>
        <w:ind w:left="2160" w:hanging="360"/>
      </w:pPr>
    </w:lvl>
    <w:lvl w:ilvl="4" w:tplc="04160019" w:tentative="1">
      <w:start w:val="1"/>
      <w:numFmt w:val="lowerLetter"/>
      <w:lvlText w:val="%5."/>
      <w:lvlJc w:val="left"/>
      <w:pPr>
        <w:ind w:left="2880" w:hanging="360"/>
      </w:pPr>
    </w:lvl>
    <w:lvl w:ilvl="5" w:tplc="0416001B" w:tentative="1">
      <w:start w:val="1"/>
      <w:numFmt w:val="lowerRoman"/>
      <w:lvlText w:val="%6."/>
      <w:lvlJc w:val="right"/>
      <w:pPr>
        <w:ind w:left="3600" w:hanging="180"/>
      </w:pPr>
    </w:lvl>
    <w:lvl w:ilvl="6" w:tplc="0416000F" w:tentative="1">
      <w:start w:val="1"/>
      <w:numFmt w:val="decimal"/>
      <w:lvlText w:val="%7."/>
      <w:lvlJc w:val="left"/>
      <w:pPr>
        <w:ind w:left="4320" w:hanging="360"/>
      </w:pPr>
    </w:lvl>
    <w:lvl w:ilvl="7" w:tplc="04160019" w:tentative="1">
      <w:start w:val="1"/>
      <w:numFmt w:val="lowerLetter"/>
      <w:lvlText w:val="%8."/>
      <w:lvlJc w:val="left"/>
      <w:pPr>
        <w:ind w:left="5040" w:hanging="360"/>
      </w:pPr>
    </w:lvl>
    <w:lvl w:ilvl="8" w:tplc="0416001B" w:tentative="1">
      <w:start w:val="1"/>
      <w:numFmt w:val="lowerRoman"/>
      <w:lvlText w:val="%9."/>
      <w:lvlJc w:val="right"/>
      <w:pPr>
        <w:ind w:left="5760" w:hanging="180"/>
      </w:pPr>
    </w:lvl>
  </w:abstractNum>
  <w:abstractNum w:abstractNumId="4" w15:restartNumberingAfterBreak="0">
    <w:nsid w:val="49341CB7"/>
    <w:multiLevelType w:val="hybridMultilevel"/>
    <w:tmpl w:val="B9BE3080"/>
    <w:lvl w:ilvl="0" w:tplc="094049D6">
      <w:start w:val="1"/>
      <w:numFmt w:val="bullet"/>
      <w:lvlText w:val=""/>
      <w:lvlJc w:val="left"/>
      <w:pPr>
        <w:tabs>
          <w:tab w:val="num" w:pos="720"/>
        </w:tabs>
        <w:ind w:left="720" w:hanging="360"/>
      </w:pPr>
      <w:rPr>
        <w:rFonts w:ascii="Wingdings" w:hAnsi="Wingdings" w:hint="default"/>
      </w:rPr>
    </w:lvl>
    <w:lvl w:ilvl="1" w:tplc="FD56926E" w:tentative="1">
      <w:start w:val="1"/>
      <w:numFmt w:val="bullet"/>
      <w:lvlText w:val=""/>
      <w:lvlJc w:val="left"/>
      <w:pPr>
        <w:tabs>
          <w:tab w:val="num" w:pos="1440"/>
        </w:tabs>
        <w:ind w:left="1440" w:hanging="360"/>
      </w:pPr>
      <w:rPr>
        <w:rFonts w:ascii="Wingdings" w:hAnsi="Wingdings" w:hint="default"/>
      </w:rPr>
    </w:lvl>
    <w:lvl w:ilvl="2" w:tplc="EB84B474" w:tentative="1">
      <w:start w:val="1"/>
      <w:numFmt w:val="bullet"/>
      <w:lvlText w:val=""/>
      <w:lvlJc w:val="left"/>
      <w:pPr>
        <w:tabs>
          <w:tab w:val="num" w:pos="2160"/>
        </w:tabs>
        <w:ind w:left="2160" w:hanging="360"/>
      </w:pPr>
      <w:rPr>
        <w:rFonts w:ascii="Wingdings" w:hAnsi="Wingdings" w:hint="default"/>
      </w:rPr>
    </w:lvl>
    <w:lvl w:ilvl="3" w:tplc="4536A2CA" w:tentative="1">
      <w:start w:val="1"/>
      <w:numFmt w:val="bullet"/>
      <w:lvlText w:val=""/>
      <w:lvlJc w:val="left"/>
      <w:pPr>
        <w:tabs>
          <w:tab w:val="num" w:pos="2880"/>
        </w:tabs>
        <w:ind w:left="2880" w:hanging="360"/>
      </w:pPr>
      <w:rPr>
        <w:rFonts w:ascii="Wingdings" w:hAnsi="Wingdings" w:hint="default"/>
      </w:rPr>
    </w:lvl>
    <w:lvl w:ilvl="4" w:tplc="91BAFEEC" w:tentative="1">
      <w:start w:val="1"/>
      <w:numFmt w:val="bullet"/>
      <w:lvlText w:val=""/>
      <w:lvlJc w:val="left"/>
      <w:pPr>
        <w:tabs>
          <w:tab w:val="num" w:pos="3600"/>
        </w:tabs>
        <w:ind w:left="3600" w:hanging="360"/>
      </w:pPr>
      <w:rPr>
        <w:rFonts w:ascii="Wingdings" w:hAnsi="Wingdings" w:hint="default"/>
      </w:rPr>
    </w:lvl>
    <w:lvl w:ilvl="5" w:tplc="41FCAB4A" w:tentative="1">
      <w:start w:val="1"/>
      <w:numFmt w:val="bullet"/>
      <w:lvlText w:val=""/>
      <w:lvlJc w:val="left"/>
      <w:pPr>
        <w:tabs>
          <w:tab w:val="num" w:pos="4320"/>
        </w:tabs>
        <w:ind w:left="4320" w:hanging="360"/>
      </w:pPr>
      <w:rPr>
        <w:rFonts w:ascii="Wingdings" w:hAnsi="Wingdings" w:hint="default"/>
      </w:rPr>
    </w:lvl>
    <w:lvl w:ilvl="6" w:tplc="B16C2332" w:tentative="1">
      <w:start w:val="1"/>
      <w:numFmt w:val="bullet"/>
      <w:lvlText w:val=""/>
      <w:lvlJc w:val="left"/>
      <w:pPr>
        <w:tabs>
          <w:tab w:val="num" w:pos="5040"/>
        </w:tabs>
        <w:ind w:left="5040" w:hanging="360"/>
      </w:pPr>
      <w:rPr>
        <w:rFonts w:ascii="Wingdings" w:hAnsi="Wingdings" w:hint="default"/>
      </w:rPr>
    </w:lvl>
    <w:lvl w:ilvl="7" w:tplc="95A8DEB8" w:tentative="1">
      <w:start w:val="1"/>
      <w:numFmt w:val="bullet"/>
      <w:lvlText w:val=""/>
      <w:lvlJc w:val="left"/>
      <w:pPr>
        <w:tabs>
          <w:tab w:val="num" w:pos="5760"/>
        </w:tabs>
        <w:ind w:left="5760" w:hanging="360"/>
      </w:pPr>
      <w:rPr>
        <w:rFonts w:ascii="Wingdings" w:hAnsi="Wingdings" w:hint="default"/>
      </w:rPr>
    </w:lvl>
    <w:lvl w:ilvl="8" w:tplc="CAF4A594"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4FDE38FD"/>
    <w:multiLevelType w:val="hybridMultilevel"/>
    <w:tmpl w:val="E918E4A0"/>
    <w:lvl w:ilvl="0" w:tplc="8BAA6BD2">
      <w:start w:val="1"/>
      <w:numFmt w:val="bullet"/>
      <w:lvlText w:val=""/>
      <w:lvlJc w:val="left"/>
      <w:pPr>
        <w:tabs>
          <w:tab w:val="num" w:pos="360"/>
        </w:tabs>
        <w:ind w:left="360" w:hanging="360"/>
      </w:pPr>
      <w:rPr>
        <w:rFonts w:ascii="Wingdings" w:hAnsi="Wingdings" w:hint="default"/>
      </w:rPr>
    </w:lvl>
    <w:lvl w:ilvl="1" w:tplc="F7C87228" w:tentative="1">
      <w:start w:val="1"/>
      <w:numFmt w:val="bullet"/>
      <w:lvlText w:val=""/>
      <w:lvlJc w:val="left"/>
      <w:pPr>
        <w:tabs>
          <w:tab w:val="num" w:pos="1080"/>
        </w:tabs>
        <w:ind w:left="1080" w:hanging="360"/>
      </w:pPr>
      <w:rPr>
        <w:rFonts w:ascii="Wingdings" w:hAnsi="Wingdings" w:hint="default"/>
      </w:rPr>
    </w:lvl>
    <w:lvl w:ilvl="2" w:tplc="F05825BC" w:tentative="1">
      <w:start w:val="1"/>
      <w:numFmt w:val="bullet"/>
      <w:lvlText w:val=""/>
      <w:lvlJc w:val="left"/>
      <w:pPr>
        <w:tabs>
          <w:tab w:val="num" w:pos="1800"/>
        </w:tabs>
        <w:ind w:left="1800" w:hanging="360"/>
      </w:pPr>
      <w:rPr>
        <w:rFonts w:ascii="Wingdings" w:hAnsi="Wingdings" w:hint="default"/>
      </w:rPr>
    </w:lvl>
    <w:lvl w:ilvl="3" w:tplc="1BF87E04" w:tentative="1">
      <w:start w:val="1"/>
      <w:numFmt w:val="bullet"/>
      <w:lvlText w:val=""/>
      <w:lvlJc w:val="left"/>
      <w:pPr>
        <w:tabs>
          <w:tab w:val="num" w:pos="2520"/>
        </w:tabs>
        <w:ind w:left="2520" w:hanging="360"/>
      </w:pPr>
      <w:rPr>
        <w:rFonts w:ascii="Wingdings" w:hAnsi="Wingdings" w:hint="default"/>
      </w:rPr>
    </w:lvl>
    <w:lvl w:ilvl="4" w:tplc="C13812A6" w:tentative="1">
      <w:start w:val="1"/>
      <w:numFmt w:val="bullet"/>
      <w:lvlText w:val=""/>
      <w:lvlJc w:val="left"/>
      <w:pPr>
        <w:tabs>
          <w:tab w:val="num" w:pos="3240"/>
        </w:tabs>
        <w:ind w:left="3240" w:hanging="360"/>
      </w:pPr>
      <w:rPr>
        <w:rFonts w:ascii="Wingdings" w:hAnsi="Wingdings" w:hint="default"/>
      </w:rPr>
    </w:lvl>
    <w:lvl w:ilvl="5" w:tplc="B18A7124" w:tentative="1">
      <w:start w:val="1"/>
      <w:numFmt w:val="bullet"/>
      <w:lvlText w:val=""/>
      <w:lvlJc w:val="left"/>
      <w:pPr>
        <w:tabs>
          <w:tab w:val="num" w:pos="3960"/>
        </w:tabs>
        <w:ind w:left="3960" w:hanging="360"/>
      </w:pPr>
      <w:rPr>
        <w:rFonts w:ascii="Wingdings" w:hAnsi="Wingdings" w:hint="default"/>
      </w:rPr>
    </w:lvl>
    <w:lvl w:ilvl="6" w:tplc="FA10F47A" w:tentative="1">
      <w:start w:val="1"/>
      <w:numFmt w:val="bullet"/>
      <w:lvlText w:val=""/>
      <w:lvlJc w:val="left"/>
      <w:pPr>
        <w:tabs>
          <w:tab w:val="num" w:pos="4680"/>
        </w:tabs>
        <w:ind w:left="4680" w:hanging="360"/>
      </w:pPr>
      <w:rPr>
        <w:rFonts w:ascii="Wingdings" w:hAnsi="Wingdings" w:hint="default"/>
      </w:rPr>
    </w:lvl>
    <w:lvl w:ilvl="7" w:tplc="7CDA597A" w:tentative="1">
      <w:start w:val="1"/>
      <w:numFmt w:val="bullet"/>
      <w:lvlText w:val=""/>
      <w:lvlJc w:val="left"/>
      <w:pPr>
        <w:tabs>
          <w:tab w:val="num" w:pos="5400"/>
        </w:tabs>
        <w:ind w:left="5400" w:hanging="360"/>
      </w:pPr>
      <w:rPr>
        <w:rFonts w:ascii="Wingdings" w:hAnsi="Wingdings" w:hint="default"/>
      </w:rPr>
    </w:lvl>
    <w:lvl w:ilvl="8" w:tplc="35E864D4" w:tentative="1">
      <w:start w:val="1"/>
      <w:numFmt w:val="bullet"/>
      <w:lvlText w:val=""/>
      <w:lvlJc w:val="left"/>
      <w:pPr>
        <w:tabs>
          <w:tab w:val="num" w:pos="6120"/>
        </w:tabs>
        <w:ind w:left="6120" w:hanging="360"/>
      </w:pPr>
      <w:rPr>
        <w:rFonts w:ascii="Wingdings" w:hAnsi="Wingdings" w:hint="default"/>
      </w:rPr>
    </w:lvl>
  </w:abstractNum>
  <w:num w:numId="1">
    <w:abstractNumId w:val="3"/>
  </w:num>
  <w:num w:numId="2">
    <w:abstractNumId w:val="1"/>
  </w:num>
  <w:num w:numId="3">
    <w:abstractNumId w:val="5"/>
  </w:num>
  <w:num w:numId="4">
    <w:abstractNumId w:val="4"/>
  </w:num>
  <w:num w:numId="5">
    <w:abstractNumId w:val="2"/>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64FD"/>
    <w:rsid w:val="00014302"/>
    <w:rsid w:val="00045A7A"/>
    <w:rsid w:val="000568DB"/>
    <w:rsid w:val="000728CB"/>
    <w:rsid w:val="00091A5A"/>
    <w:rsid w:val="000D192E"/>
    <w:rsid w:val="000D3586"/>
    <w:rsid w:val="000D4AEA"/>
    <w:rsid w:val="000F3321"/>
    <w:rsid w:val="000F4165"/>
    <w:rsid w:val="001133B2"/>
    <w:rsid w:val="001176EB"/>
    <w:rsid w:val="00135CFE"/>
    <w:rsid w:val="001540EF"/>
    <w:rsid w:val="001716EC"/>
    <w:rsid w:val="00173315"/>
    <w:rsid w:val="001754DC"/>
    <w:rsid w:val="001860A4"/>
    <w:rsid w:val="00187372"/>
    <w:rsid w:val="001923DD"/>
    <w:rsid w:val="001B0C1D"/>
    <w:rsid w:val="001C3805"/>
    <w:rsid w:val="001D6DE6"/>
    <w:rsid w:val="001F0D4F"/>
    <w:rsid w:val="00204130"/>
    <w:rsid w:val="00212C53"/>
    <w:rsid w:val="00215ACA"/>
    <w:rsid w:val="00233D6D"/>
    <w:rsid w:val="00237FCD"/>
    <w:rsid w:val="0024266B"/>
    <w:rsid w:val="00264897"/>
    <w:rsid w:val="00286224"/>
    <w:rsid w:val="002A1FEC"/>
    <w:rsid w:val="002B47FF"/>
    <w:rsid w:val="002B60FE"/>
    <w:rsid w:val="002C331C"/>
    <w:rsid w:val="002F68E9"/>
    <w:rsid w:val="002F6A59"/>
    <w:rsid w:val="00316029"/>
    <w:rsid w:val="00342328"/>
    <w:rsid w:val="00374112"/>
    <w:rsid w:val="0037581A"/>
    <w:rsid w:val="003A1592"/>
    <w:rsid w:val="003A56BC"/>
    <w:rsid w:val="003B297D"/>
    <w:rsid w:val="003C0985"/>
    <w:rsid w:val="003C3E88"/>
    <w:rsid w:val="003C4D82"/>
    <w:rsid w:val="003C4E86"/>
    <w:rsid w:val="003D273C"/>
    <w:rsid w:val="003F4F52"/>
    <w:rsid w:val="00427EF2"/>
    <w:rsid w:val="00430C54"/>
    <w:rsid w:val="004315D2"/>
    <w:rsid w:val="00460D9A"/>
    <w:rsid w:val="0047789A"/>
    <w:rsid w:val="004911EA"/>
    <w:rsid w:val="00492D8C"/>
    <w:rsid w:val="004A7120"/>
    <w:rsid w:val="004B0E91"/>
    <w:rsid w:val="004C4ED0"/>
    <w:rsid w:val="004C7CB9"/>
    <w:rsid w:val="004D62C3"/>
    <w:rsid w:val="004F1B74"/>
    <w:rsid w:val="005000C8"/>
    <w:rsid w:val="00505A07"/>
    <w:rsid w:val="00525403"/>
    <w:rsid w:val="00533F9A"/>
    <w:rsid w:val="00546DA5"/>
    <w:rsid w:val="005644B7"/>
    <w:rsid w:val="0059315C"/>
    <w:rsid w:val="005A2B47"/>
    <w:rsid w:val="005C33E9"/>
    <w:rsid w:val="005C7D27"/>
    <w:rsid w:val="005F0E2E"/>
    <w:rsid w:val="005F6E2C"/>
    <w:rsid w:val="00610737"/>
    <w:rsid w:val="00626554"/>
    <w:rsid w:val="006333EC"/>
    <w:rsid w:val="00637336"/>
    <w:rsid w:val="00640068"/>
    <w:rsid w:val="006443F6"/>
    <w:rsid w:val="00652FBD"/>
    <w:rsid w:val="006658A5"/>
    <w:rsid w:val="00672A97"/>
    <w:rsid w:val="00686AF1"/>
    <w:rsid w:val="006A3D8B"/>
    <w:rsid w:val="006C6B40"/>
    <w:rsid w:val="006D5736"/>
    <w:rsid w:val="006E27C0"/>
    <w:rsid w:val="006F67DE"/>
    <w:rsid w:val="00762BC3"/>
    <w:rsid w:val="0078456A"/>
    <w:rsid w:val="00787295"/>
    <w:rsid w:val="00796D86"/>
    <w:rsid w:val="007A328D"/>
    <w:rsid w:val="007C0C91"/>
    <w:rsid w:val="007E3CB3"/>
    <w:rsid w:val="00815838"/>
    <w:rsid w:val="00822E4F"/>
    <w:rsid w:val="00844E21"/>
    <w:rsid w:val="008555B6"/>
    <w:rsid w:val="008651CD"/>
    <w:rsid w:val="0089160D"/>
    <w:rsid w:val="0089782E"/>
    <w:rsid w:val="008A5592"/>
    <w:rsid w:val="008A5988"/>
    <w:rsid w:val="008B041D"/>
    <w:rsid w:val="008D0413"/>
    <w:rsid w:val="009113F5"/>
    <w:rsid w:val="009268D8"/>
    <w:rsid w:val="009472F6"/>
    <w:rsid w:val="009829BB"/>
    <w:rsid w:val="009904EF"/>
    <w:rsid w:val="00993A33"/>
    <w:rsid w:val="009A7713"/>
    <w:rsid w:val="009B0AEE"/>
    <w:rsid w:val="009B34DF"/>
    <w:rsid w:val="009C05D4"/>
    <w:rsid w:val="009D0AD3"/>
    <w:rsid w:val="009D7C30"/>
    <w:rsid w:val="00A0267D"/>
    <w:rsid w:val="00A050DA"/>
    <w:rsid w:val="00A11736"/>
    <w:rsid w:val="00A125AC"/>
    <w:rsid w:val="00A267B6"/>
    <w:rsid w:val="00A61CE3"/>
    <w:rsid w:val="00A723DA"/>
    <w:rsid w:val="00A97EE7"/>
    <w:rsid w:val="00AA494D"/>
    <w:rsid w:val="00AA4CEB"/>
    <w:rsid w:val="00AA5833"/>
    <w:rsid w:val="00AA6955"/>
    <w:rsid w:val="00AD33D3"/>
    <w:rsid w:val="00B02711"/>
    <w:rsid w:val="00B050F2"/>
    <w:rsid w:val="00B15D6C"/>
    <w:rsid w:val="00B32A42"/>
    <w:rsid w:val="00B369ED"/>
    <w:rsid w:val="00B54B2C"/>
    <w:rsid w:val="00B81A2E"/>
    <w:rsid w:val="00B82026"/>
    <w:rsid w:val="00B955E3"/>
    <w:rsid w:val="00BA61C7"/>
    <w:rsid w:val="00BC6E58"/>
    <w:rsid w:val="00BD1648"/>
    <w:rsid w:val="00BD2F4C"/>
    <w:rsid w:val="00BE7988"/>
    <w:rsid w:val="00C34848"/>
    <w:rsid w:val="00C40892"/>
    <w:rsid w:val="00C50D83"/>
    <w:rsid w:val="00C97037"/>
    <w:rsid w:val="00CA3B8E"/>
    <w:rsid w:val="00CC04C1"/>
    <w:rsid w:val="00CD0A45"/>
    <w:rsid w:val="00CF20BB"/>
    <w:rsid w:val="00CF3C78"/>
    <w:rsid w:val="00D03664"/>
    <w:rsid w:val="00D064FD"/>
    <w:rsid w:val="00D238A1"/>
    <w:rsid w:val="00D31894"/>
    <w:rsid w:val="00D72DF2"/>
    <w:rsid w:val="00DB0196"/>
    <w:rsid w:val="00DB10A2"/>
    <w:rsid w:val="00DB65DF"/>
    <w:rsid w:val="00DC6311"/>
    <w:rsid w:val="00DD3F99"/>
    <w:rsid w:val="00DE7775"/>
    <w:rsid w:val="00DF7EC7"/>
    <w:rsid w:val="00E10AE6"/>
    <w:rsid w:val="00E1455C"/>
    <w:rsid w:val="00E3594F"/>
    <w:rsid w:val="00E50459"/>
    <w:rsid w:val="00E5118D"/>
    <w:rsid w:val="00E5146B"/>
    <w:rsid w:val="00E53728"/>
    <w:rsid w:val="00E544BA"/>
    <w:rsid w:val="00E574F8"/>
    <w:rsid w:val="00E843EB"/>
    <w:rsid w:val="00E87AB8"/>
    <w:rsid w:val="00EA76D5"/>
    <w:rsid w:val="00EC788F"/>
    <w:rsid w:val="00EF337F"/>
    <w:rsid w:val="00F22D02"/>
    <w:rsid w:val="00F23323"/>
    <w:rsid w:val="00F3398A"/>
    <w:rsid w:val="00F373C2"/>
    <w:rsid w:val="00F618EB"/>
    <w:rsid w:val="00F71497"/>
    <w:rsid w:val="00F83DA5"/>
    <w:rsid w:val="00F87A73"/>
    <w:rsid w:val="00F90FA3"/>
    <w:rsid w:val="00FA192D"/>
    <w:rsid w:val="00FB36B1"/>
    <w:rsid w:val="00FC0754"/>
    <w:rsid w:val="00FD687F"/>
    <w:rsid w:val="00FE4AB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BC411E"/>
  <w15:docId w15:val="{0909CE36-998F-49DB-A06E-D544DCB591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064FD"/>
    <w:pPr>
      <w:spacing w:after="200" w:line="276" w:lineRule="auto"/>
    </w:pPr>
    <w:rPr>
      <w:rFonts w:ascii="Calibri" w:eastAsia="Calibri" w:hAnsi="Calibri" w:cs="Times New Roman"/>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notaderodap">
    <w:name w:val="footnote text"/>
    <w:basedOn w:val="Normal"/>
    <w:link w:val="TextodenotaderodapChar"/>
    <w:uiPriority w:val="99"/>
    <w:semiHidden/>
    <w:unhideWhenUsed/>
    <w:rsid w:val="00D064FD"/>
    <w:pPr>
      <w:spacing w:after="0" w:line="240" w:lineRule="auto"/>
    </w:pPr>
    <w:rPr>
      <w:sz w:val="20"/>
      <w:szCs w:val="20"/>
    </w:rPr>
  </w:style>
  <w:style w:type="character" w:customStyle="1" w:styleId="TextodenotaderodapChar">
    <w:name w:val="Texto de nota de rodapé Char"/>
    <w:basedOn w:val="Fontepargpadro"/>
    <w:link w:val="Textodenotaderodap"/>
    <w:uiPriority w:val="99"/>
    <w:semiHidden/>
    <w:rsid w:val="00D064FD"/>
    <w:rPr>
      <w:rFonts w:ascii="Calibri" w:eastAsia="Calibri" w:hAnsi="Calibri" w:cs="Times New Roman"/>
      <w:sz w:val="20"/>
      <w:szCs w:val="20"/>
    </w:rPr>
  </w:style>
  <w:style w:type="character" w:styleId="Refdenotaderodap">
    <w:name w:val="footnote reference"/>
    <w:basedOn w:val="Fontepargpadro"/>
    <w:uiPriority w:val="99"/>
    <w:semiHidden/>
    <w:unhideWhenUsed/>
    <w:rsid w:val="00D064FD"/>
    <w:rPr>
      <w:vertAlign w:val="superscript"/>
    </w:rPr>
  </w:style>
  <w:style w:type="paragraph" w:styleId="NormalWeb">
    <w:name w:val="Normal (Web)"/>
    <w:basedOn w:val="Normal"/>
    <w:uiPriority w:val="99"/>
    <w:unhideWhenUsed/>
    <w:rsid w:val="00D064FD"/>
    <w:pPr>
      <w:spacing w:before="100" w:beforeAutospacing="1" w:after="100" w:afterAutospacing="1" w:line="240" w:lineRule="auto"/>
    </w:pPr>
    <w:rPr>
      <w:rFonts w:ascii="Times New Roman" w:eastAsia="Times New Roman" w:hAnsi="Times New Roman"/>
      <w:sz w:val="24"/>
      <w:szCs w:val="24"/>
      <w:lang w:eastAsia="pt-BR"/>
    </w:rPr>
  </w:style>
  <w:style w:type="paragraph" w:styleId="PargrafodaLista">
    <w:name w:val="List Paragraph"/>
    <w:basedOn w:val="Normal"/>
    <w:uiPriority w:val="34"/>
    <w:qFormat/>
    <w:rsid w:val="006443F6"/>
    <w:pPr>
      <w:ind w:left="720"/>
      <w:contextualSpacing/>
    </w:pPr>
  </w:style>
  <w:style w:type="character" w:styleId="Hyperlink">
    <w:name w:val="Hyperlink"/>
    <w:basedOn w:val="Fontepargpadro"/>
    <w:uiPriority w:val="99"/>
    <w:unhideWhenUsed/>
    <w:rsid w:val="00AA4CEB"/>
    <w:rPr>
      <w:color w:val="0000FF"/>
      <w:u w:val="single"/>
    </w:rPr>
  </w:style>
  <w:style w:type="character" w:styleId="nfase">
    <w:name w:val="Emphasis"/>
    <w:basedOn w:val="Fontepargpadro"/>
    <w:uiPriority w:val="20"/>
    <w:qFormat/>
    <w:rsid w:val="00212C53"/>
    <w:rPr>
      <w:i/>
      <w:iCs/>
    </w:rPr>
  </w:style>
  <w:style w:type="character" w:styleId="Forte">
    <w:name w:val="Strong"/>
    <w:basedOn w:val="Fontepargpadro"/>
    <w:uiPriority w:val="22"/>
    <w:qFormat/>
    <w:rsid w:val="00212C53"/>
    <w:rPr>
      <w:b/>
      <w:bCs/>
    </w:rPr>
  </w:style>
  <w:style w:type="paragraph" w:customStyle="1" w:styleId="corpo">
    <w:name w:val="corpo"/>
    <w:basedOn w:val="Normal"/>
    <w:rsid w:val="00B54B2C"/>
    <w:pPr>
      <w:spacing w:before="100" w:beforeAutospacing="1" w:after="100" w:afterAutospacing="1" w:line="240" w:lineRule="auto"/>
    </w:pPr>
    <w:rPr>
      <w:rFonts w:ascii="Times New Roman" w:eastAsia="Times New Roman" w:hAnsi="Times New Roman"/>
      <w:sz w:val="24"/>
      <w:szCs w:val="24"/>
      <w:lang w:eastAsia="pt-BR"/>
    </w:rPr>
  </w:style>
  <w:style w:type="paragraph" w:customStyle="1" w:styleId="Default">
    <w:name w:val="Default"/>
    <w:rsid w:val="0089160D"/>
    <w:pPr>
      <w:autoSpaceDE w:val="0"/>
      <w:autoSpaceDN w:val="0"/>
      <w:adjustRightInd w:val="0"/>
      <w:spacing w:after="0" w:line="240" w:lineRule="auto"/>
    </w:pPr>
    <w:rPr>
      <w:rFonts w:ascii="Times New Roman" w:hAnsi="Times New Roman" w:cs="Times New Roman"/>
      <w:color w:val="000000"/>
      <w:sz w:val="24"/>
      <w:szCs w:val="24"/>
    </w:rPr>
  </w:style>
  <w:style w:type="paragraph" w:styleId="Pr-formataoHTML">
    <w:name w:val="HTML Preformatted"/>
    <w:basedOn w:val="Normal"/>
    <w:link w:val="Pr-formataoHTMLChar"/>
    <w:uiPriority w:val="99"/>
    <w:semiHidden/>
    <w:unhideWhenUsed/>
    <w:rsid w:val="006A3D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pt-BR"/>
    </w:rPr>
  </w:style>
  <w:style w:type="character" w:customStyle="1" w:styleId="Pr-formataoHTMLChar">
    <w:name w:val="Pré-formatação HTML Char"/>
    <w:basedOn w:val="Fontepargpadro"/>
    <w:link w:val="Pr-formataoHTML"/>
    <w:uiPriority w:val="99"/>
    <w:semiHidden/>
    <w:rsid w:val="006A3D8B"/>
    <w:rPr>
      <w:rFonts w:ascii="Courier New" w:eastAsia="Times New Roman" w:hAnsi="Courier New" w:cs="Courier New"/>
      <w:sz w:val="20"/>
      <w:szCs w:val="20"/>
      <w:lang w:eastAsia="pt-BR"/>
    </w:rPr>
  </w:style>
  <w:style w:type="character" w:customStyle="1" w:styleId="y2iqfc">
    <w:name w:val="y2iqfc"/>
    <w:basedOn w:val="Fontepargpadro"/>
    <w:rsid w:val="006A3D8B"/>
  </w:style>
  <w:style w:type="character" w:styleId="MenoPendente">
    <w:name w:val="Unresolved Mention"/>
    <w:basedOn w:val="Fontepargpadro"/>
    <w:uiPriority w:val="99"/>
    <w:semiHidden/>
    <w:unhideWhenUsed/>
    <w:rsid w:val="000D192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382022">
      <w:bodyDiv w:val="1"/>
      <w:marLeft w:val="0"/>
      <w:marRight w:val="0"/>
      <w:marTop w:val="0"/>
      <w:marBottom w:val="0"/>
      <w:divBdr>
        <w:top w:val="none" w:sz="0" w:space="0" w:color="auto"/>
        <w:left w:val="none" w:sz="0" w:space="0" w:color="auto"/>
        <w:bottom w:val="none" w:sz="0" w:space="0" w:color="auto"/>
        <w:right w:val="none" w:sz="0" w:space="0" w:color="auto"/>
      </w:divBdr>
      <w:divsChild>
        <w:div w:id="1742366526">
          <w:marLeft w:val="0"/>
          <w:marRight w:val="0"/>
          <w:marTop w:val="0"/>
          <w:marBottom w:val="0"/>
          <w:divBdr>
            <w:top w:val="none" w:sz="0" w:space="0" w:color="auto"/>
            <w:left w:val="none" w:sz="0" w:space="0" w:color="auto"/>
            <w:bottom w:val="none" w:sz="0" w:space="0" w:color="auto"/>
            <w:right w:val="none" w:sz="0" w:space="0" w:color="auto"/>
          </w:divBdr>
        </w:div>
        <w:div w:id="1678996764">
          <w:marLeft w:val="0"/>
          <w:marRight w:val="0"/>
          <w:marTop w:val="0"/>
          <w:marBottom w:val="0"/>
          <w:divBdr>
            <w:top w:val="none" w:sz="0" w:space="0" w:color="auto"/>
            <w:left w:val="none" w:sz="0" w:space="0" w:color="auto"/>
            <w:bottom w:val="none" w:sz="0" w:space="0" w:color="auto"/>
            <w:right w:val="none" w:sz="0" w:space="0" w:color="auto"/>
          </w:divBdr>
        </w:div>
        <w:div w:id="1577858186">
          <w:marLeft w:val="0"/>
          <w:marRight w:val="0"/>
          <w:marTop w:val="0"/>
          <w:marBottom w:val="0"/>
          <w:divBdr>
            <w:top w:val="none" w:sz="0" w:space="0" w:color="auto"/>
            <w:left w:val="none" w:sz="0" w:space="0" w:color="auto"/>
            <w:bottom w:val="none" w:sz="0" w:space="0" w:color="auto"/>
            <w:right w:val="none" w:sz="0" w:space="0" w:color="auto"/>
          </w:divBdr>
        </w:div>
        <w:div w:id="497883926">
          <w:marLeft w:val="0"/>
          <w:marRight w:val="0"/>
          <w:marTop w:val="0"/>
          <w:marBottom w:val="0"/>
          <w:divBdr>
            <w:top w:val="none" w:sz="0" w:space="0" w:color="auto"/>
            <w:left w:val="none" w:sz="0" w:space="0" w:color="auto"/>
            <w:bottom w:val="none" w:sz="0" w:space="0" w:color="auto"/>
            <w:right w:val="none" w:sz="0" w:space="0" w:color="auto"/>
          </w:divBdr>
        </w:div>
        <w:div w:id="411778157">
          <w:marLeft w:val="0"/>
          <w:marRight w:val="0"/>
          <w:marTop w:val="0"/>
          <w:marBottom w:val="0"/>
          <w:divBdr>
            <w:top w:val="none" w:sz="0" w:space="0" w:color="auto"/>
            <w:left w:val="none" w:sz="0" w:space="0" w:color="auto"/>
            <w:bottom w:val="none" w:sz="0" w:space="0" w:color="auto"/>
            <w:right w:val="none" w:sz="0" w:space="0" w:color="auto"/>
          </w:divBdr>
        </w:div>
        <w:div w:id="1027217237">
          <w:marLeft w:val="0"/>
          <w:marRight w:val="0"/>
          <w:marTop w:val="0"/>
          <w:marBottom w:val="0"/>
          <w:divBdr>
            <w:top w:val="none" w:sz="0" w:space="0" w:color="auto"/>
            <w:left w:val="none" w:sz="0" w:space="0" w:color="auto"/>
            <w:bottom w:val="none" w:sz="0" w:space="0" w:color="auto"/>
            <w:right w:val="none" w:sz="0" w:space="0" w:color="auto"/>
          </w:divBdr>
        </w:div>
        <w:div w:id="855311000">
          <w:marLeft w:val="0"/>
          <w:marRight w:val="0"/>
          <w:marTop w:val="0"/>
          <w:marBottom w:val="0"/>
          <w:divBdr>
            <w:top w:val="none" w:sz="0" w:space="0" w:color="auto"/>
            <w:left w:val="none" w:sz="0" w:space="0" w:color="auto"/>
            <w:bottom w:val="none" w:sz="0" w:space="0" w:color="auto"/>
            <w:right w:val="none" w:sz="0" w:space="0" w:color="auto"/>
          </w:divBdr>
        </w:div>
        <w:div w:id="373895021">
          <w:marLeft w:val="0"/>
          <w:marRight w:val="0"/>
          <w:marTop w:val="0"/>
          <w:marBottom w:val="0"/>
          <w:divBdr>
            <w:top w:val="none" w:sz="0" w:space="0" w:color="auto"/>
            <w:left w:val="none" w:sz="0" w:space="0" w:color="auto"/>
            <w:bottom w:val="none" w:sz="0" w:space="0" w:color="auto"/>
            <w:right w:val="none" w:sz="0" w:space="0" w:color="auto"/>
          </w:divBdr>
        </w:div>
      </w:divsChild>
    </w:div>
    <w:div w:id="647249649">
      <w:bodyDiv w:val="1"/>
      <w:marLeft w:val="0"/>
      <w:marRight w:val="0"/>
      <w:marTop w:val="0"/>
      <w:marBottom w:val="0"/>
      <w:divBdr>
        <w:top w:val="none" w:sz="0" w:space="0" w:color="auto"/>
        <w:left w:val="none" w:sz="0" w:space="0" w:color="auto"/>
        <w:bottom w:val="none" w:sz="0" w:space="0" w:color="auto"/>
        <w:right w:val="none" w:sz="0" w:space="0" w:color="auto"/>
      </w:divBdr>
    </w:div>
    <w:div w:id="657417256">
      <w:bodyDiv w:val="1"/>
      <w:marLeft w:val="0"/>
      <w:marRight w:val="0"/>
      <w:marTop w:val="0"/>
      <w:marBottom w:val="0"/>
      <w:divBdr>
        <w:top w:val="none" w:sz="0" w:space="0" w:color="auto"/>
        <w:left w:val="none" w:sz="0" w:space="0" w:color="auto"/>
        <w:bottom w:val="none" w:sz="0" w:space="0" w:color="auto"/>
        <w:right w:val="none" w:sz="0" w:space="0" w:color="auto"/>
      </w:divBdr>
    </w:div>
    <w:div w:id="748501324">
      <w:bodyDiv w:val="1"/>
      <w:marLeft w:val="0"/>
      <w:marRight w:val="0"/>
      <w:marTop w:val="0"/>
      <w:marBottom w:val="0"/>
      <w:divBdr>
        <w:top w:val="none" w:sz="0" w:space="0" w:color="auto"/>
        <w:left w:val="none" w:sz="0" w:space="0" w:color="auto"/>
        <w:bottom w:val="none" w:sz="0" w:space="0" w:color="auto"/>
        <w:right w:val="none" w:sz="0" w:space="0" w:color="auto"/>
      </w:divBdr>
      <w:divsChild>
        <w:div w:id="2062122174">
          <w:marLeft w:val="0"/>
          <w:marRight w:val="0"/>
          <w:marTop w:val="0"/>
          <w:marBottom w:val="0"/>
          <w:divBdr>
            <w:top w:val="none" w:sz="0" w:space="0" w:color="auto"/>
            <w:left w:val="none" w:sz="0" w:space="0" w:color="auto"/>
            <w:bottom w:val="none" w:sz="0" w:space="0" w:color="auto"/>
            <w:right w:val="none" w:sz="0" w:space="0" w:color="auto"/>
          </w:divBdr>
          <w:divsChild>
            <w:div w:id="1411468543">
              <w:marLeft w:val="0"/>
              <w:marRight w:val="0"/>
              <w:marTop w:val="0"/>
              <w:marBottom w:val="0"/>
              <w:divBdr>
                <w:top w:val="none" w:sz="0" w:space="0" w:color="auto"/>
                <w:left w:val="none" w:sz="0" w:space="0" w:color="auto"/>
                <w:bottom w:val="none" w:sz="0" w:space="0" w:color="auto"/>
                <w:right w:val="none" w:sz="0" w:space="0" w:color="auto"/>
              </w:divBdr>
              <w:divsChild>
                <w:div w:id="382143601">
                  <w:marLeft w:val="0"/>
                  <w:marRight w:val="0"/>
                  <w:marTop w:val="0"/>
                  <w:marBottom w:val="0"/>
                  <w:divBdr>
                    <w:top w:val="none" w:sz="0" w:space="0" w:color="auto"/>
                    <w:left w:val="none" w:sz="0" w:space="0" w:color="auto"/>
                    <w:bottom w:val="none" w:sz="0" w:space="0" w:color="auto"/>
                    <w:right w:val="none" w:sz="0" w:space="0" w:color="auto"/>
                  </w:divBdr>
                  <w:divsChild>
                    <w:div w:id="1633975092">
                      <w:marLeft w:val="300"/>
                      <w:marRight w:val="0"/>
                      <w:marTop w:val="0"/>
                      <w:marBottom w:val="0"/>
                      <w:divBdr>
                        <w:top w:val="none" w:sz="0" w:space="0" w:color="auto"/>
                        <w:left w:val="none" w:sz="0" w:space="0" w:color="auto"/>
                        <w:bottom w:val="none" w:sz="0" w:space="0" w:color="auto"/>
                        <w:right w:val="none" w:sz="0" w:space="0" w:color="auto"/>
                      </w:divBdr>
                      <w:divsChild>
                        <w:div w:id="262303457">
                          <w:marLeft w:val="-300"/>
                          <w:marRight w:val="0"/>
                          <w:marTop w:val="0"/>
                          <w:marBottom w:val="0"/>
                          <w:divBdr>
                            <w:top w:val="none" w:sz="0" w:space="0" w:color="auto"/>
                            <w:left w:val="none" w:sz="0" w:space="0" w:color="auto"/>
                            <w:bottom w:val="none" w:sz="0" w:space="0" w:color="auto"/>
                            <w:right w:val="none" w:sz="0" w:space="0" w:color="auto"/>
                          </w:divBdr>
                          <w:divsChild>
                            <w:div w:id="1901666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32652806">
      <w:bodyDiv w:val="1"/>
      <w:marLeft w:val="0"/>
      <w:marRight w:val="0"/>
      <w:marTop w:val="0"/>
      <w:marBottom w:val="0"/>
      <w:divBdr>
        <w:top w:val="none" w:sz="0" w:space="0" w:color="auto"/>
        <w:left w:val="none" w:sz="0" w:space="0" w:color="auto"/>
        <w:bottom w:val="none" w:sz="0" w:space="0" w:color="auto"/>
        <w:right w:val="none" w:sz="0" w:space="0" w:color="auto"/>
      </w:divBdr>
      <w:divsChild>
        <w:div w:id="1743797297">
          <w:marLeft w:val="0"/>
          <w:marRight w:val="0"/>
          <w:marTop w:val="0"/>
          <w:marBottom w:val="0"/>
          <w:divBdr>
            <w:top w:val="none" w:sz="0" w:space="0" w:color="auto"/>
            <w:left w:val="none" w:sz="0" w:space="0" w:color="auto"/>
            <w:bottom w:val="none" w:sz="0" w:space="0" w:color="auto"/>
            <w:right w:val="none" w:sz="0" w:space="0" w:color="auto"/>
          </w:divBdr>
          <w:divsChild>
            <w:div w:id="841745995">
              <w:marLeft w:val="0"/>
              <w:marRight w:val="0"/>
              <w:marTop w:val="0"/>
              <w:marBottom w:val="0"/>
              <w:divBdr>
                <w:top w:val="none" w:sz="0" w:space="0" w:color="auto"/>
                <w:left w:val="none" w:sz="0" w:space="0" w:color="auto"/>
                <w:bottom w:val="none" w:sz="0" w:space="0" w:color="auto"/>
                <w:right w:val="none" w:sz="0" w:space="0" w:color="auto"/>
              </w:divBdr>
              <w:divsChild>
                <w:div w:id="31809030">
                  <w:marLeft w:val="0"/>
                  <w:marRight w:val="0"/>
                  <w:marTop w:val="0"/>
                  <w:marBottom w:val="0"/>
                  <w:divBdr>
                    <w:top w:val="none" w:sz="0" w:space="0" w:color="auto"/>
                    <w:left w:val="none" w:sz="0" w:space="0" w:color="auto"/>
                    <w:bottom w:val="none" w:sz="0" w:space="0" w:color="auto"/>
                    <w:right w:val="none" w:sz="0" w:space="0" w:color="auto"/>
                  </w:divBdr>
                  <w:divsChild>
                    <w:div w:id="1748068780">
                      <w:marLeft w:val="300"/>
                      <w:marRight w:val="0"/>
                      <w:marTop w:val="0"/>
                      <w:marBottom w:val="0"/>
                      <w:divBdr>
                        <w:top w:val="none" w:sz="0" w:space="0" w:color="auto"/>
                        <w:left w:val="none" w:sz="0" w:space="0" w:color="auto"/>
                        <w:bottom w:val="none" w:sz="0" w:space="0" w:color="auto"/>
                        <w:right w:val="none" w:sz="0" w:space="0" w:color="auto"/>
                      </w:divBdr>
                      <w:divsChild>
                        <w:div w:id="1159535630">
                          <w:marLeft w:val="-300"/>
                          <w:marRight w:val="0"/>
                          <w:marTop w:val="0"/>
                          <w:marBottom w:val="0"/>
                          <w:divBdr>
                            <w:top w:val="none" w:sz="0" w:space="0" w:color="auto"/>
                            <w:left w:val="none" w:sz="0" w:space="0" w:color="auto"/>
                            <w:bottom w:val="none" w:sz="0" w:space="0" w:color="auto"/>
                            <w:right w:val="none" w:sz="0" w:space="0" w:color="auto"/>
                          </w:divBdr>
                          <w:divsChild>
                            <w:div w:id="678654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42249737">
      <w:bodyDiv w:val="1"/>
      <w:marLeft w:val="0"/>
      <w:marRight w:val="0"/>
      <w:marTop w:val="0"/>
      <w:marBottom w:val="0"/>
      <w:divBdr>
        <w:top w:val="none" w:sz="0" w:space="0" w:color="auto"/>
        <w:left w:val="none" w:sz="0" w:space="0" w:color="auto"/>
        <w:bottom w:val="none" w:sz="0" w:space="0" w:color="auto"/>
        <w:right w:val="none" w:sz="0" w:space="0" w:color="auto"/>
      </w:divBdr>
    </w:div>
    <w:div w:id="1050618358">
      <w:bodyDiv w:val="1"/>
      <w:marLeft w:val="0"/>
      <w:marRight w:val="0"/>
      <w:marTop w:val="0"/>
      <w:marBottom w:val="0"/>
      <w:divBdr>
        <w:top w:val="none" w:sz="0" w:space="0" w:color="auto"/>
        <w:left w:val="none" w:sz="0" w:space="0" w:color="auto"/>
        <w:bottom w:val="none" w:sz="0" w:space="0" w:color="auto"/>
        <w:right w:val="none" w:sz="0" w:space="0" w:color="auto"/>
      </w:divBdr>
      <w:divsChild>
        <w:div w:id="1705327316">
          <w:marLeft w:val="720"/>
          <w:marRight w:val="0"/>
          <w:marTop w:val="0"/>
          <w:marBottom w:val="0"/>
          <w:divBdr>
            <w:top w:val="none" w:sz="0" w:space="0" w:color="auto"/>
            <w:left w:val="none" w:sz="0" w:space="0" w:color="auto"/>
            <w:bottom w:val="none" w:sz="0" w:space="0" w:color="auto"/>
            <w:right w:val="none" w:sz="0" w:space="0" w:color="auto"/>
          </w:divBdr>
        </w:div>
        <w:div w:id="50153543">
          <w:marLeft w:val="720"/>
          <w:marRight w:val="0"/>
          <w:marTop w:val="0"/>
          <w:marBottom w:val="0"/>
          <w:divBdr>
            <w:top w:val="none" w:sz="0" w:space="0" w:color="auto"/>
            <w:left w:val="none" w:sz="0" w:space="0" w:color="auto"/>
            <w:bottom w:val="none" w:sz="0" w:space="0" w:color="auto"/>
            <w:right w:val="none" w:sz="0" w:space="0" w:color="auto"/>
          </w:divBdr>
        </w:div>
        <w:div w:id="1940865227">
          <w:marLeft w:val="720"/>
          <w:marRight w:val="0"/>
          <w:marTop w:val="0"/>
          <w:marBottom w:val="0"/>
          <w:divBdr>
            <w:top w:val="none" w:sz="0" w:space="0" w:color="auto"/>
            <w:left w:val="none" w:sz="0" w:space="0" w:color="auto"/>
            <w:bottom w:val="none" w:sz="0" w:space="0" w:color="auto"/>
            <w:right w:val="none" w:sz="0" w:space="0" w:color="auto"/>
          </w:divBdr>
        </w:div>
      </w:divsChild>
    </w:div>
    <w:div w:id="1153641889">
      <w:bodyDiv w:val="1"/>
      <w:marLeft w:val="0"/>
      <w:marRight w:val="0"/>
      <w:marTop w:val="0"/>
      <w:marBottom w:val="0"/>
      <w:divBdr>
        <w:top w:val="none" w:sz="0" w:space="0" w:color="auto"/>
        <w:left w:val="none" w:sz="0" w:space="0" w:color="auto"/>
        <w:bottom w:val="none" w:sz="0" w:space="0" w:color="auto"/>
        <w:right w:val="none" w:sz="0" w:space="0" w:color="auto"/>
      </w:divBdr>
    </w:div>
    <w:div w:id="1175681898">
      <w:bodyDiv w:val="1"/>
      <w:marLeft w:val="0"/>
      <w:marRight w:val="0"/>
      <w:marTop w:val="0"/>
      <w:marBottom w:val="0"/>
      <w:divBdr>
        <w:top w:val="none" w:sz="0" w:space="0" w:color="auto"/>
        <w:left w:val="none" w:sz="0" w:space="0" w:color="auto"/>
        <w:bottom w:val="none" w:sz="0" w:space="0" w:color="auto"/>
        <w:right w:val="none" w:sz="0" w:space="0" w:color="auto"/>
      </w:divBdr>
    </w:div>
    <w:div w:id="1212616441">
      <w:bodyDiv w:val="1"/>
      <w:marLeft w:val="0"/>
      <w:marRight w:val="0"/>
      <w:marTop w:val="0"/>
      <w:marBottom w:val="0"/>
      <w:divBdr>
        <w:top w:val="none" w:sz="0" w:space="0" w:color="auto"/>
        <w:left w:val="none" w:sz="0" w:space="0" w:color="auto"/>
        <w:bottom w:val="none" w:sz="0" w:space="0" w:color="auto"/>
        <w:right w:val="none" w:sz="0" w:space="0" w:color="auto"/>
      </w:divBdr>
    </w:div>
    <w:div w:id="1333147032">
      <w:bodyDiv w:val="1"/>
      <w:marLeft w:val="0"/>
      <w:marRight w:val="0"/>
      <w:marTop w:val="0"/>
      <w:marBottom w:val="0"/>
      <w:divBdr>
        <w:top w:val="none" w:sz="0" w:space="0" w:color="auto"/>
        <w:left w:val="none" w:sz="0" w:space="0" w:color="auto"/>
        <w:bottom w:val="none" w:sz="0" w:space="0" w:color="auto"/>
        <w:right w:val="none" w:sz="0" w:space="0" w:color="auto"/>
      </w:divBdr>
    </w:div>
    <w:div w:id="1510287710">
      <w:bodyDiv w:val="1"/>
      <w:marLeft w:val="0"/>
      <w:marRight w:val="0"/>
      <w:marTop w:val="0"/>
      <w:marBottom w:val="0"/>
      <w:divBdr>
        <w:top w:val="none" w:sz="0" w:space="0" w:color="auto"/>
        <w:left w:val="none" w:sz="0" w:space="0" w:color="auto"/>
        <w:bottom w:val="none" w:sz="0" w:space="0" w:color="auto"/>
        <w:right w:val="none" w:sz="0" w:space="0" w:color="auto"/>
      </w:divBdr>
    </w:div>
    <w:div w:id="1559826920">
      <w:bodyDiv w:val="1"/>
      <w:marLeft w:val="0"/>
      <w:marRight w:val="0"/>
      <w:marTop w:val="0"/>
      <w:marBottom w:val="0"/>
      <w:divBdr>
        <w:top w:val="none" w:sz="0" w:space="0" w:color="auto"/>
        <w:left w:val="none" w:sz="0" w:space="0" w:color="auto"/>
        <w:bottom w:val="none" w:sz="0" w:space="0" w:color="auto"/>
        <w:right w:val="none" w:sz="0" w:space="0" w:color="auto"/>
      </w:divBdr>
      <w:divsChild>
        <w:div w:id="773405658">
          <w:marLeft w:val="446"/>
          <w:marRight w:val="0"/>
          <w:marTop w:val="0"/>
          <w:marBottom w:val="0"/>
          <w:divBdr>
            <w:top w:val="none" w:sz="0" w:space="0" w:color="auto"/>
            <w:left w:val="none" w:sz="0" w:space="0" w:color="auto"/>
            <w:bottom w:val="none" w:sz="0" w:space="0" w:color="auto"/>
            <w:right w:val="none" w:sz="0" w:space="0" w:color="auto"/>
          </w:divBdr>
        </w:div>
        <w:div w:id="1735854281">
          <w:marLeft w:val="446"/>
          <w:marRight w:val="0"/>
          <w:marTop w:val="0"/>
          <w:marBottom w:val="0"/>
          <w:divBdr>
            <w:top w:val="none" w:sz="0" w:space="0" w:color="auto"/>
            <w:left w:val="none" w:sz="0" w:space="0" w:color="auto"/>
            <w:bottom w:val="none" w:sz="0" w:space="0" w:color="auto"/>
            <w:right w:val="none" w:sz="0" w:space="0" w:color="auto"/>
          </w:divBdr>
        </w:div>
        <w:div w:id="1568881096">
          <w:marLeft w:val="446"/>
          <w:marRight w:val="0"/>
          <w:marTop w:val="0"/>
          <w:marBottom w:val="0"/>
          <w:divBdr>
            <w:top w:val="none" w:sz="0" w:space="0" w:color="auto"/>
            <w:left w:val="none" w:sz="0" w:space="0" w:color="auto"/>
            <w:bottom w:val="none" w:sz="0" w:space="0" w:color="auto"/>
            <w:right w:val="none" w:sz="0" w:space="0" w:color="auto"/>
          </w:divBdr>
        </w:div>
        <w:div w:id="1532494784">
          <w:marLeft w:val="446"/>
          <w:marRight w:val="0"/>
          <w:marTop w:val="0"/>
          <w:marBottom w:val="0"/>
          <w:divBdr>
            <w:top w:val="none" w:sz="0" w:space="0" w:color="auto"/>
            <w:left w:val="none" w:sz="0" w:space="0" w:color="auto"/>
            <w:bottom w:val="none" w:sz="0" w:space="0" w:color="auto"/>
            <w:right w:val="none" w:sz="0" w:space="0" w:color="auto"/>
          </w:divBdr>
        </w:div>
        <w:div w:id="1527404125">
          <w:marLeft w:val="446"/>
          <w:marRight w:val="0"/>
          <w:marTop w:val="0"/>
          <w:marBottom w:val="0"/>
          <w:divBdr>
            <w:top w:val="none" w:sz="0" w:space="0" w:color="auto"/>
            <w:left w:val="none" w:sz="0" w:space="0" w:color="auto"/>
            <w:bottom w:val="none" w:sz="0" w:space="0" w:color="auto"/>
            <w:right w:val="none" w:sz="0" w:space="0" w:color="auto"/>
          </w:divBdr>
        </w:div>
      </w:divsChild>
    </w:div>
    <w:div w:id="1561945371">
      <w:bodyDiv w:val="1"/>
      <w:marLeft w:val="0"/>
      <w:marRight w:val="0"/>
      <w:marTop w:val="0"/>
      <w:marBottom w:val="0"/>
      <w:divBdr>
        <w:top w:val="none" w:sz="0" w:space="0" w:color="auto"/>
        <w:left w:val="none" w:sz="0" w:space="0" w:color="auto"/>
        <w:bottom w:val="none" w:sz="0" w:space="0" w:color="auto"/>
        <w:right w:val="none" w:sz="0" w:space="0" w:color="auto"/>
      </w:divBdr>
    </w:div>
    <w:div w:id="1680887498">
      <w:bodyDiv w:val="1"/>
      <w:marLeft w:val="0"/>
      <w:marRight w:val="0"/>
      <w:marTop w:val="0"/>
      <w:marBottom w:val="0"/>
      <w:divBdr>
        <w:top w:val="none" w:sz="0" w:space="0" w:color="auto"/>
        <w:left w:val="none" w:sz="0" w:space="0" w:color="auto"/>
        <w:bottom w:val="none" w:sz="0" w:space="0" w:color="auto"/>
        <w:right w:val="none" w:sz="0" w:space="0" w:color="auto"/>
      </w:divBdr>
    </w:div>
    <w:div w:id="1743067679">
      <w:bodyDiv w:val="1"/>
      <w:marLeft w:val="0"/>
      <w:marRight w:val="0"/>
      <w:marTop w:val="0"/>
      <w:marBottom w:val="0"/>
      <w:divBdr>
        <w:top w:val="none" w:sz="0" w:space="0" w:color="auto"/>
        <w:left w:val="none" w:sz="0" w:space="0" w:color="auto"/>
        <w:bottom w:val="none" w:sz="0" w:space="0" w:color="auto"/>
        <w:right w:val="none" w:sz="0" w:space="0" w:color="auto"/>
      </w:divBdr>
    </w:div>
    <w:div w:id="1852064058">
      <w:bodyDiv w:val="1"/>
      <w:marLeft w:val="0"/>
      <w:marRight w:val="0"/>
      <w:marTop w:val="0"/>
      <w:marBottom w:val="0"/>
      <w:divBdr>
        <w:top w:val="none" w:sz="0" w:space="0" w:color="auto"/>
        <w:left w:val="none" w:sz="0" w:space="0" w:color="auto"/>
        <w:bottom w:val="none" w:sz="0" w:space="0" w:color="auto"/>
        <w:right w:val="none" w:sz="0" w:space="0" w:color="auto"/>
      </w:divBdr>
    </w:div>
    <w:div w:id="198011001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conjur.com.br/2021-abr-29/interesse-publico-analise-critica-licitacoes-lei-1413321"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s://www.lexml.gov.br/urn/urn:lex:br:tribunal.contas.uniao;plenario:acordao:2010-02-24;265" TargetMode="External"/><Relationship Id="rId2" Type="http://schemas.openxmlformats.org/officeDocument/2006/relationships/hyperlink" Target="https://www.conjur.com.br/2021-abr-29/interesse-publico-analise-critica-licitacoes-lei-1413321" TargetMode="External"/><Relationship Id="rId1" Type="http://schemas.openxmlformats.org/officeDocument/2006/relationships/hyperlink" Target="http://www.amvapmg.org.br/1/municipios/" TargetMode="External"/><Relationship Id="rId4" Type="http://schemas.openxmlformats.org/officeDocument/2006/relationships/hyperlink" Target="https://www.lexml.gov.br/urn/urn:lex:br:tribunal.contas.uniao;plenario:acordao:2010-02-24;265" TargetMode="Externa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EA5A342-1F71-4B1B-8B97-FC2AC2A37D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15</Pages>
  <Words>6235</Words>
  <Characters>33672</Characters>
  <DocSecurity>0</DocSecurity>
  <Lines>280</Lines>
  <Paragraphs>79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39828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2021-11-23T00:06:00Z</dcterms:created>
  <dcterms:modified xsi:type="dcterms:W3CDTF">2021-11-23T00:06:00Z</dcterms:modified>
</cp:coreProperties>
</file>