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567" w:rsidRPr="005E01C2" w:rsidRDefault="001E4567" w:rsidP="001E4567">
      <w:pPr>
        <w:spacing w:before="240" w:line="276" w:lineRule="auto"/>
        <w:jc w:val="center"/>
        <w:rPr>
          <w:rFonts w:asciiTheme="majorBidi" w:hAnsiTheme="majorBidi" w:cstheme="majorBidi"/>
          <w:b/>
          <w:bCs/>
          <w:sz w:val="28"/>
          <w:szCs w:val="28"/>
        </w:rPr>
      </w:pPr>
      <w:r w:rsidRPr="005E01C2">
        <w:rPr>
          <w:rFonts w:asciiTheme="majorBidi" w:hAnsiTheme="majorBidi" w:cstheme="majorBidi"/>
          <w:b/>
          <w:bCs/>
          <w:sz w:val="28"/>
          <w:szCs w:val="28"/>
        </w:rPr>
        <w:t>Protection of People Living with HIV/AIDS in an Islamic country: Iran</w:t>
      </w:r>
    </w:p>
    <w:p w:rsidR="001E4567" w:rsidRPr="005E01C2" w:rsidRDefault="001E4567" w:rsidP="001E4567">
      <w:pPr>
        <w:spacing w:before="240" w:line="276" w:lineRule="auto"/>
        <w:jc w:val="center"/>
        <w:rPr>
          <w:rFonts w:asciiTheme="majorBidi" w:hAnsiTheme="majorBidi" w:cstheme="majorBidi"/>
          <w:b/>
          <w:bCs/>
          <w:sz w:val="28"/>
          <w:szCs w:val="28"/>
        </w:rPr>
      </w:pPr>
    </w:p>
    <w:p w:rsidR="001E4567" w:rsidRPr="005E01C2" w:rsidRDefault="001E4567" w:rsidP="001E4567">
      <w:pPr>
        <w:spacing w:after="0" w:line="240" w:lineRule="auto"/>
        <w:jc w:val="center"/>
        <w:rPr>
          <w:rFonts w:asciiTheme="majorBidi" w:hAnsiTheme="majorBidi" w:cstheme="majorBidi"/>
          <w:sz w:val="24"/>
          <w:szCs w:val="24"/>
        </w:rPr>
      </w:pPr>
      <w:r w:rsidRPr="005E01C2">
        <w:rPr>
          <w:rFonts w:asciiTheme="majorBidi" w:hAnsiTheme="majorBidi" w:cstheme="majorBidi"/>
          <w:sz w:val="24"/>
          <w:szCs w:val="24"/>
        </w:rPr>
        <w:t>Arian Petoft</w:t>
      </w:r>
      <w:r w:rsidRPr="005E01C2">
        <w:rPr>
          <w:rStyle w:val="FootnoteReference"/>
          <w:rFonts w:asciiTheme="majorBidi" w:hAnsiTheme="majorBidi" w:cstheme="majorBidi"/>
          <w:sz w:val="24"/>
          <w:szCs w:val="24"/>
        </w:rPr>
        <w:footnoteReference w:id="1"/>
      </w:r>
    </w:p>
    <w:p w:rsidR="001E4567" w:rsidRPr="005E01C2" w:rsidRDefault="001E4567" w:rsidP="001E4567">
      <w:pPr>
        <w:spacing w:before="240" w:line="276" w:lineRule="auto"/>
        <w:jc w:val="center"/>
        <w:rPr>
          <w:rFonts w:asciiTheme="majorBidi" w:hAnsiTheme="majorBidi" w:cstheme="majorBidi"/>
          <w:sz w:val="24"/>
          <w:szCs w:val="24"/>
        </w:rPr>
      </w:pPr>
      <w:proofErr w:type="spellStart"/>
      <w:r w:rsidRPr="005E01C2">
        <w:rPr>
          <w:rFonts w:asciiTheme="majorBidi" w:hAnsiTheme="majorBidi" w:cstheme="majorBidi"/>
          <w:sz w:val="24"/>
          <w:szCs w:val="24"/>
        </w:rPr>
        <w:t>Parviz</w:t>
      </w:r>
      <w:proofErr w:type="spellEnd"/>
      <w:r w:rsidRPr="005E01C2">
        <w:rPr>
          <w:rFonts w:asciiTheme="majorBidi" w:hAnsiTheme="majorBidi" w:cstheme="majorBidi"/>
          <w:sz w:val="24"/>
          <w:szCs w:val="24"/>
        </w:rPr>
        <w:t xml:space="preserve"> </w:t>
      </w:r>
      <w:proofErr w:type="spellStart"/>
      <w:r w:rsidRPr="005E01C2">
        <w:rPr>
          <w:rFonts w:asciiTheme="majorBidi" w:hAnsiTheme="majorBidi" w:cstheme="majorBidi"/>
          <w:sz w:val="24"/>
          <w:szCs w:val="24"/>
        </w:rPr>
        <w:t>Dehghani</w:t>
      </w:r>
      <w:proofErr w:type="spellEnd"/>
      <w:r>
        <w:rPr>
          <w:rStyle w:val="FootnoteReference"/>
          <w:rFonts w:asciiTheme="majorBidi" w:hAnsiTheme="majorBidi" w:cstheme="majorBidi"/>
          <w:sz w:val="24"/>
          <w:szCs w:val="24"/>
        </w:rPr>
        <w:footnoteReference w:id="2"/>
      </w:r>
    </w:p>
    <w:p w:rsidR="001E4567" w:rsidRPr="005E01C2" w:rsidRDefault="001E4567" w:rsidP="001E4567">
      <w:pPr>
        <w:spacing w:before="240" w:line="276" w:lineRule="auto"/>
        <w:rPr>
          <w:rFonts w:asciiTheme="majorBidi" w:hAnsiTheme="majorBidi" w:cstheme="majorBidi"/>
          <w:b/>
          <w:bCs/>
          <w:sz w:val="24"/>
          <w:szCs w:val="24"/>
        </w:rPr>
      </w:pPr>
    </w:p>
    <w:p w:rsidR="001E4567" w:rsidRPr="005E01C2" w:rsidRDefault="001E4567" w:rsidP="001E4567">
      <w:pPr>
        <w:spacing w:before="240" w:line="276" w:lineRule="auto"/>
        <w:jc w:val="center"/>
        <w:rPr>
          <w:rFonts w:asciiTheme="majorBidi" w:hAnsiTheme="majorBidi" w:cstheme="majorBidi"/>
          <w:b/>
          <w:bCs/>
          <w:sz w:val="24"/>
          <w:szCs w:val="24"/>
        </w:rPr>
      </w:pPr>
    </w:p>
    <w:p w:rsidR="001E4567" w:rsidRPr="005E01C2" w:rsidRDefault="001E4567" w:rsidP="001E4567">
      <w:pPr>
        <w:spacing w:before="240" w:line="276" w:lineRule="auto"/>
        <w:jc w:val="both"/>
        <w:rPr>
          <w:rFonts w:asciiTheme="majorBidi" w:hAnsiTheme="majorBidi" w:cstheme="majorBidi"/>
          <w:b/>
          <w:bCs/>
          <w:sz w:val="24"/>
          <w:szCs w:val="24"/>
        </w:rPr>
      </w:pPr>
      <w:r w:rsidRPr="005E01C2">
        <w:rPr>
          <w:rFonts w:asciiTheme="majorBidi" w:hAnsiTheme="majorBidi" w:cstheme="majorBidi"/>
          <w:b/>
          <w:bCs/>
          <w:sz w:val="24"/>
          <w:szCs w:val="24"/>
        </w:rPr>
        <w:t>Abstract</w:t>
      </w:r>
    </w:p>
    <w:p w:rsidR="001E4567" w:rsidRPr="005E01C2" w:rsidRDefault="001E4567" w:rsidP="001E4567">
      <w:pPr>
        <w:spacing w:before="240" w:line="276" w:lineRule="auto"/>
        <w:jc w:val="both"/>
        <w:rPr>
          <w:rFonts w:asciiTheme="majorBidi" w:hAnsiTheme="majorBidi" w:cstheme="majorBidi"/>
          <w:sz w:val="24"/>
          <w:szCs w:val="24"/>
        </w:rPr>
      </w:pPr>
      <w:r w:rsidRPr="005E01C2">
        <w:rPr>
          <w:rFonts w:asciiTheme="majorBidi" w:hAnsiTheme="majorBidi" w:cstheme="majorBidi"/>
          <w:sz w:val="24"/>
          <w:szCs w:val="24"/>
        </w:rPr>
        <w:t xml:space="preserve">In this paper, the most important instances of fundamental rights of People Living with HIV/AIDS (PLWHA) </w:t>
      </w:r>
      <w:proofErr w:type="gramStart"/>
      <w:r w:rsidRPr="005E01C2">
        <w:rPr>
          <w:rFonts w:asciiTheme="majorBidi" w:hAnsiTheme="majorBidi" w:cstheme="majorBidi"/>
          <w:sz w:val="24"/>
          <w:szCs w:val="24"/>
        </w:rPr>
        <w:t>are explained</w:t>
      </w:r>
      <w:proofErr w:type="gramEnd"/>
      <w:r w:rsidRPr="005E01C2">
        <w:rPr>
          <w:rFonts w:asciiTheme="majorBidi" w:hAnsiTheme="majorBidi" w:cstheme="majorBidi"/>
          <w:sz w:val="24"/>
          <w:szCs w:val="24"/>
        </w:rPr>
        <w:t xml:space="preserve"> in the spirit of laws and regulations of the Islamic Republic of Iran, as well as Islamic rules. It </w:t>
      </w:r>
      <w:proofErr w:type="gramStart"/>
      <w:r w:rsidRPr="005E01C2">
        <w:rPr>
          <w:rFonts w:asciiTheme="majorBidi" w:hAnsiTheme="majorBidi" w:cstheme="majorBidi"/>
          <w:sz w:val="24"/>
          <w:szCs w:val="24"/>
        </w:rPr>
        <w:t>should be noted</w:t>
      </w:r>
      <w:proofErr w:type="gramEnd"/>
      <w:r w:rsidRPr="005E01C2">
        <w:rPr>
          <w:rFonts w:asciiTheme="majorBidi" w:hAnsiTheme="majorBidi" w:cstheme="majorBidi"/>
          <w:sz w:val="24"/>
          <w:szCs w:val="24"/>
        </w:rPr>
        <w:t xml:space="preserve"> that according to the principle of </w:t>
      </w:r>
      <w:r w:rsidRPr="005E01C2">
        <w:rPr>
          <w:rFonts w:asciiTheme="majorBidi" w:hAnsiTheme="majorBidi" w:cstheme="majorBidi"/>
          <w:i/>
          <w:iCs/>
          <w:sz w:val="24"/>
          <w:szCs w:val="24"/>
        </w:rPr>
        <w:t>coherence</w:t>
      </w:r>
      <w:r w:rsidRPr="005E01C2">
        <w:rPr>
          <w:rFonts w:asciiTheme="majorBidi" w:hAnsiTheme="majorBidi" w:cstheme="majorBidi"/>
          <w:sz w:val="24"/>
          <w:szCs w:val="24"/>
        </w:rPr>
        <w:t xml:space="preserve"> in the thought of Islamic law, these rights in front of themselves typically depict the duty of the state and society, which are required to protect and guarantee them. Merely guaranteeing citizen’s rights in the form of law, even with special legal protections, can ultimately provide the </w:t>
      </w:r>
      <w:r w:rsidRPr="005E01C2">
        <w:rPr>
          <w:rFonts w:asciiTheme="majorBidi" w:hAnsiTheme="majorBidi" w:cstheme="majorBidi"/>
          <w:i/>
          <w:iCs/>
          <w:sz w:val="24"/>
          <w:szCs w:val="24"/>
        </w:rPr>
        <w:t>procedural</w:t>
      </w:r>
      <w:r w:rsidRPr="005E01C2">
        <w:rPr>
          <w:rFonts w:asciiTheme="majorBidi" w:hAnsiTheme="majorBidi" w:cstheme="majorBidi"/>
          <w:sz w:val="24"/>
          <w:szCs w:val="24"/>
        </w:rPr>
        <w:t xml:space="preserve"> </w:t>
      </w:r>
      <w:r w:rsidRPr="005E01C2">
        <w:rPr>
          <w:rFonts w:asciiTheme="majorBidi" w:hAnsiTheme="majorBidi" w:cstheme="majorBidi"/>
          <w:i/>
          <w:iCs/>
          <w:sz w:val="24"/>
          <w:szCs w:val="24"/>
        </w:rPr>
        <w:t>rule of law</w:t>
      </w:r>
      <w:r w:rsidRPr="005E01C2">
        <w:rPr>
          <w:rFonts w:asciiTheme="majorBidi" w:hAnsiTheme="majorBidi" w:cstheme="majorBidi"/>
          <w:sz w:val="24"/>
          <w:szCs w:val="24"/>
        </w:rPr>
        <w:t xml:space="preserve"> for PLWHA; but the real protection of the law goes beyond this formal aspect. In practice, an Islamic government needs to make special executive arrangements to ensure that their rights </w:t>
      </w:r>
      <w:proofErr w:type="gramStart"/>
      <w:r w:rsidRPr="005E01C2">
        <w:rPr>
          <w:rFonts w:asciiTheme="majorBidi" w:hAnsiTheme="majorBidi" w:cstheme="majorBidi"/>
          <w:sz w:val="24"/>
          <w:szCs w:val="24"/>
        </w:rPr>
        <w:t>are upheld</w:t>
      </w:r>
      <w:proofErr w:type="gramEnd"/>
      <w:r w:rsidRPr="005E01C2">
        <w:rPr>
          <w:rFonts w:asciiTheme="majorBidi" w:hAnsiTheme="majorBidi" w:cstheme="majorBidi"/>
          <w:sz w:val="24"/>
          <w:szCs w:val="24"/>
        </w:rPr>
        <w:t xml:space="preserve"> so that we can touch the </w:t>
      </w:r>
      <w:r w:rsidRPr="005E01C2">
        <w:rPr>
          <w:rFonts w:asciiTheme="majorBidi" w:hAnsiTheme="majorBidi" w:cstheme="majorBidi"/>
          <w:i/>
          <w:iCs/>
          <w:sz w:val="24"/>
          <w:szCs w:val="24"/>
        </w:rPr>
        <w:t>substantive rule of law</w:t>
      </w:r>
      <w:r w:rsidRPr="005E01C2">
        <w:rPr>
          <w:rFonts w:asciiTheme="majorBidi" w:hAnsiTheme="majorBidi" w:cstheme="majorBidi"/>
          <w:sz w:val="24"/>
          <w:szCs w:val="24"/>
        </w:rPr>
        <w:t xml:space="preserve">. Therefore, this paper strives to depict an image of the fundamental rights of PLWHA in the contextual and pragmatic </w:t>
      </w:r>
      <w:proofErr w:type="gramStart"/>
      <w:r w:rsidRPr="005E01C2">
        <w:rPr>
          <w:rFonts w:asciiTheme="majorBidi" w:hAnsiTheme="majorBidi" w:cstheme="majorBidi"/>
          <w:sz w:val="24"/>
          <w:szCs w:val="24"/>
        </w:rPr>
        <w:t>perspective which</w:t>
      </w:r>
      <w:proofErr w:type="gramEnd"/>
      <w:r w:rsidRPr="005E01C2">
        <w:rPr>
          <w:rFonts w:asciiTheme="majorBidi" w:hAnsiTheme="majorBidi" w:cstheme="majorBidi"/>
          <w:sz w:val="24"/>
          <w:szCs w:val="24"/>
        </w:rPr>
        <w:t xml:space="preserve"> should not remain merely symbolic in the form of a charter framed on the wall.</w:t>
      </w:r>
    </w:p>
    <w:p w:rsidR="001E4567" w:rsidRPr="005E01C2" w:rsidRDefault="001E4567" w:rsidP="001E4567">
      <w:pPr>
        <w:spacing w:before="240" w:line="276" w:lineRule="auto"/>
        <w:jc w:val="both"/>
        <w:rPr>
          <w:rFonts w:asciiTheme="majorBidi" w:hAnsiTheme="majorBidi" w:cstheme="majorBidi"/>
          <w:b/>
          <w:bCs/>
          <w:sz w:val="24"/>
          <w:szCs w:val="24"/>
        </w:rPr>
      </w:pPr>
    </w:p>
    <w:p w:rsidR="001E4567" w:rsidRPr="005E01C2" w:rsidRDefault="001E4567" w:rsidP="001E4567">
      <w:pPr>
        <w:spacing w:before="240" w:line="276" w:lineRule="auto"/>
        <w:jc w:val="both"/>
        <w:rPr>
          <w:rFonts w:asciiTheme="majorBidi" w:hAnsiTheme="majorBidi" w:cstheme="majorBidi"/>
          <w:b/>
          <w:bCs/>
          <w:sz w:val="24"/>
          <w:szCs w:val="24"/>
        </w:rPr>
      </w:pPr>
    </w:p>
    <w:p w:rsidR="001E4567" w:rsidRPr="005E01C2" w:rsidRDefault="001E4567" w:rsidP="001E4567">
      <w:pPr>
        <w:spacing w:before="240" w:line="276" w:lineRule="auto"/>
        <w:jc w:val="both"/>
        <w:rPr>
          <w:rFonts w:asciiTheme="majorBidi" w:hAnsiTheme="majorBidi" w:cstheme="majorBidi"/>
          <w:b/>
          <w:bCs/>
          <w:sz w:val="24"/>
          <w:szCs w:val="24"/>
        </w:rPr>
      </w:pPr>
      <w:r w:rsidRPr="005E01C2">
        <w:rPr>
          <w:rFonts w:asciiTheme="majorBidi" w:hAnsiTheme="majorBidi" w:cstheme="majorBidi"/>
          <w:b/>
          <w:bCs/>
          <w:sz w:val="24"/>
          <w:szCs w:val="24"/>
        </w:rPr>
        <w:t>Keywords</w:t>
      </w:r>
    </w:p>
    <w:p w:rsidR="001E4567" w:rsidRPr="005E01C2" w:rsidRDefault="001E4567" w:rsidP="001E4567">
      <w:pPr>
        <w:spacing w:before="240" w:line="276" w:lineRule="auto"/>
        <w:jc w:val="both"/>
        <w:rPr>
          <w:rFonts w:asciiTheme="majorBidi" w:hAnsiTheme="majorBidi" w:cstheme="majorBidi"/>
          <w:sz w:val="24"/>
          <w:szCs w:val="24"/>
        </w:rPr>
      </w:pPr>
      <w:r w:rsidRPr="005E01C2">
        <w:rPr>
          <w:rFonts w:asciiTheme="majorBidi" w:hAnsiTheme="majorBidi" w:cstheme="majorBidi"/>
          <w:sz w:val="24"/>
          <w:szCs w:val="24"/>
        </w:rPr>
        <w:t>Fundamental rights, PLWHA, Islamic rules, Iran, HIV/AIDS.</w:t>
      </w:r>
    </w:p>
    <w:p w:rsidR="00AE5C0A" w:rsidRDefault="00AE5C0A">
      <w:bookmarkStart w:id="0" w:name="_GoBack"/>
      <w:bookmarkEnd w:id="0"/>
    </w:p>
    <w:sectPr w:rsidR="00AE5C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219" w:rsidRDefault="002A0219" w:rsidP="001E4567">
      <w:pPr>
        <w:spacing w:after="0" w:line="240" w:lineRule="auto"/>
      </w:pPr>
      <w:r>
        <w:separator/>
      </w:r>
    </w:p>
  </w:endnote>
  <w:endnote w:type="continuationSeparator" w:id="0">
    <w:p w:rsidR="002A0219" w:rsidRDefault="002A0219" w:rsidP="001E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219" w:rsidRDefault="002A0219" w:rsidP="001E4567">
      <w:pPr>
        <w:spacing w:after="0" w:line="240" w:lineRule="auto"/>
      </w:pPr>
      <w:r>
        <w:separator/>
      </w:r>
    </w:p>
  </w:footnote>
  <w:footnote w:type="continuationSeparator" w:id="0">
    <w:p w:rsidR="002A0219" w:rsidRDefault="002A0219" w:rsidP="001E4567">
      <w:pPr>
        <w:spacing w:after="0" w:line="240" w:lineRule="auto"/>
      </w:pPr>
      <w:r>
        <w:continuationSeparator/>
      </w:r>
    </w:p>
  </w:footnote>
  <w:footnote w:id="1">
    <w:p w:rsidR="001E4567" w:rsidRPr="005E01C2" w:rsidRDefault="001E4567" w:rsidP="001E4567">
      <w:pPr>
        <w:shd w:val="clear" w:color="auto" w:fill="FFFFFF"/>
        <w:spacing w:after="0" w:line="240" w:lineRule="auto"/>
        <w:jc w:val="both"/>
        <w:rPr>
          <w:rFonts w:asciiTheme="majorBidi" w:eastAsia="Times New Roman" w:hAnsiTheme="majorBidi" w:cstheme="majorBidi"/>
          <w:sz w:val="20"/>
          <w:szCs w:val="20"/>
          <w:lang w:bidi="fa-IR"/>
        </w:rPr>
      </w:pPr>
      <w:r w:rsidRPr="005E01C2">
        <w:rPr>
          <w:rStyle w:val="FootnoteReference"/>
          <w:rFonts w:asciiTheme="majorBidi" w:hAnsiTheme="majorBidi" w:cstheme="majorBidi"/>
          <w:sz w:val="20"/>
          <w:szCs w:val="20"/>
        </w:rPr>
        <w:footnoteRef/>
      </w:r>
      <w:r w:rsidRPr="005E01C2">
        <w:rPr>
          <w:rFonts w:asciiTheme="majorBidi" w:hAnsiTheme="majorBidi" w:cstheme="majorBidi"/>
          <w:sz w:val="20"/>
          <w:szCs w:val="20"/>
        </w:rPr>
        <w:t xml:space="preserve"> Assistant Professor of Public Law, </w:t>
      </w:r>
      <w:r w:rsidRPr="005E01C2">
        <w:rPr>
          <w:rFonts w:asciiTheme="majorBidi" w:eastAsia="Times New Roman" w:hAnsiTheme="majorBidi" w:cstheme="majorBidi"/>
          <w:sz w:val="20"/>
          <w:szCs w:val="20"/>
          <w:lang w:bidi="fa-IR"/>
        </w:rPr>
        <w:t xml:space="preserve">Department of Law, Faculty of Humanities, University of </w:t>
      </w:r>
      <w:proofErr w:type="spellStart"/>
      <w:r w:rsidRPr="005E01C2">
        <w:rPr>
          <w:rFonts w:asciiTheme="majorBidi" w:eastAsia="Times New Roman" w:hAnsiTheme="majorBidi" w:cstheme="majorBidi"/>
          <w:sz w:val="20"/>
          <w:szCs w:val="20"/>
          <w:lang w:bidi="fa-IR"/>
        </w:rPr>
        <w:t>Maragheh</w:t>
      </w:r>
      <w:proofErr w:type="spellEnd"/>
      <w:r w:rsidRPr="005E01C2">
        <w:rPr>
          <w:rFonts w:asciiTheme="majorBidi" w:eastAsia="Times New Roman" w:hAnsiTheme="majorBidi" w:cstheme="majorBidi"/>
          <w:sz w:val="20"/>
          <w:szCs w:val="20"/>
          <w:lang w:bidi="fa-IR"/>
        </w:rPr>
        <w:t xml:space="preserve">, P.O. Box 55136-553, </w:t>
      </w:r>
      <w:proofErr w:type="spellStart"/>
      <w:r w:rsidRPr="005E01C2">
        <w:rPr>
          <w:rFonts w:asciiTheme="majorBidi" w:eastAsia="Times New Roman" w:hAnsiTheme="majorBidi" w:cstheme="majorBidi"/>
          <w:sz w:val="20"/>
          <w:szCs w:val="20"/>
          <w:lang w:bidi="fa-IR"/>
        </w:rPr>
        <w:t>Maragheh</w:t>
      </w:r>
      <w:proofErr w:type="spellEnd"/>
      <w:r w:rsidRPr="005E01C2">
        <w:rPr>
          <w:rFonts w:asciiTheme="majorBidi" w:eastAsia="Times New Roman" w:hAnsiTheme="majorBidi" w:cstheme="majorBidi"/>
          <w:sz w:val="20"/>
          <w:szCs w:val="20"/>
          <w:lang w:bidi="fa-IR"/>
        </w:rPr>
        <w:t xml:space="preserve">, Iran. Arian_petoft@ut.ac.ir  </w:t>
      </w:r>
      <w:r>
        <w:rPr>
          <w:rFonts w:asciiTheme="majorBidi" w:eastAsia="Times New Roman" w:hAnsiTheme="majorBidi" w:cstheme="majorBidi"/>
          <w:sz w:val="20"/>
          <w:szCs w:val="20"/>
          <w:lang w:bidi="fa-IR"/>
        </w:rPr>
        <w:t>0098</w:t>
      </w:r>
      <w:r w:rsidRPr="005E01C2">
        <w:rPr>
          <w:rFonts w:asciiTheme="majorBidi" w:eastAsia="Times New Roman" w:hAnsiTheme="majorBidi" w:cstheme="majorBidi"/>
          <w:sz w:val="20"/>
          <w:szCs w:val="20"/>
          <w:lang w:bidi="fa-IR"/>
        </w:rPr>
        <w:t>09128446330 (corresponding author)</w:t>
      </w:r>
    </w:p>
  </w:footnote>
  <w:footnote w:id="2">
    <w:p w:rsidR="001E4567" w:rsidRDefault="001E4567" w:rsidP="001E4567">
      <w:pPr>
        <w:pStyle w:val="FootnoteText"/>
      </w:pPr>
      <w:r>
        <w:rPr>
          <w:rStyle w:val="FootnoteReference"/>
        </w:rPr>
        <w:footnoteRef/>
      </w:r>
      <w:r>
        <w:t xml:space="preserve"> </w:t>
      </w:r>
      <w:r w:rsidRPr="005E01C2">
        <w:rPr>
          <w:rFonts w:asciiTheme="majorBidi" w:hAnsiTheme="majorBidi" w:cstheme="majorBidi"/>
        </w:rPr>
        <w:t xml:space="preserve">Assistant Professor of Public Law, </w:t>
      </w:r>
      <w:r w:rsidRPr="005E01C2">
        <w:rPr>
          <w:rFonts w:asciiTheme="majorBidi" w:eastAsia="Times New Roman" w:hAnsiTheme="majorBidi" w:cstheme="majorBidi"/>
          <w:lang w:bidi="fa-IR"/>
        </w:rPr>
        <w:t xml:space="preserve">Department of Law, Faculty of Humanities, University of </w:t>
      </w:r>
      <w:proofErr w:type="spellStart"/>
      <w:r w:rsidRPr="005E01C2">
        <w:rPr>
          <w:rFonts w:asciiTheme="majorBidi" w:eastAsia="Times New Roman" w:hAnsiTheme="majorBidi" w:cstheme="majorBidi"/>
          <w:lang w:bidi="fa-IR"/>
        </w:rPr>
        <w:t>Maragheh</w:t>
      </w:r>
      <w:proofErr w:type="spellEnd"/>
      <w:r w:rsidRPr="005E01C2">
        <w:rPr>
          <w:rFonts w:asciiTheme="majorBidi" w:eastAsia="Times New Roman" w:hAnsiTheme="majorBidi" w:cstheme="majorBidi"/>
          <w:lang w:bidi="fa-IR"/>
        </w:rPr>
        <w:t xml:space="preserve">, P.O. Box 55136-553, </w:t>
      </w:r>
      <w:proofErr w:type="spellStart"/>
      <w:r w:rsidRPr="005E01C2">
        <w:rPr>
          <w:rFonts w:asciiTheme="majorBidi" w:eastAsia="Times New Roman" w:hAnsiTheme="majorBidi" w:cstheme="majorBidi"/>
          <w:lang w:bidi="fa-IR"/>
        </w:rPr>
        <w:t>Maragheh</w:t>
      </w:r>
      <w:proofErr w:type="spellEnd"/>
      <w:r w:rsidRPr="005E01C2">
        <w:rPr>
          <w:rFonts w:asciiTheme="majorBidi" w:eastAsia="Times New Roman" w:hAnsiTheme="majorBidi" w:cstheme="majorBidi"/>
          <w:lang w:bidi="fa-IR"/>
        </w:rPr>
        <w:t xml:space="preserve">, Iran. p.dehghani1351@gmail.com  </w:t>
      </w:r>
      <w:r>
        <w:rPr>
          <w:rFonts w:asciiTheme="majorBidi" w:eastAsia="Times New Roman" w:hAnsiTheme="majorBidi" w:cstheme="majorBidi"/>
          <w:lang w:bidi="fa-IR"/>
        </w:rPr>
        <w:t>009809143213194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567"/>
    <w:rsid w:val="000F49CF"/>
    <w:rsid w:val="001E4567"/>
    <w:rsid w:val="001E469B"/>
    <w:rsid w:val="002A0219"/>
    <w:rsid w:val="00746DF8"/>
    <w:rsid w:val="00AE5C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48EBD-76FD-4C5F-AF7E-882E2586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Calibri" w:hAnsiTheme="majorHAnsi" w:cs="B Nazani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567"/>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Footnote Text Char Char Char,Footnote Text Char Char Char Char Char Char,Footnote Text2,Footnote Text Char Char Char3 Char Char,Footnote Text Char Char Char3 Char Char Char Char Char Char,متن زيرنويس Char"/>
    <w:basedOn w:val="Normal"/>
    <w:link w:val="FootnoteTextChar"/>
    <w:uiPriority w:val="99"/>
    <w:unhideWhenUsed/>
    <w:qFormat/>
    <w:rsid w:val="001E4567"/>
    <w:pPr>
      <w:spacing w:after="0" w:line="240" w:lineRule="auto"/>
    </w:pPr>
    <w:rPr>
      <w:sz w:val="20"/>
      <w:szCs w:val="20"/>
    </w:rPr>
  </w:style>
  <w:style w:type="character" w:customStyle="1" w:styleId="FootnoteTextChar">
    <w:name w:val="Footnote Text Char"/>
    <w:aliases w:val="متن زيرنويس Char1,Footnote Text Char Char Char Char,Footnote Text Char Char Char Char Char Char Char,Footnote Text2 Char,Footnote Text Char Char Char3 Char Char Char,Footnote Text Char Char Char3 Char Char Char Char Char Char Char"/>
    <w:basedOn w:val="DefaultParagraphFont"/>
    <w:link w:val="FootnoteText"/>
    <w:uiPriority w:val="99"/>
    <w:rsid w:val="001E456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1E45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Petoft</dc:creator>
  <cp:keywords/>
  <dc:description/>
  <cp:lastModifiedBy>Arian Petoft</cp:lastModifiedBy>
  <cp:revision>1</cp:revision>
  <dcterms:created xsi:type="dcterms:W3CDTF">2021-09-29T12:45:00Z</dcterms:created>
  <dcterms:modified xsi:type="dcterms:W3CDTF">2021-09-29T12:45:00Z</dcterms:modified>
</cp:coreProperties>
</file>