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97A6" w14:textId="6A99D4BD" w:rsidR="009C3F8C" w:rsidRPr="00D96D93" w:rsidRDefault="00000000" w:rsidP="00D96D93">
      <w:pPr>
        <w:pStyle w:val="Standard"/>
        <w:jc w:val="both"/>
        <w:rPr>
          <w:rFonts w:ascii="Times New Roman" w:hAnsi="Times New Roman" w:cs="Times New Roman"/>
        </w:rPr>
      </w:pPr>
      <w:bookmarkStart w:id="0" w:name="_Toc116159175"/>
      <w:r w:rsidRPr="00D96D93">
        <w:rPr>
          <w:rFonts w:ascii="Times New Roman" w:hAnsi="Times New Roman" w:cs="Times New Roman"/>
          <w:b/>
          <w:bCs/>
        </w:rPr>
        <w:t>Quadro 6.</w:t>
      </w:r>
      <w:r w:rsidRPr="00D96D93">
        <w:rPr>
          <w:rFonts w:ascii="Times New Roman" w:hAnsi="Times New Roman" w:cs="Times New Roman"/>
        </w:rPr>
        <w:t xml:space="preserve"> Proposições para reorientação da Política Nacional de Segurança Alimentar e Nutricional</w:t>
      </w:r>
      <w:bookmarkEnd w:id="0"/>
      <w:r w:rsidR="002921D0">
        <w:rPr>
          <w:rFonts w:ascii="Times New Roman" w:hAnsi="Times New Roman" w:cs="Times New Roman"/>
        </w:rPr>
        <w:t>.</w:t>
      </w:r>
    </w:p>
    <w:p w14:paraId="57BAA806" w14:textId="77777777" w:rsidR="009C3F8C" w:rsidRPr="00D96D93" w:rsidRDefault="009C3F8C">
      <w:pPr>
        <w:pStyle w:val="Standard"/>
        <w:rPr>
          <w:rFonts w:ascii="Times New Roman" w:hAnsi="Times New Roman" w:cs="Times New Roman"/>
          <w:sz w:val="20"/>
          <w:szCs w:val="20"/>
        </w:rPr>
      </w:pPr>
    </w:p>
    <w:tbl>
      <w:tblPr>
        <w:tblW w:w="919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292"/>
      </w:tblGrid>
      <w:tr w:rsidR="009C3F8C" w:rsidRPr="00D96D93" w14:paraId="283B6A50" w14:textId="77777777">
        <w:trPr>
          <w:trHeight w:val="63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CDD99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CATEGORIAS DE ANÁLISE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E143F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PROPOSIÇÕES</w:t>
            </w:r>
          </w:p>
        </w:tc>
      </w:tr>
      <w:tr w:rsidR="009C3F8C" w:rsidRPr="00D96D93" w14:paraId="2E806A24" w14:textId="77777777">
        <w:trPr>
          <w:trHeight w:val="11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4619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Gestão direta da Política Nacional de Segurança Alimentar e Nutricional (PNSAN)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3C3D" w14:textId="77777777" w:rsidR="008F50E1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Implementação e fortalecimento de ações abrangentes e universais, destinadas à proteção social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3F4612B0" w14:textId="1403DC5B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Necessidade de articulação entre os três níveis de governo, e interlocução destes com as organizações da iniciativa privada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7E47CD37" w14:textId="07AD227F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Necessidade de serem pensadas ações específicas para os grupos acometidos com maiores índices de insegurança alimentar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2398AAAC" w14:textId="181104D5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Fomento de ações que incentivem a adoção de estilos de vida saudáveis e a prática de atividade física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32D84D58" w14:textId="5FF316AD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Maior utilização da Atenção Primária à Saúde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2F1C0009" w14:textId="0BB9C6A3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Recomposição do Conselho Nacional de Segurança Alimentar e Nutricional (CONSEA)</w:t>
            </w:r>
            <w:bookmarkStart w:id="1" w:name="_Toc113643676"/>
            <w:bookmarkStart w:id="2" w:name="_Toc113643866"/>
            <w:bookmarkStart w:id="3" w:name="_Toc113644994"/>
            <w:bookmarkStart w:id="4" w:name="_Toc113689045"/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603A35A8" w14:textId="52180736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Elaboração do III Plano Nacional de Segurança Alimentar e Nutricional (PLANSAN)</w:t>
            </w:r>
            <w:bookmarkStart w:id="5" w:name="_Toc113643677"/>
            <w:bookmarkStart w:id="6" w:name="_Toc113643867"/>
            <w:bookmarkStart w:id="7" w:name="_Toc113644995"/>
            <w:bookmarkStart w:id="8" w:name="_Toc113689046"/>
            <w:bookmarkEnd w:id="1"/>
            <w:bookmarkEnd w:id="2"/>
            <w:bookmarkEnd w:id="3"/>
            <w:bookmarkEnd w:id="4"/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34294673" w14:textId="7ED990C2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Inclusão de estratégias de gestão de crises associadas a política públicas de Segurança Alimentar e Nutricional (SAN)</w:t>
            </w:r>
            <w:bookmarkEnd w:id="5"/>
            <w:bookmarkEnd w:id="6"/>
            <w:bookmarkEnd w:id="7"/>
            <w:bookmarkEnd w:id="8"/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.</w:t>
            </w:r>
          </w:p>
        </w:tc>
      </w:tr>
      <w:tr w:rsidR="009C3F8C" w:rsidRPr="00D96D93" w14:paraId="4FFEFA13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C20B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Programa de Aquisição de Alimentos (PAA)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4E71B" w14:textId="7B936320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Arial" w:hAnsi="Times New Roman" w:cs="Times New Roman"/>
                <w:color w:val="00000A"/>
                <w:kern w:val="0"/>
                <w:sz w:val="20"/>
                <w:szCs w:val="20"/>
              </w:rPr>
            </w:pPr>
            <w:bookmarkStart w:id="9" w:name="_Toc113643678"/>
            <w:r w:rsidRPr="00D96D93">
              <w:rPr>
                <w:rFonts w:ascii="Times New Roman" w:eastAsia="Arial" w:hAnsi="Times New Roman" w:cs="Times New Roman"/>
                <w:color w:val="00000A"/>
                <w:kern w:val="0"/>
                <w:sz w:val="20"/>
                <w:szCs w:val="20"/>
              </w:rPr>
              <w:t>Necessidade de implementação de ações governamentais com vistas a solucionar os problemas enfrentados pelo Programa de Aquisição de Alimentos (PAA)</w:t>
            </w:r>
            <w:bookmarkEnd w:id="9"/>
            <w:r w:rsidR="002921D0">
              <w:rPr>
                <w:rFonts w:ascii="Times New Roman" w:eastAsia="Arial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2762B8BF" w14:textId="604EBE2E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Ampliação da compra de alimentos fornecidos pelo Programa de Aquisição de Alimentos (PAA) ao Programa Nacional de Alimentação Escolar (PNAE)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11564B3C" w14:textId="47E2D8C8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Ampliação dos processos de aquisição de alimentos para abastecer os equipamentos públicos de promoção da Segurança Alimentar e Nutricional (SAN)</w:t>
            </w:r>
            <w:r w:rsidR="002921D0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3690FA17" w14:textId="64A343F9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Aumento dos editais de compra voltados ao Programa de Aquisição de Alimentos (PAA) para compra de alimentos</w:t>
            </w:r>
            <w:r w:rsidR="002921D0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72D70E28" w14:textId="6673A70F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Concessão de crédito rural de assistência técnica e extensão rural</w:t>
            </w:r>
            <w:r w:rsidR="002921D0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3F471183" w14:textId="7DDCD119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Ampliação das ações do PAA, e um maior investimento de recursos financeiros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;</w:t>
            </w:r>
          </w:p>
          <w:p w14:paraId="2477A788" w14:textId="2A108273" w:rsidR="009C3F8C" w:rsidRPr="00D96D93" w:rsidRDefault="002921D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Disponibilização de recursos adicionais aos programas </w:t>
            </w:r>
            <w:r w:rsidRPr="00D96D93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nos anos posteriores a pandemia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;</w:t>
            </w:r>
          </w:p>
          <w:p w14:paraId="1D62D730" w14:textId="16CB06B8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Elaboração de instrumentos de informação que disponha de protocolos sanitários e procedimentos gerais que devem ser seguidos pelos agricultores durante a pandemia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;</w:t>
            </w:r>
          </w:p>
          <w:p w14:paraId="73E60A8D" w14:textId="56694919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Estímulo à produção local, e a distribuição de alimentos pela agricultura familiar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;</w:t>
            </w:r>
          </w:p>
          <w:p w14:paraId="5B2FB350" w14:textId="34B9F80C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Que sejam estabelecidos instrumentos normativos que fortaleçam a comunicação entre o Programa de Aquisição de Alimentos (PAA) e o Programa Nacional de Alimentação Escolar (PNAE)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9C3F8C" w:rsidRPr="00D96D93" w14:paraId="45F60A08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87F8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Programa Nacional de Alimentação Escolar (PNAE)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8D922" w14:textId="5D6DAFA9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Garantia da universalização do Programa Nacional de Alimentação Escolar (PNAE)</w:t>
            </w:r>
            <w:r w:rsidR="002921D0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14FED55B" w14:textId="57D28427" w:rsidR="009C3F8C" w:rsidRPr="00D96D93" w:rsidRDefault="002921D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Disponibilizar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 xml:space="preserve"> aos municípios com Índice de Desenvolvimento Humano (IDH) baixo e muito baixo, auxílio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 xml:space="preserve"> emergencial, para melhor execução do </w:t>
            </w:r>
            <w:r w:rsidRPr="00D96D9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Programa Nacional de Alimentação Escolar (PNAE)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0F4BBC09" w14:textId="4224B24C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 xml:space="preserve">Maior incentivo à aquisição de alimentos provenientes da agricultura familiar com a utilização de recurso do </w:t>
            </w:r>
            <w:r w:rsidRPr="00D96D9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Programa Nacional de Alimentação Escolar (PNAE)</w:t>
            </w:r>
            <w:r w:rsidR="002921D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67794CAE" w14:textId="77777777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lastRenderedPageBreak/>
              <w:t>Aplicação da versão curta da Escala Brasileira de Insegurança Alimentar (EBIA) na ocasião da matrícula/rematrícula dos alunos</w:t>
            </w:r>
          </w:p>
          <w:p w14:paraId="337F9DE2" w14:textId="14D8D731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 xml:space="preserve">Ampliação do valor </w:t>
            </w:r>
            <w:r w:rsidRPr="00D96D93">
              <w:rPr>
                <w:rFonts w:ascii="Times New Roman" w:hAnsi="Times New Roman" w:cs="Times New Roman"/>
                <w:i/>
                <w:color w:val="00000A"/>
                <w:kern w:val="0"/>
                <w:sz w:val="20"/>
                <w:szCs w:val="20"/>
              </w:rPr>
              <w:t>per capita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 xml:space="preserve"> diário repassado a cada aluno que apresenta Insegurança Alimentar e Nutricional (IAN)</w:t>
            </w:r>
            <w:r w:rsidR="002921D0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41D8A571" w14:textId="5DC43483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 xml:space="preserve">Manutenção do 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 xml:space="preserve">Auxílio Emergencial aos municípios com 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 xml:space="preserve">Índice de Desenvolvimento Humano (IDH) 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baixo e muito baixo, mesmo após a pandemia</w:t>
            </w:r>
            <w:r w:rsidR="002921D0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;</w:t>
            </w:r>
          </w:p>
          <w:p w14:paraId="2F4FBEB0" w14:textId="4B1F6AE4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Continuidade do atendimento aos alunos com alimentação durante as férias e o recesso escolar, e até mesmo após o término da pandemia</w:t>
            </w:r>
            <w:r w:rsidR="002921D0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2153293A" w14:textId="0F549CD9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 xml:space="preserve">Intervenção do Conselho de Alimentação Escolar (CAE) junto ao 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</w:rPr>
              <w:t xml:space="preserve">Ministério Público e a Defensoria Pública para que os alunos não beneficiários do Programa Bolsa Família também possam ser beneficiados com os alimentos do </w:t>
            </w: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Programa Nacional de Alimentação Escolar (PNAE) durante a suspensão de aulas</w:t>
            </w:r>
            <w:r w:rsidR="002921D0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0E614DE5" w14:textId="4AF991B2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 xml:space="preserve">Necessidade de um maior investimento financeiro no </w:t>
            </w:r>
            <w:r w:rsidRPr="00D96D93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 xml:space="preserve">Programa Nacional de Alimentação Escolar (PNAE) </w:t>
            </w: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e a ampliação de sua cobertura</w:t>
            </w:r>
            <w:r w:rsidR="002921D0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C3F8C" w:rsidRPr="00D96D93" w14:paraId="1A497966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A575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lastRenderedPageBreak/>
              <w:t>Programa Restaurante Popular (PRP)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3719" w14:textId="7F3730F5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Ampliação da cobertura dos equipamentos Restaurantes Populares</w:t>
            </w:r>
            <w:r w:rsidR="002921D0">
              <w:rPr>
                <w:rFonts w:ascii="Times New Roman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C3F8C" w:rsidRPr="00D96D93" w14:paraId="412A976E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30431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Programa de Alimentação do Trabalhador (PAT)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7FE0" w14:textId="63572C88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Fortalecimento do Programa de Alimentação do Trabalhador (PAT)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.</w:t>
            </w:r>
          </w:p>
        </w:tc>
      </w:tr>
      <w:tr w:rsidR="009C3F8C" w:rsidRPr="00D96D93" w14:paraId="5BB6276A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035BF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Programas de Transferência de Renda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AB19D" w14:textId="22545991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 xml:space="preserve">Adequação dos </w:t>
            </w: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critérios para recebimento do auxílio, em consonância com as particularidades e limitações vivenciadas por determinados segmentos populacionais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;</w:t>
            </w:r>
          </w:p>
          <w:p w14:paraId="3C1C839D" w14:textId="18FCC254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Necessidade de concessão de renda mínima aos produtores, em especial, aos pequenos produtores, durante a pandemia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</w:rPr>
              <w:t>;</w:t>
            </w:r>
          </w:p>
          <w:p w14:paraId="2CF204FD" w14:textId="33B7E243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Ampliação e o fortalecimento das ações do governo voltadas a promoção da renda dos usuários em situação de vulnerabilidade social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9C3F8C" w:rsidRPr="00D96D93" w14:paraId="03918BE2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2EE9D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  <w:t>Fomento a ações de educação alimentar e nutricional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E675" w14:textId="307004B3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Fomento de estratégias de educação alimentar e nutricional, por parte da política de Segurança Alimentar e Nutricional (SAN)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208E0639" w14:textId="54711121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Reformulação dos Guias Alimentares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9C3F8C" w:rsidRPr="00D96D93" w14:paraId="1777E8BF" w14:textId="77777777">
        <w:trPr>
          <w:trHeight w:val="61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020C" w14:textId="77777777" w:rsidR="009C3F8C" w:rsidRPr="00D96D93" w:rsidRDefault="00000000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96D93">
              <w:rPr>
                <w:rFonts w:ascii="Times New Roman" w:hAnsi="Times New Roman" w:cs="Times New Roman"/>
                <w:kern w:val="0"/>
                <w:sz w:val="20"/>
                <w:szCs w:val="20"/>
              </w:rPr>
              <w:t>Outras proposições</w:t>
            </w:r>
          </w:p>
        </w:tc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2887" w14:textId="10AB117B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Necessidade de monitoramento das cadeias produtivas de alimentos e produtos agrícolas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565E964A" w14:textId="0DCA6425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Monitoramento das perdas de emprego e de renda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05B87E29" w14:textId="2870855B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Monitoramento do estado nutricional dos usuários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11CCA63E" w14:textId="7FB8CA73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Aplicação dos ganhos que os bilionários tiveram com a pandemia, na área da saúde e da alimentação</w:t>
            </w:r>
            <w:r w:rsidR="002921D0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7FDCFEFB" w14:textId="77777777" w:rsidR="008F50E1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 xml:space="preserve">Fomento de </w:t>
            </w: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políticas que estimulem o armazenamento de alimentos na esfera municipal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1F2B76FC" w14:textId="597530C6" w:rsidR="009C3F8C" w:rsidRPr="008F50E1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Necessidade de investigação de evidências ainda desconhecidas acerca da relação entre vulnerabilidade social e a infecção pela covid-19</w:t>
            </w:r>
            <w:r w:rsidR="002921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618070E5" w14:textId="77777777" w:rsidR="009C3F8C" w:rsidRPr="00D96D93" w:rsidRDefault="00000000" w:rsidP="008F50E1">
            <w:pPr>
              <w:pStyle w:val="Standard"/>
              <w:spacing w:after="120"/>
              <w:ind w:left="96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D96D9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Necessidade de desenvolvimento de estratégias com vistas a fortalecer a agricultura familiar, viabilizar o retorno dos estoques reguladores, e potencializar a formação de hortas urbanas e comunitárias.</w:t>
            </w:r>
          </w:p>
        </w:tc>
      </w:tr>
    </w:tbl>
    <w:p w14:paraId="6E289BE9" w14:textId="13435CDD" w:rsidR="009C3F8C" w:rsidRPr="00D96D93" w:rsidRDefault="009C3F8C">
      <w:pPr>
        <w:pStyle w:val="Standard"/>
        <w:rPr>
          <w:rFonts w:ascii="Times New Roman" w:hAnsi="Times New Roman" w:cs="Times New Roman"/>
          <w:sz w:val="20"/>
          <w:szCs w:val="20"/>
        </w:rPr>
      </w:pPr>
    </w:p>
    <w:sectPr w:rsidR="009C3F8C" w:rsidRPr="00D96D9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D721" w14:textId="77777777" w:rsidR="00445815" w:rsidRDefault="00445815">
      <w:pPr>
        <w:rPr>
          <w:rFonts w:hint="eastAsia"/>
        </w:rPr>
      </w:pPr>
      <w:r>
        <w:separator/>
      </w:r>
    </w:p>
  </w:endnote>
  <w:endnote w:type="continuationSeparator" w:id="0">
    <w:p w14:paraId="2F0545CC" w14:textId="77777777" w:rsidR="00445815" w:rsidRDefault="004458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F67D5" w14:textId="77777777" w:rsidR="00445815" w:rsidRDefault="0044581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9B23513" w14:textId="77777777" w:rsidR="00445815" w:rsidRDefault="0044581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57CF"/>
    <w:multiLevelType w:val="multilevel"/>
    <w:tmpl w:val="F23CA7F0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EC7CE9"/>
    <w:multiLevelType w:val="multilevel"/>
    <w:tmpl w:val="86981E6A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F94B9A"/>
    <w:multiLevelType w:val="multilevel"/>
    <w:tmpl w:val="54967D6E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9685748"/>
    <w:multiLevelType w:val="multilevel"/>
    <w:tmpl w:val="7D663CCC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E0A158C"/>
    <w:multiLevelType w:val="multilevel"/>
    <w:tmpl w:val="841810FE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71D37C9"/>
    <w:multiLevelType w:val="multilevel"/>
    <w:tmpl w:val="CD4C6D96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E1157CB"/>
    <w:multiLevelType w:val="multilevel"/>
    <w:tmpl w:val="C0200BA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797140569">
    <w:abstractNumId w:val="3"/>
  </w:num>
  <w:num w:numId="2" w16cid:durableId="686905506">
    <w:abstractNumId w:val="1"/>
  </w:num>
  <w:num w:numId="3" w16cid:durableId="705252615">
    <w:abstractNumId w:val="0"/>
  </w:num>
  <w:num w:numId="4" w16cid:durableId="1412701404">
    <w:abstractNumId w:val="5"/>
  </w:num>
  <w:num w:numId="5" w16cid:durableId="375395797">
    <w:abstractNumId w:val="4"/>
  </w:num>
  <w:num w:numId="6" w16cid:durableId="877426521">
    <w:abstractNumId w:val="2"/>
  </w:num>
  <w:num w:numId="7" w16cid:durableId="660616512">
    <w:abstractNumId w:val="6"/>
  </w:num>
  <w:num w:numId="8" w16cid:durableId="1303122606">
    <w:abstractNumId w:val="3"/>
  </w:num>
  <w:num w:numId="9" w16cid:durableId="1197356180">
    <w:abstractNumId w:val="1"/>
  </w:num>
  <w:num w:numId="10" w16cid:durableId="385683670">
    <w:abstractNumId w:val="0"/>
  </w:num>
  <w:num w:numId="11" w16cid:durableId="2125924383">
    <w:abstractNumId w:val="5"/>
  </w:num>
  <w:num w:numId="12" w16cid:durableId="1418286584">
    <w:abstractNumId w:val="4"/>
  </w:num>
  <w:num w:numId="13" w16cid:durableId="1075933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fd94f82-b1d6-405b-90ac-95fd23319644"/>
  </w:docVars>
  <w:rsids>
    <w:rsidRoot w:val="009C3F8C"/>
    <w:rsid w:val="002921D0"/>
    <w:rsid w:val="003F70D4"/>
    <w:rsid w:val="00445815"/>
    <w:rsid w:val="008F50E1"/>
    <w:rsid w:val="00926A12"/>
    <w:rsid w:val="00964B8A"/>
    <w:rsid w:val="009C3F8C"/>
    <w:rsid w:val="00D9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961A"/>
  <w15:docId w15:val="{574765A7-5A52-4610-9008-087F6C98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Character20style">
    <w:name w:val="Character_20_style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2">
    <w:name w:val="WWNum12"/>
    <w:basedOn w:val="NoList"/>
    <w:pPr>
      <w:numPr>
        <w:numId w:val="1"/>
      </w:numPr>
    </w:pPr>
  </w:style>
  <w:style w:type="numbering" w:customStyle="1" w:styleId="WWNum16">
    <w:name w:val="WWNum16"/>
    <w:basedOn w:val="NoList"/>
    <w:pPr>
      <w:numPr>
        <w:numId w:val="2"/>
      </w:numPr>
    </w:pPr>
  </w:style>
  <w:style w:type="numbering" w:customStyle="1" w:styleId="WWNum17">
    <w:name w:val="WWNum17"/>
    <w:basedOn w:val="NoList"/>
    <w:pPr>
      <w:numPr>
        <w:numId w:val="3"/>
      </w:numPr>
    </w:pPr>
  </w:style>
  <w:style w:type="numbering" w:customStyle="1" w:styleId="WWNum18">
    <w:name w:val="WWNum18"/>
    <w:basedOn w:val="NoList"/>
    <w:pPr>
      <w:numPr>
        <w:numId w:val="4"/>
      </w:numPr>
    </w:pPr>
  </w:style>
  <w:style w:type="numbering" w:customStyle="1" w:styleId="WWNum19">
    <w:name w:val="WWNum19"/>
    <w:basedOn w:val="NoList"/>
    <w:pPr>
      <w:numPr>
        <w:numId w:val="5"/>
      </w:numPr>
    </w:pPr>
  </w:style>
  <w:style w:type="numbering" w:customStyle="1" w:styleId="WWNum20">
    <w:name w:val="WWNum20"/>
    <w:basedOn w:val="NoList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782</Words>
  <Characters>4463</Characters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2023-08-21T23:11:00Z</dcterms:created>
  <dcterms:modified xsi:type="dcterms:W3CDTF">2023-09-05T19:05:00Z</dcterms:modified>
</cp:coreProperties>
</file>