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8CC6D" w14:textId="31C272A4" w:rsidR="00F75CCE" w:rsidRPr="00517045" w:rsidRDefault="00F7441E">
      <w:pPr>
        <w:spacing w:line="360" w:lineRule="auto"/>
        <w:jc w:val="center"/>
        <w:rPr>
          <w:b/>
          <w:bCs/>
          <w:color w:val="000000" w:themeColor="text1"/>
          <w:sz w:val="28"/>
          <w:szCs w:val="28"/>
          <w:lang w:val="pt-BR"/>
        </w:rPr>
      </w:pPr>
      <w:r>
        <w:rPr>
          <w:b/>
          <w:bCs/>
          <w:color w:val="000000" w:themeColor="text1"/>
          <w:sz w:val="28"/>
          <w:szCs w:val="28"/>
          <w:lang w:val="pt-BR"/>
        </w:rPr>
        <w:t xml:space="preserve">Duas ideias irreconciliáveis? </w:t>
      </w:r>
      <w:r w:rsidR="00023998" w:rsidRPr="00517045">
        <w:rPr>
          <w:b/>
          <w:bCs/>
          <w:color w:val="000000" w:themeColor="text1"/>
          <w:sz w:val="28"/>
          <w:szCs w:val="28"/>
          <w:lang w:val="pt-BR"/>
        </w:rPr>
        <w:t>Regionalism</w:t>
      </w:r>
      <w:r w:rsidR="00991356" w:rsidRPr="00517045">
        <w:rPr>
          <w:b/>
          <w:bCs/>
          <w:color w:val="000000" w:themeColor="text1"/>
          <w:sz w:val="28"/>
          <w:szCs w:val="28"/>
          <w:lang w:val="pt-BR"/>
        </w:rPr>
        <w:t>o</w:t>
      </w:r>
      <w:r w:rsidR="003872A8" w:rsidRPr="00517045">
        <w:rPr>
          <w:b/>
          <w:bCs/>
          <w:color w:val="000000" w:themeColor="text1"/>
          <w:sz w:val="28"/>
          <w:szCs w:val="28"/>
          <w:lang w:val="pt-BR"/>
        </w:rPr>
        <w:t xml:space="preserve"> </w:t>
      </w:r>
      <w:r w:rsidR="00991356" w:rsidRPr="00517045">
        <w:rPr>
          <w:b/>
          <w:bCs/>
          <w:color w:val="000000" w:themeColor="text1"/>
          <w:sz w:val="28"/>
          <w:szCs w:val="28"/>
          <w:lang w:val="pt-BR"/>
        </w:rPr>
        <w:t>e</w:t>
      </w:r>
      <w:r w:rsidR="003872A8" w:rsidRPr="00517045">
        <w:rPr>
          <w:b/>
          <w:bCs/>
          <w:color w:val="000000" w:themeColor="text1"/>
          <w:sz w:val="28"/>
          <w:szCs w:val="28"/>
          <w:lang w:val="pt-BR"/>
        </w:rPr>
        <w:t xml:space="preserve"> </w:t>
      </w:r>
      <w:r w:rsidR="00326139" w:rsidRPr="00517045">
        <w:rPr>
          <w:b/>
          <w:bCs/>
          <w:i/>
          <w:iCs/>
          <w:color w:val="000000" w:themeColor="text1"/>
          <w:sz w:val="28"/>
          <w:szCs w:val="28"/>
          <w:lang w:val="pt-BR"/>
        </w:rPr>
        <w:t>Jus Cogens</w:t>
      </w:r>
      <w:r w:rsidR="00326139" w:rsidRPr="00517045">
        <w:rPr>
          <w:b/>
          <w:bCs/>
          <w:color w:val="000000" w:themeColor="text1"/>
          <w:sz w:val="28"/>
          <w:szCs w:val="28"/>
          <w:lang w:val="pt-BR"/>
        </w:rPr>
        <w:t xml:space="preserve"> </w:t>
      </w:r>
      <w:r w:rsidR="00991356" w:rsidRPr="00517045">
        <w:rPr>
          <w:b/>
          <w:bCs/>
          <w:color w:val="000000" w:themeColor="text1"/>
          <w:sz w:val="28"/>
          <w:szCs w:val="28"/>
          <w:lang w:val="pt-BR"/>
        </w:rPr>
        <w:t>no</w:t>
      </w:r>
      <w:r w:rsidR="003872A8" w:rsidRPr="00517045">
        <w:rPr>
          <w:b/>
          <w:bCs/>
          <w:color w:val="000000" w:themeColor="text1"/>
          <w:sz w:val="28"/>
          <w:szCs w:val="28"/>
          <w:lang w:val="pt-BR"/>
        </w:rPr>
        <w:t xml:space="preserve"> </w:t>
      </w:r>
      <w:r w:rsidR="00991356" w:rsidRPr="00517045">
        <w:rPr>
          <w:b/>
          <w:bCs/>
          <w:color w:val="000000" w:themeColor="text1"/>
          <w:sz w:val="28"/>
          <w:szCs w:val="28"/>
          <w:lang w:val="pt-BR"/>
        </w:rPr>
        <w:t>Direito</w:t>
      </w:r>
      <w:r w:rsidR="003872A8" w:rsidRPr="00517045">
        <w:rPr>
          <w:b/>
          <w:bCs/>
          <w:color w:val="000000" w:themeColor="text1"/>
          <w:sz w:val="28"/>
          <w:szCs w:val="28"/>
          <w:lang w:val="pt-BR"/>
        </w:rPr>
        <w:t xml:space="preserve"> </w:t>
      </w:r>
      <w:r w:rsidR="00991356" w:rsidRPr="00517045">
        <w:rPr>
          <w:b/>
          <w:bCs/>
          <w:color w:val="000000" w:themeColor="text1"/>
          <w:sz w:val="28"/>
          <w:szCs w:val="28"/>
          <w:lang w:val="pt-BR"/>
        </w:rPr>
        <w:t>Internacional</w:t>
      </w:r>
    </w:p>
    <w:p w14:paraId="04DFE7DB" w14:textId="4615CF1F" w:rsidR="00A16180" w:rsidRPr="00517045" w:rsidRDefault="00F7441E">
      <w:pPr>
        <w:spacing w:line="360" w:lineRule="auto"/>
        <w:jc w:val="center"/>
        <w:rPr>
          <w:b/>
          <w:bCs/>
          <w:color w:val="000000" w:themeColor="text1"/>
          <w:sz w:val="28"/>
          <w:szCs w:val="28"/>
          <w:lang w:val="en-US"/>
        </w:rPr>
      </w:pPr>
      <w:r w:rsidRPr="00F7441E">
        <w:rPr>
          <w:b/>
          <w:bCs/>
          <w:i/>
          <w:iCs/>
          <w:color w:val="000000" w:themeColor="text1"/>
          <w:sz w:val="28"/>
          <w:szCs w:val="28"/>
          <w:lang w:val="en-US"/>
        </w:rPr>
        <w:t>Two irreconcilable ideas?</w:t>
      </w:r>
      <w:r>
        <w:rPr>
          <w:b/>
          <w:bCs/>
          <w:i/>
          <w:iCs/>
          <w:color w:val="000000" w:themeColor="text1"/>
          <w:sz w:val="28"/>
          <w:szCs w:val="28"/>
          <w:lang w:val="en-US"/>
        </w:rPr>
        <w:t xml:space="preserve"> </w:t>
      </w:r>
      <w:r w:rsidR="00A16180" w:rsidRPr="00517045">
        <w:rPr>
          <w:b/>
          <w:bCs/>
          <w:i/>
          <w:iCs/>
          <w:color w:val="000000" w:themeColor="text1"/>
          <w:sz w:val="28"/>
          <w:szCs w:val="28"/>
          <w:lang w:val="en-US"/>
        </w:rPr>
        <w:t xml:space="preserve">Regionalism </w:t>
      </w:r>
      <w:r w:rsidR="00A16180" w:rsidRPr="00517045">
        <w:rPr>
          <w:b/>
          <w:bCs/>
          <w:color w:val="000000" w:themeColor="text1"/>
          <w:sz w:val="28"/>
          <w:szCs w:val="28"/>
          <w:lang w:val="en-US"/>
        </w:rPr>
        <w:t xml:space="preserve">and Jus Cogens </w:t>
      </w:r>
      <w:r w:rsidR="00A16180" w:rsidRPr="00517045">
        <w:rPr>
          <w:b/>
          <w:bCs/>
          <w:i/>
          <w:iCs/>
          <w:color w:val="000000" w:themeColor="text1"/>
          <w:sz w:val="28"/>
          <w:szCs w:val="28"/>
          <w:lang w:val="en-US"/>
        </w:rPr>
        <w:t>in International Law</w:t>
      </w:r>
    </w:p>
    <w:p w14:paraId="008DFD2B" w14:textId="0270CEE5" w:rsidR="003A3B80" w:rsidRPr="00517045" w:rsidRDefault="003A3B80">
      <w:pPr>
        <w:spacing w:line="360" w:lineRule="auto"/>
        <w:jc w:val="center"/>
        <w:rPr>
          <w:b/>
          <w:bCs/>
          <w:color w:val="000000" w:themeColor="text1"/>
          <w:sz w:val="28"/>
          <w:szCs w:val="28"/>
          <w:lang w:val="en-US"/>
        </w:rPr>
      </w:pPr>
    </w:p>
    <w:p w14:paraId="3CBDCC0F" w14:textId="28F07753" w:rsidR="003A3B80" w:rsidRPr="00517045" w:rsidRDefault="003A3B80" w:rsidP="00206256">
      <w:pPr>
        <w:jc w:val="both"/>
        <w:rPr>
          <w:color w:val="000000" w:themeColor="text1"/>
          <w:sz w:val="20"/>
          <w:szCs w:val="20"/>
          <w:lang w:val="pt-BR"/>
        </w:rPr>
      </w:pPr>
      <w:r w:rsidRPr="00517045">
        <w:rPr>
          <w:b/>
          <w:bCs/>
          <w:color w:val="000000" w:themeColor="text1"/>
          <w:sz w:val="20"/>
          <w:szCs w:val="20"/>
          <w:lang w:val="pt-BR"/>
        </w:rPr>
        <w:t xml:space="preserve">Resumo: </w:t>
      </w:r>
      <w:r w:rsidRPr="00517045">
        <w:rPr>
          <w:color w:val="000000" w:themeColor="text1"/>
          <w:sz w:val="20"/>
          <w:szCs w:val="20"/>
          <w:lang w:val="pt-BR"/>
        </w:rPr>
        <w:t xml:space="preserve">A ideia de normas peremptórias de direito internacional perpassa o discurso jurídico internacionalista há pelo menos </w:t>
      </w:r>
      <w:r w:rsidR="00E80D93">
        <w:rPr>
          <w:color w:val="000000" w:themeColor="text1"/>
          <w:sz w:val="20"/>
          <w:szCs w:val="20"/>
          <w:lang w:val="pt-BR"/>
        </w:rPr>
        <w:t>seis</w:t>
      </w:r>
      <w:r w:rsidR="00E80D93" w:rsidRPr="00517045">
        <w:rPr>
          <w:color w:val="000000" w:themeColor="text1"/>
          <w:sz w:val="20"/>
          <w:szCs w:val="20"/>
          <w:lang w:val="pt-BR"/>
        </w:rPr>
        <w:t xml:space="preserve"> </w:t>
      </w:r>
      <w:r w:rsidRPr="00517045">
        <w:rPr>
          <w:color w:val="000000" w:themeColor="text1"/>
          <w:sz w:val="20"/>
          <w:szCs w:val="20"/>
          <w:lang w:val="pt-BR"/>
        </w:rPr>
        <w:t xml:space="preserve">décadas. No entanto, sua matriz universalista se fragmentou em abordagens e compreensões regionais. Em paralelo, sistemas regionais passaram a reconhecer normas específicas como parte do </w:t>
      </w:r>
      <w:r w:rsidRPr="00517045">
        <w:rPr>
          <w:i/>
          <w:iCs/>
          <w:color w:val="000000" w:themeColor="text1"/>
          <w:sz w:val="20"/>
          <w:szCs w:val="20"/>
          <w:lang w:val="pt-BR"/>
        </w:rPr>
        <w:t>jus cogens</w:t>
      </w:r>
      <w:r w:rsidRPr="00517045">
        <w:rPr>
          <w:color w:val="000000" w:themeColor="text1"/>
          <w:sz w:val="20"/>
          <w:szCs w:val="20"/>
          <w:lang w:val="pt-BR"/>
        </w:rPr>
        <w:t xml:space="preserve"> a nível regional, afastando o pressuposto de universalidade. Nesse artigo, a regionalização do </w:t>
      </w:r>
      <w:r w:rsidRPr="00517045">
        <w:rPr>
          <w:i/>
          <w:iCs/>
          <w:color w:val="000000" w:themeColor="text1"/>
          <w:sz w:val="20"/>
          <w:szCs w:val="20"/>
          <w:lang w:val="pt-BR"/>
        </w:rPr>
        <w:t>jus cogens</w:t>
      </w:r>
      <w:r w:rsidRPr="00517045">
        <w:rPr>
          <w:color w:val="000000" w:themeColor="text1"/>
          <w:sz w:val="20"/>
          <w:szCs w:val="20"/>
          <w:lang w:val="pt-BR"/>
        </w:rPr>
        <w:t xml:space="preserve"> é investigada a partir dessas duas perspectivas, com fundamento na prática de codificação pela Comissão de Direito Internacional (CDI) e na prática estatal. </w:t>
      </w:r>
      <w:r w:rsidR="00A16180" w:rsidRPr="00517045">
        <w:rPr>
          <w:color w:val="000000" w:themeColor="text1"/>
          <w:sz w:val="20"/>
          <w:szCs w:val="20"/>
          <w:lang w:val="pt-BR"/>
        </w:rPr>
        <w:t xml:space="preserve">Seu objetivo é compreender o entrelaçamento entre o conceito de regionalismo e o desenvolvimento de normas de jus cogens enquanto fontes de direito internacional. </w:t>
      </w:r>
      <w:r w:rsidRPr="00517045">
        <w:rPr>
          <w:color w:val="000000" w:themeColor="text1"/>
          <w:sz w:val="20"/>
          <w:szCs w:val="20"/>
          <w:lang w:val="pt-BR"/>
        </w:rPr>
        <w:t xml:space="preserve">Além disso, as abordagens regionais sobre o </w:t>
      </w:r>
      <w:r w:rsidRPr="00517045">
        <w:rPr>
          <w:i/>
          <w:iCs/>
          <w:color w:val="000000" w:themeColor="text1"/>
          <w:sz w:val="20"/>
          <w:szCs w:val="20"/>
          <w:lang w:val="pt-BR"/>
        </w:rPr>
        <w:t>jus cogens</w:t>
      </w:r>
      <w:r w:rsidRPr="00517045">
        <w:rPr>
          <w:color w:val="000000" w:themeColor="text1"/>
          <w:sz w:val="20"/>
          <w:szCs w:val="20"/>
          <w:lang w:val="pt-BR"/>
        </w:rPr>
        <w:t xml:space="preserve"> são analisadas mediante a análise do uso da peremptoriedade pela Corte Interamericana de Direitos Humanos (CtIDH), sublinhando a tendência do tribunal à universalidade e algumas dificuldades apresentadas pela noção de </w:t>
      </w:r>
      <w:r w:rsidRPr="00517045">
        <w:rPr>
          <w:i/>
          <w:iCs/>
          <w:color w:val="000000" w:themeColor="text1"/>
          <w:sz w:val="20"/>
          <w:szCs w:val="20"/>
          <w:lang w:val="pt-BR"/>
        </w:rPr>
        <w:t>jus cogens</w:t>
      </w:r>
      <w:r w:rsidRPr="00517045">
        <w:rPr>
          <w:color w:val="000000" w:themeColor="text1"/>
          <w:sz w:val="20"/>
          <w:szCs w:val="20"/>
          <w:lang w:val="pt-BR"/>
        </w:rPr>
        <w:t xml:space="preserve"> </w:t>
      </w:r>
      <w:r w:rsidR="0013423B" w:rsidRPr="00517045">
        <w:rPr>
          <w:color w:val="000000" w:themeColor="text1"/>
          <w:sz w:val="20"/>
          <w:szCs w:val="20"/>
          <w:lang w:val="pt-BR"/>
        </w:rPr>
        <w:t xml:space="preserve">diante da função judicial da CtIDH. </w:t>
      </w:r>
      <w:r w:rsidR="00A16180" w:rsidRPr="00517045">
        <w:rPr>
          <w:color w:val="000000" w:themeColor="text1"/>
          <w:sz w:val="20"/>
          <w:szCs w:val="20"/>
          <w:lang w:val="pt-BR"/>
        </w:rPr>
        <w:t xml:space="preserve">O estudo prova-se original diante da dupla-conceituação entre regionalismo e produção normativa de normas peremptórias: seja pelo diálogo interpretativo entre normas de </w:t>
      </w:r>
      <w:r w:rsidR="00A16180" w:rsidRPr="00517045">
        <w:rPr>
          <w:i/>
          <w:iCs/>
          <w:color w:val="000000" w:themeColor="text1"/>
          <w:sz w:val="20"/>
          <w:szCs w:val="20"/>
          <w:lang w:val="pt-BR"/>
        </w:rPr>
        <w:t>jus cogens</w:t>
      </w:r>
      <w:r w:rsidR="00A16180" w:rsidRPr="00517045">
        <w:rPr>
          <w:color w:val="000000" w:themeColor="text1"/>
          <w:sz w:val="20"/>
          <w:szCs w:val="20"/>
          <w:lang w:val="pt-BR"/>
        </w:rPr>
        <w:t xml:space="preserve"> universais e órgãos regionais, como a Corte Interamericana; seja pelo papel ativo na produção de </w:t>
      </w:r>
      <w:r w:rsidR="00404AA3" w:rsidRPr="00517045">
        <w:rPr>
          <w:color w:val="000000" w:themeColor="text1"/>
          <w:sz w:val="20"/>
          <w:szCs w:val="20"/>
          <w:lang w:val="pt-BR"/>
        </w:rPr>
        <w:t xml:space="preserve">supostas </w:t>
      </w:r>
      <w:r w:rsidR="00A16180" w:rsidRPr="00517045">
        <w:rPr>
          <w:color w:val="000000" w:themeColor="text1"/>
          <w:sz w:val="20"/>
          <w:szCs w:val="20"/>
          <w:lang w:val="pt-BR"/>
        </w:rPr>
        <w:t>normas peremptórias</w:t>
      </w:r>
      <w:r w:rsidR="00404AA3" w:rsidRPr="00517045">
        <w:rPr>
          <w:color w:val="000000" w:themeColor="text1"/>
          <w:sz w:val="20"/>
          <w:szCs w:val="20"/>
          <w:lang w:val="pt-BR"/>
        </w:rPr>
        <w:t xml:space="preserve"> regionais</w:t>
      </w:r>
      <w:r w:rsidR="00A16180" w:rsidRPr="00517045">
        <w:rPr>
          <w:color w:val="000000" w:themeColor="text1"/>
          <w:sz w:val="20"/>
          <w:szCs w:val="20"/>
          <w:lang w:val="pt-BR"/>
        </w:rPr>
        <w:t xml:space="preserve"> destes mesmos órgãos.</w:t>
      </w:r>
      <w:r w:rsidR="00E80D93">
        <w:rPr>
          <w:color w:val="000000" w:themeColor="text1"/>
          <w:sz w:val="20"/>
          <w:szCs w:val="20"/>
          <w:lang w:val="pt-BR"/>
        </w:rPr>
        <w:t xml:space="preserve"> Ao metodologicamente analisar os trabalhos da Comissão de Direito Internacional e a jurisprudência da Corte Interamericana a respeito, </w:t>
      </w:r>
      <w:r w:rsidR="00E80D93">
        <w:rPr>
          <w:color w:val="353535"/>
          <w:sz w:val="20"/>
          <w:szCs w:val="20"/>
          <w:lang w:val="pt-BR" w:eastAsia="en-US"/>
        </w:rPr>
        <w:t>o</w:t>
      </w:r>
      <w:r w:rsidR="00A16180" w:rsidRPr="00517045">
        <w:rPr>
          <w:color w:val="353535"/>
          <w:sz w:val="20"/>
          <w:szCs w:val="20"/>
          <w:lang w:val="pt-BR" w:eastAsia="en-US"/>
        </w:rPr>
        <w:t xml:space="preserve"> trabalho </w:t>
      </w:r>
      <w:r w:rsidR="00E80D93">
        <w:rPr>
          <w:color w:val="353535"/>
          <w:sz w:val="20"/>
          <w:szCs w:val="20"/>
          <w:lang w:val="pt-BR" w:eastAsia="en-US"/>
        </w:rPr>
        <w:t>sustenta</w:t>
      </w:r>
      <w:r w:rsidR="00E80D93" w:rsidRPr="00517045">
        <w:rPr>
          <w:color w:val="353535"/>
          <w:sz w:val="20"/>
          <w:szCs w:val="20"/>
          <w:lang w:val="pt-BR" w:eastAsia="en-US"/>
        </w:rPr>
        <w:t xml:space="preserve"> </w:t>
      </w:r>
      <w:r w:rsidR="00A16180" w:rsidRPr="00517045">
        <w:rPr>
          <w:color w:val="353535"/>
          <w:sz w:val="20"/>
          <w:szCs w:val="20"/>
          <w:lang w:val="pt-BR" w:eastAsia="en-US"/>
        </w:rPr>
        <w:t>que, embora a ideia de universalidade esteja profundamente enraizada na própria noção de normas peremptórias, a interpretação da ideia de peremptoriedade é essencialmente matizada pelas necessidades locais — especialmente no Sistema Interamericano.</w:t>
      </w:r>
    </w:p>
    <w:p w14:paraId="1149FD62" w14:textId="77777777" w:rsidR="003A3B80" w:rsidRPr="00517045" w:rsidRDefault="003A3B80" w:rsidP="00517045">
      <w:pPr>
        <w:jc w:val="both"/>
        <w:rPr>
          <w:b/>
          <w:bCs/>
          <w:color w:val="000000" w:themeColor="text1"/>
          <w:sz w:val="20"/>
          <w:szCs w:val="20"/>
          <w:lang w:val="pt-BR"/>
        </w:rPr>
      </w:pPr>
    </w:p>
    <w:p w14:paraId="49BE28B1" w14:textId="490341CB" w:rsidR="00621170" w:rsidRPr="00F12A13" w:rsidRDefault="003A3B80" w:rsidP="00517045">
      <w:pPr>
        <w:spacing w:line="360" w:lineRule="auto"/>
        <w:jc w:val="both"/>
        <w:rPr>
          <w:color w:val="000000" w:themeColor="text1"/>
          <w:sz w:val="20"/>
          <w:szCs w:val="20"/>
          <w:lang w:val="pt-BR"/>
        </w:rPr>
      </w:pPr>
      <w:r w:rsidRPr="00517045">
        <w:rPr>
          <w:b/>
          <w:bCs/>
          <w:color w:val="000000" w:themeColor="text1"/>
          <w:sz w:val="20"/>
          <w:szCs w:val="20"/>
          <w:lang w:val="pt-BR"/>
        </w:rPr>
        <w:t>Palavras-chave:</w:t>
      </w:r>
      <w:r w:rsidR="0013423B" w:rsidRPr="00517045">
        <w:rPr>
          <w:b/>
          <w:bCs/>
          <w:color w:val="000000" w:themeColor="text1"/>
          <w:sz w:val="20"/>
          <w:szCs w:val="20"/>
          <w:lang w:val="pt-BR"/>
        </w:rPr>
        <w:t xml:space="preserve"> </w:t>
      </w:r>
      <w:r w:rsidR="0013423B" w:rsidRPr="00517045">
        <w:rPr>
          <w:i/>
          <w:iCs/>
          <w:color w:val="000000" w:themeColor="text1"/>
          <w:sz w:val="20"/>
          <w:szCs w:val="20"/>
          <w:lang w:val="pt-BR"/>
        </w:rPr>
        <w:t>Jus Cogens</w:t>
      </w:r>
      <w:r w:rsidR="0013423B" w:rsidRPr="00517045">
        <w:rPr>
          <w:color w:val="000000" w:themeColor="text1"/>
          <w:sz w:val="20"/>
          <w:szCs w:val="20"/>
          <w:lang w:val="pt-BR"/>
        </w:rPr>
        <w:t>; regionalismo; universalismo; Corte Interamericana de Direitos Humanos;</w:t>
      </w:r>
    </w:p>
    <w:p w14:paraId="007848CB" w14:textId="77777777" w:rsidR="00231AEE" w:rsidRPr="005045EA" w:rsidRDefault="00231AEE" w:rsidP="00517045">
      <w:pPr>
        <w:pStyle w:val="ListParagraph"/>
        <w:spacing w:line="276" w:lineRule="auto"/>
        <w:jc w:val="both"/>
        <w:rPr>
          <w:lang w:val="pt-BR"/>
        </w:rPr>
      </w:pPr>
    </w:p>
    <w:p w14:paraId="4D944663" w14:textId="36D82F8B" w:rsidR="00E1707F" w:rsidRPr="00517045" w:rsidRDefault="00DF7943" w:rsidP="00517045">
      <w:pPr>
        <w:pStyle w:val="Texto"/>
        <w:numPr>
          <w:ilvl w:val="0"/>
          <w:numId w:val="30"/>
        </w:numPr>
        <w:rPr>
          <w:rFonts w:ascii="Times New Roman" w:hAnsi="Times New Roman"/>
          <w:b/>
          <w:bCs/>
          <w:color w:val="000000" w:themeColor="text1"/>
        </w:rPr>
      </w:pPr>
      <w:r w:rsidRPr="00517045">
        <w:rPr>
          <w:rFonts w:ascii="Times New Roman" w:hAnsi="Times New Roman"/>
          <w:b/>
          <w:bCs/>
          <w:color w:val="000000" w:themeColor="text1"/>
        </w:rPr>
        <w:t>Introdução</w:t>
      </w:r>
    </w:p>
    <w:p w14:paraId="369EE9C2" w14:textId="77777777" w:rsidR="00DF7943" w:rsidRPr="00517045" w:rsidRDefault="00DF7943">
      <w:pPr>
        <w:pStyle w:val="Texto"/>
        <w:rPr>
          <w:rFonts w:ascii="Times New Roman" w:hAnsi="Times New Roman"/>
          <w:color w:val="000000" w:themeColor="text1"/>
        </w:rPr>
      </w:pPr>
    </w:p>
    <w:p w14:paraId="4DE4C2A6" w14:textId="455E04E3" w:rsidR="00DF7943" w:rsidRPr="00517045" w:rsidRDefault="00DF7943">
      <w:pPr>
        <w:pStyle w:val="Texto"/>
        <w:rPr>
          <w:rFonts w:ascii="Times New Roman" w:hAnsi="Times New Roman"/>
          <w:color w:val="000000" w:themeColor="text1"/>
          <w:lang w:val="pt-BR"/>
        </w:rPr>
      </w:pPr>
      <w:r w:rsidRPr="00517045">
        <w:rPr>
          <w:rFonts w:ascii="Times New Roman" w:hAnsi="Times New Roman"/>
          <w:color w:val="000000" w:themeColor="text1"/>
          <w:lang w:val="pt-BR"/>
        </w:rPr>
        <w:t>Os últimos anos testemunharam um interesse renovado em direção às normas peremptórias de Direito Internacional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no discurso jurídico internacionalista. Os trabalhos </w:t>
      </w:r>
      <w:r w:rsidR="00621170">
        <w:rPr>
          <w:rFonts w:ascii="Times New Roman" w:hAnsi="Times New Roman"/>
          <w:color w:val="000000" w:themeColor="text1"/>
          <w:lang w:val="pt-BR"/>
        </w:rPr>
        <w:t>recentes</w:t>
      </w:r>
      <w:r w:rsidRPr="00517045">
        <w:rPr>
          <w:rFonts w:ascii="Times New Roman" w:hAnsi="Times New Roman"/>
          <w:color w:val="000000" w:themeColor="text1"/>
          <w:lang w:val="pt-BR"/>
        </w:rPr>
        <w:t xml:space="preserve"> da Comissão de Direito Internacional (CDI ou Comissão) sobre o tema</w:t>
      </w:r>
      <w:r w:rsidR="00621170">
        <w:rPr>
          <w:rFonts w:ascii="Times New Roman" w:hAnsi="Times New Roman"/>
          <w:color w:val="000000" w:themeColor="text1"/>
          <w:lang w:val="pt-BR"/>
        </w:rPr>
        <w:t>,</w:t>
      </w:r>
      <w:r w:rsidRPr="00517045">
        <w:rPr>
          <w:rStyle w:val="FootnoteReference"/>
          <w:rFonts w:ascii="Times New Roman" w:hAnsi="Times New Roman"/>
          <w:color w:val="000000" w:themeColor="text1"/>
        </w:rPr>
        <w:footnoteReference w:id="1"/>
      </w:r>
      <w:r w:rsidRPr="00517045">
        <w:rPr>
          <w:rFonts w:ascii="Times New Roman" w:hAnsi="Times New Roman"/>
          <w:color w:val="000000" w:themeColor="text1"/>
          <w:lang w:val="pt-BR"/>
        </w:rPr>
        <w:t xml:space="preserve"> fomentados pela relevância crescente de tais normas na jurisprudência de cortes internacionais e domésticas, estão renovando o debate sobre o escopo, a natureza e o conteúdo das normas peremptórias</w:t>
      </w:r>
      <w:r w:rsidR="00621170">
        <w:rPr>
          <w:rFonts w:ascii="Times New Roman" w:hAnsi="Times New Roman"/>
          <w:color w:val="000000" w:themeColor="text1"/>
          <w:lang w:val="pt-BR"/>
        </w:rPr>
        <w:t>.</w:t>
      </w:r>
      <w:r w:rsidRPr="00517045">
        <w:rPr>
          <w:rStyle w:val="FootnoteReference"/>
          <w:rFonts w:ascii="Times New Roman" w:hAnsi="Times New Roman"/>
          <w:color w:val="000000" w:themeColor="text1"/>
        </w:rPr>
        <w:footnoteReference w:id="2"/>
      </w:r>
      <w:r w:rsidRPr="00517045">
        <w:rPr>
          <w:rFonts w:ascii="Times New Roman" w:hAnsi="Times New Roman"/>
          <w:color w:val="000000" w:themeColor="text1"/>
          <w:lang w:val="pt-BR"/>
        </w:rPr>
        <w:t xml:space="preserve"> Na contramão deste cenário, menos atenção vem </w:t>
      </w:r>
      <w:r w:rsidRPr="00517045">
        <w:rPr>
          <w:rFonts w:ascii="Times New Roman" w:hAnsi="Times New Roman"/>
          <w:color w:val="000000" w:themeColor="text1"/>
          <w:lang w:val="pt-BR"/>
        </w:rPr>
        <w:lastRenderedPageBreak/>
        <w:t xml:space="preserve">sendo dirigida às relações possíveis entre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o regionalismo, bem como às implicações jurídicas e políticas as quais tais relações podem ter no plano internacional. </w:t>
      </w:r>
    </w:p>
    <w:p w14:paraId="41DEED8B" w14:textId="6CD655B2" w:rsidR="00DF7943" w:rsidRPr="00517045" w:rsidRDefault="00DF7943">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Não há dúvida que, ao menos à primeira vista, a justaposição </w:t>
      </w:r>
      <w:r w:rsidR="00621170">
        <w:rPr>
          <w:rFonts w:ascii="Times New Roman" w:hAnsi="Times New Roman"/>
          <w:color w:val="000000" w:themeColor="text1"/>
          <w:lang w:val="pt-BR"/>
        </w:rPr>
        <w:t>das duas ideias (</w:t>
      </w:r>
      <w:r w:rsidRPr="00517045">
        <w:rPr>
          <w:rFonts w:ascii="Times New Roman" w:hAnsi="Times New Roman"/>
          <w:color w:val="000000" w:themeColor="text1"/>
          <w:lang w:val="pt-BR"/>
        </w:rPr>
        <w:t>regionalismo e peremptoriedade</w:t>
      </w:r>
      <w:r w:rsidR="00621170">
        <w:rPr>
          <w:rFonts w:ascii="Times New Roman" w:hAnsi="Times New Roman"/>
          <w:color w:val="000000" w:themeColor="text1"/>
          <w:lang w:val="pt-BR"/>
        </w:rPr>
        <w:t>)</w:t>
      </w:r>
      <w:r w:rsidRPr="00517045">
        <w:rPr>
          <w:rFonts w:ascii="Times New Roman" w:hAnsi="Times New Roman"/>
          <w:color w:val="000000" w:themeColor="text1"/>
          <w:lang w:val="pt-BR"/>
        </w:rPr>
        <w:t xml:space="preserve"> deve parecer contra intuitiv</w:t>
      </w:r>
      <w:r w:rsidR="003858F4"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no Direito Internacional. </w:t>
      </w:r>
      <w:r w:rsidR="003858F4" w:rsidRPr="00517045">
        <w:rPr>
          <w:rFonts w:ascii="Times New Roman" w:hAnsi="Times New Roman"/>
          <w:color w:val="000000" w:themeColor="text1"/>
          <w:lang w:val="pt-BR"/>
        </w:rPr>
        <w:t xml:space="preserve">Se for levada em conta, como ponto de partida, a definição de normas peremptórias incluída no Art. 53 da Convenção de Viena sobre Direito dos Tratados de 1969 (CVDT), o qual se refere a normas “aceitas e reconhecidas pela comunidade internacional de Estados como um todo como normas das quais nenhuma derrogação é permitida”, parece haver pouco espaço para qualquer perspectiva regional nesse contexto. O teor universalista que perpassa a ideia de </w:t>
      </w:r>
      <w:r w:rsidR="003858F4" w:rsidRPr="00517045">
        <w:rPr>
          <w:rFonts w:ascii="Times New Roman" w:hAnsi="Times New Roman"/>
          <w:i/>
          <w:iCs/>
          <w:color w:val="000000" w:themeColor="text1"/>
          <w:lang w:val="pt-BR"/>
        </w:rPr>
        <w:t>jus cogens</w:t>
      </w:r>
      <w:r w:rsidR="003858F4" w:rsidRPr="00517045">
        <w:rPr>
          <w:rFonts w:ascii="Times New Roman" w:hAnsi="Times New Roman"/>
          <w:color w:val="000000" w:themeColor="text1"/>
          <w:lang w:val="pt-BR"/>
        </w:rPr>
        <w:t xml:space="preserve"> por muito tempo influenciou as elaborações judiciais e acadêmicas. Não está totalmente claro, todavia, se e por que falar de “</w:t>
      </w:r>
      <w:r w:rsidR="003858F4" w:rsidRPr="00517045">
        <w:rPr>
          <w:rFonts w:ascii="Times New Roman" w:hAnsi="Times New Roman"/>
          <w:i/>
          <w:iCs/>
          <w:color w:val="000000" w:themeColor="text1"/>
          <w:lang w:val="pt-BR"/>
        </w:rPr>
        <w:t>jus cogens</w:t>
      </w:r>
      <w:r w:rsidR="003858F4" w:rsidRPr="00517045">
        <w:rPr>
          <w:rFonts w:ascii="Times New Roman" w:hAnsi="Times New Roman"/>
          <w:color w:val="000000" w:themeColor="text1"/>
          <w:lang w:val="pt-BR"/>
        </w:rPr>
        <w:t xml:space="preserve"> regional” hoje trata-se de algo controverso na perspectiva dos Estados e da CDI, assim como se</w:t>
      </w:r>
      <w:r w:rsidR="00140A30" w:rsidRPr="00517045">
        <w:rPr>
          <w:rFonts w:ascii="Times New Roman" w:hAnsi="Times New Roman"/>
          <w:color w:val="000000" w:themeColor="text1"/>
          <w:lang w:val="pt-BR"/>
        </w:rPr>
        <w:t xml:space="preserve"> as</w:t>
      </w:r>
      <w:r w:rsidR="003858F4" w:rsidRPr="00517045">
        <w:rPr>
          <w:rFonts w:ascii="Times New Roman" w:hAnsi="Times New Roman"/>
          <w:color w:val="000000" w:themeColor="text1"/>
          <w:lang w:val="pt-BR"/>
        </w:rPr>
        <w:t xml:space="preserve"> “abordagens regionais ao </w:t>
      </w:r>
      <w:r w:rsidR="003858F4" w:rsidRPr="00517045">
        <w:rPr>
          <w:rFonts w:ascii="Times New Roman" w:hAnsi="Times New Roman"/>
          <w:i/>
          <w:iCs/>
          <w:color w:val="000000" w:themeColor="text1"/>
          <w:lang w:val="pt-BR"/>
        </w:rPr>
        <w:t>jus cogens</w:t>
      </w:r>
      <w:r w:rsidR="003858F4" w:rsidRPr="00517045">
        <w:rPr>
          <w:rFonts w:ascii="Times New Roman" w:hAnsi="Times New Roman"/>
          <w:color w:val="000000" w:themeColor="text1"/>
          <w:lang w:val="pt-BR"/>
        </w:rPr>
        <w:t>” tem algum papel na definição d</w:t>
      </w:r>
      <w:r w:rsidR="00140A30" w:rsidRPr="00517045">
        <w:rPr>
          <w:rFonts w:ascii="Times New Roman" w:hAnsi="Times New Roman"/>
          <w:color w:val="000000" w:themeColor="text1"/>
          <w:lang w:val="pt-BR"/>
        </w:rPr>
        <w:t>as</w:t>
      </w:r>
      <w:r w:rsidR="003858F4" w:rsidRPr="00517045">
        <w:rPr>
          <w:rFonts w:ascii="Times New Roman" w:hAnsi="Times New Roman"/>
          <w:color w:val="000000" w:themeColor="text1"/>
          <w:lang w:val="pt-BR"/>
        </w:rPr>
        <w:t xml:space="preserve"> relações entre peremptoriedade e regionalismo no Direito Internacional. </w:t>
      </w:r>
      <w:r w:rsidR="00140A30" w:rsidRPr="00517045">
        <w:rPr>
          <w:rFonts w:ascii="Times New Roman" w:hAnsi="Times New Roman"/>
          <w:color w:val="000000" w:themeColor="text1"/>
          <w:lang w:val="pt-BR"/>
        </w:rPr>
        <w:t xml:space="preserve">Tais </w:t>
      </w:r>
      <w:r w:rsidR="003858F4" w:rsidRPr="00517045">
        <w:rPr>
          <w:rFonts w:ascii="Times New Roman" w:hAnsi="Times New Roman"/>
          <w:color w:val="000000" w:themeColor="text1"/>
          <w:lang w:val="pt-BR"/>
        </w:rPr>
        <w:t xml:space="preserve">conceitos – </w:t>
      </w:r>
      <w:r w:rsidR="003858F4" w:rsidRPr="00517045">
        <w:rPr>
          <w:rFonts w:ascii="Times New Roman" w:hAnsi="Times New Roman"/>
          <w:i/>
          <w:iCs/>
          <w:color w:val="000000" w:themeColor="text1"/>
          <w:lang w:val="pt-BR"/>
        </w:rPr>
        <w:t>jus cogens</w:t>
      </w:r>
      <w:r w:rsidR="003858F4" w:rsidRPr="00517045">
        <w:rPr>
          <w:rFonts w:ascii="Times New Roman" w:hAnsi="Times New Roman"/>
          <w:color w:val="000000" w:themeColor="text1"/>
          <w:lang w:val="pt-BR"/>
        </w:rPr>
        <w:t xml:space="preserve"> regional e abordagens regionais ao </w:t>
      </w:r>
      <w:r w:rsidR="003858F4" w:rsidRPr="00517045">
        <w:rPr>
          <w:rFonts w:ascii="Times New Roman" w:hAnsi="Times New Roman"/>
          <w:i/>
          <w:iCs/>
          <w:color w:val="000000" w:themeColor="text1"/>
          <w:lang w:val="pt-BR"/>
        </w:rPr>
        <w:t>jus cogens</w:t>
      </w:r>
      <w:r w:rsidR="003858F4" w:rsidRPr="00517045">
        <w:rPr>
          <w:rFonts w:ascii="Times New Roman" w:hAnsi="Times New Roman"/>
          <w:color w:val="000000" w:themeColor="text1"/>
          <w:lang w:val="pt-BR"/>
        </w:rPr>
        <w:t xml:space="preserve"> – expressam duas formas de </w:t>
      </w:r>
      <w:r w:rsidR="00140A30" w:rsidRPr="00517045">
        <w:rPr>
          <w:rFonts w:ascii="Times New Roman" w:hAnsi="Times New Roman"/>
          <w:color w:val="000000" w:themeColor="text1"/>
          <w:lang w:val="pt-BR"/>
        </w:rPr>
        <w:t xml:space="preserve">se encarar </w:t>
      </w:r>
      <w:r w:rsidR="003858F4" w:rsidRPr="00517045">
        <w:rPr>
          <w:rFonts w:ascii="Times New Roman" w:hAnsi="Times New Roman"/>
          <w:color w:val="000000" w:themeColor="text1"/>
          <w:lang w:val="pt-BR"/>
        </w:rPr>
        <w:t xml:space="preserve">às relações entre regionalismo e peremptoriedade. </w:t>
      </w:r>
      <w:r w:rsidR="009438BF" w:rsidRPr="00517045">
        <w:rPr>
          <w:rFonts w:ascii="Times New Roman" w:hAnsi="Times New Roman"/>
          <w:color w:val="000000" w:themeColor="text1"/>
          <w:lang w:val="pt-BR"/>
        </w:rPr>
        <w:t xml:space="preserve">O </w:t>
      </w:r>
      <w:r w:rsidR="009438BF" w:rsidRPr="00517045">
        <w:rPr>
          <w:rFonts w:ascii="Times New Roman" w:hAnsi="Times New Roman"/>
          <w:i/>
          <w:iCs/>
          <w:color w:val="000000" w:themeColor="text1"/>
          <w:lang w:val="pt-BR"/>
        </w:rPr>
        <w:t>jus cogens</w:t>
      </w:r>
      <w:r w:rsidR="009438BF" w:rsidRPr="00517045">
        <w:rPr>
          <w:rFonts w:ascii="Times New Roman" w:hAnsi="Times New Roman"/>
          <w:color w:val="000000" w:themeColor="text1"/>
          <w:lang w:val="pt-BR"/>
        </w:rPr>
        <w:t xml:space="preserve"> regional se refere à possibilidade de que uma norma peremptória tenha um caráter regional, de modo a se afastar do escopo universal normalmente atrelad</w:t>
      </w:r>
      <w:r w:rsidR="00140A30" w:rsidRPr="00517045">
        <w:rPr>
          <w:rFonts w:ascii="Times New Roman" w:hAnsi="Times New Roman"/>
          <w:color w:val="000000" w:themeColor="text1"/>
          <w:lang w:val="pt-BR"/>
        </w:rPr>
        <w:t>o</w:t>
      </w:r>
      <w:r w:rsidR="009438BF" w:rsidRPr="00517045">
        <w:rPr>
          <w:rFonts w:ascii="Times New Roman" w:hAnsi="Times New Roman"/>
          <w:color w:val="000000" w:themeColor="text1"/>
          <w:lang w:val="pt-BR"/>
        </w:rPr>
        <w:t xml:space="preserve"> à noção de </w:t>
      </w:r>
      <w:r w:rsidR="009438BF" w:rsidRPr="00517045">
        <w:rPr>
          <w:rFonts w:ascii="Times New Roman" w:hAnsi="Times New Roman"/>
          <w:i/>
          <w:iCs/>
          <w:color w:val="000000" w:themeColor="text1"/>
          <w:lang w:val="pt-BR"/>
        </w:rPr>
        <w:t>jus cogens</w:t>
      </w:r>
      <w:r w:rsidR="009438BF" w:rsidRPr="00517045">
        <w:rPr>
          <w:rFonts w:ascii="Times New Roman" w:hAnsi="Times New Roman"/>
          <w:color w:val="000000" w:themeColor="text1"/>
          <w:lang w:val="pt-BR"/>
        </w:rPr>
        <w:t xml:space="preserve">. Por outro lado, as abordagens regionais ao </w:t>
      </w:r>
      <w:r w:rsidR="009438BF" w:rsidRPr="00517045">
        <w:rPr>
          <w:rFonts w:ascii="Times New Roman" w:hAnsi="Times New Roman"/>
          <w:i/>
          <w:iCs/>
          <w:color w:val="000000" w:themeColor="text1"/>
          <w:lang w:val="pt-BR"/>
        </w:rPr>
        <w:t>jus cogens</w:t>
      </w:r>
      <w:r w:rsidR="009438BF" w:rsidRPr="00517045">
        <w:rPr>
          <w:rFonts w:ascii="Times New Roman" w:hAnsi="Times New Roman"/>
          <w:color w:val="000000" w:themeColor="text1"/>
          <w:lang w:val="pt-BR"/>
        </w:rPr>
        <w:t xml:space="preserve"> dizem respeito à atitude adotada por atores regionais, e particularmente por cortes internacionais regionais como a Corte Europeia de Direitos Humanos (CtEDH), e a Corte Interamericana de Direitos Humanos (CtIDH),</w:t>
      </w:r>
      <w:r w:rsidR="00140A30" w:rsidRPr="00517045">
        <w:rPr>
          <w:rFonts w:ascii="Times New Roman" w:hAnsi="Times New Roman"/>
          <w:color w:val="000000" w:themeColor="text1"/>
          <w:lang w:val="pt-BR"/>
        </w:rPr>
        <w:t xml:space="preserve"> p</w:t>
      </w:r>
      <w:r w:rsidR="009438BF" w:rsidRPr="00517045">
        <w:rPr>
          <w:rFonts w:ascii="Times New Roman" w:hAnsi="Times New Roman"/>
          <w:color w:val="000000" w:themeColor="text1"/>
          <w:lang w:val="pt-BR"/>
        </w:rPr>
        <w:t xml:space="preserve">ara a identificação de normas de </w:t>
      </w:r>
      <w:r w:rsidR="009438BF" w:rsidRPr="00517045">
        <w:rPr>
          <w:rFonts w:ascii="Times New Roman" w:hAnsi="Times New Roman"/>
          <w:i/>
          <w:iCs/>
          <w:color w:val="000000" w:themeColor="text1"/>
          <w:lang w:val="pt-BR"/>
        </w:rPr>
        <w:t>jus cogens</w:t>
      </w:r>
      <w:r w:rsidR="009438BF" w:rsidRPr="00517045">
        <w:rPr>
          <w:rFonts w:ascii="Times New Roman" w:hAnsi="Times New Roman"/>
          <w:color w:val="000000" w:themeColor="text1"/>
          <w:lang w:val="pt-BR"/>
        </w:rPr>
        <w:t xml:space="preserve"> tal qual tradicionalmente concebidas. </w:t>
      </w:r>
    </w:p>
    <w:p w14:paraId="14295055" w14:textId="59592936" w:rsidR="00DF7943" w:rsidRPr="00517045" w:rsidRDefault="009438BF">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Este artigo se volta a estas duas perspectivas regionais do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xml:space="preserve">tendo em vista </w:t>
      </w:r>
      <w:r w:rsidR="00140A30"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discussão sobre como as relações entre peremptoriedade e regionalismo são percebidas no debate corrente</w:t>
      </w:r>
      <w:r w:rsidR="00517045">
        <w:rPr>
          <w:rFonts w:ascii="Times New Roman" w:hAnsi="Times New Roman"/>
          <w:color w:val="000000" w:themeColor="text1"/>
          <w:lang w:val="pt-BR"/>
        </w:rPr>
        <w:t xml:space="preserve">. </w:t>
      </w:r>
      <w:r w:rsidRPr="00517045">
        <w:rPr>
          <w:rFonts w:ascii="Times New Roman" w:hAnsi="Times New Roman"/>
          <w:color w:val="000000" w:themeColor="text1"/>
          <w:lang w:val="pt-BR"/>
        </w:rPr>
        <w:t xml:space="preserve">Se as duas perspectivas expressam diferentes maneiras de se considerar essas relações, este artigo visa, em última instância, demonstrar que ambas estão de algum modo interconectadas: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deve </w:t>
      </w:r>
      <w:r w:rsidR="00140A30" w:rsidRPr="00517045">
        <w:rPr>
          <w:rFonts w:ascii="Times New Roman" w:hAnsi="Times New Roman"/>
          <w:color w:val="000000" w:themeColor="text1"/>
          <w:lang w:val="pt-BR"/>
        </w:rPr>
        <w:t xml:space="preserve">se provar </w:t>
      </w:r>
      <w:r w:rsidRPr="00517045">
        <w:rPr>
          <w:rFonts w:ascii="Times New Roman" w:hAnsi="Times New Roman"/>
          <w:color w:val="000000" w:themeColor="text1"/>
          <w:lang w:val="pt-BR"/>
        </w:rPr>
        <w:t xml:space="preserve">uma ferramenta útil para capturar e oferecer significado a certas abordagens regionais (e controversas) ao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w:t>
      </w:r>
    </w:p>
    <w:p w14:paraId="13E58F82" w14:textId="74E94E94" w:rsidR="00961D30" w:rsidRPr="00517045" w:rsidRDefault="009438BF">
      <w:pPr>
        <w:pStyle w:val="Texto"/>
        <w:rPr>
          <w:rFonts w:ascii="Times New Roman" w:hAnsi="Times New Roman"/>
          <w:color w:val="000000" w:themeColor="text1"/>
          <w:lang w:val="pt-BR"/>
        </w:rPr>
      </w:pPr>
      <w:r w:rsidRPr="00517045">
        <w:rPr>
          <w:rFonts w:ascii="Times New Roman" w:hAnsi="Times New Roman"/>
          <w:color w:val="000000" w:themeColor="text1"/>
          <w:lang w:val="pt-BR"/>
        </w:rPr>
        <w:lastRenderedPageBreak/>
        <w:t xml:space="preserve">Este artigo </w:t>
      </w:r>
      <w:r w:rsidR="00E80D93">
        <w:rPr>
          <w:rFonts w:ascii="Times New Roman" w:hAnsi="Times New Roman"/>
          <w:color w:val="000000" w:themeColor="text1"/>
          <w:lang w:val="pt-BR"/>
        </w:rPr>
        <w:t xml:space="preserve">utiliza a pesquisa de fontes primárias de organismos internacionais e e debates doutrinais para compreender o problema levantado e </w:t>
      </w:r>
      <w:r w:rsidRPr="00517045">
        <w:rPr>
          <w:rFonts w:ascii="Times New Roman" w:hAnsi="Times New Roman"/>
          <w:color w:val="000000" w:themeColor="text1"/>
          <w:lang w:val="pt-BR"/>
        </w:rPr>
        <w:t xml:space="preserve">está organizado em duas partes. Na primeira parte, o trabalho </w:t>
      </w:r>
      <w:r w:rsidR="00140A30" w:rsidRPr="00517045">
        <w:rPr>
          <w:rFonts w:ascii="Times New Roman" w:hAnsi="Times New Roman"/>
          <w:color w:val="000000" w:themeColor="text1"/>
          <w:lang w:val="pt-BR"/>
        </w:rPr>
        <w:t xml:space="preserve">propõe </w:t>
      </w:r>
      <w:r w:rsidRPr="00517045">
        <w:rPr>
          <w:rFonts w:ascii="Times New Roman" w:hAnsi="Times New Roman"/>
          <w:color w:val="000000" w:themeColor="text1"/>
          <w:lang w:val="pt-BR"/>
        </w:rPr>
        <w:t>um</w:t>
      </w:r>
      <w:r w:rsidR="00621170">
        <w:rPr>
          <w:rFonts w:ascii="Times New Roman" w:hAnsi="Times New Roman"/>
          <w:color w:val="000000" w:themeColor="text1"/>
          <w:lang w:val="pt-BR"/>
        </w:rPr>
        <w:t xml:space="preserve">a análise </w:t>
      </w:r>
      <w:r w:rsidRPr="00517045">
        <w:rPr>
          <w:rFonts w:ascii="Times New Roman" w:hAnsi="Times New Roman"/>
          <w:color w:val="000000" w:themeColor="text1"/>
          <w:lang w:val="pt-BR"/>
        </w:rPr>
        <w:t xml:space="preserve">da posição recente adotada pelos Estados e pela CDI sobre o tema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Assim como várias outras questões </w:t>
      </w:r>
      <w:r w:rsidR="00140A30" w:rsidRPr="00517045">
        <w:rPr>
          <w:rFonts w:ascii="Times New Roman" w:hAnsi="Times New Roman"/>
          <w:color w:val="000000" w:themeColor="text1"/>
          <w:lang w:val="pt-BR"/>
        </w:rPr>
        <w:t>relativas à</w:t>
      </w:r>
      <w:r w:rsidRPr="00517045">
        <w:rPr>
          <w:rFonts w:ascii="Times New Roman" w:hAnsi="Times New Roman"/>
          <w:color w:val="000000" w:themeColor="text1"/>
          <w:lang w:val="pt-BR"/>
        </w:rPr>
        <w:t xml:space="preserve"> natureza jurídica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seus elementos essenciais, não há nenhuma visão </w:t>
      </w:r>
      <w:r w:rsidR="00A82A96" w:rsidRPr="00517045">
        <w:rPr>
          <w:rFonts w:ascii="Times New Roman" w:hAnsi="Times New Roman"/>
          <w:color w:val="000000" w:themeColor="text1"/>
          <w:lang w:val="pt-BR"/>
        </w:rPr>
        <w:t xml:space="preserve">globalmente aceita sobre a </w:t>
      </w:r>
      <w:r w:rsidR="00140A30" w:rsidRPr="00517045">
        <w:rPr>
          <w:rFonts w:ascii="Times New Roman" w:hAnsi="Times New Roman"/>
          <w:color w:val="000000" w:themeColor="text1"/>
          <w:lang w:val="pt-BR"/>
        </w:rPr>
        <w:t xml:space="preserve">existência </w:t>
      </w:r>
      <w:r w:rsidR="00A82A96" w:rsidRPr="00517045">
        <w:rPr>
          <w:rFonts w:ascii="Times New Roman" w:hAnsi="Times New Roman"/>
          <w:color w:val="000000" w:themeColor="text1"/>
          <w:lang w:val="pt-BR"/>
        </w:rPr>
        <w:t xml:space="preserve">do </w:t>
      </w:r>
      <w:r w:rsidR="00A82A96" w:rsidRPr="00517045">
        <w:rPr>
          <w:rFonts w:ascii="Times New Roman" w:hAnsi="Times New Roman"/>
          <w:i/>
          <w:iCs/>
          <w:color w:val="000000" w:themeColor="text1"/>
          <w:lang w:val="pt-BR"/>
        </w:rPr>
        <w:t>jus cogens</w:t>
      </w:r>
      <w:r w:rsidR="00A82A96" w:rsidRPr="00517045">
        <w:rPr>
          <w:rFonts w:ascii="Times New Roman" w:hAnsi="Times New Roman"/>
          <w:color w:val="000000" w:themeColor="text1"/>
          <w:lang w:val="pt-BR"/>
        </w:rPr>
        <w:t xml:space="preserve"> regional. Uma posição bastante firme foi, entretanto, adotada pelo Relator Especial da CDI sobre </w:t>
      </w:r>
      <w:r w:rsidR="00A82A96" w:rsidRPr="00517045">
        <w:rPr>
          <w:rFonts w:ascii="Times New Roman" w:hAnsi="Times New Roman"/>
          <w:i/>
          <w:iCs/>
          <w:color w:val="000000" w:themeColor="text1"/>
          <w:lang w:val="pt-BR"/>
        </w:rPr>
        <w:t>jus cogens</w:t>
      </w:r>
      <w:r w:rsidR="00A82A96" w:rsidRPr="00517045">
        <w:rPr>
          <w:rFonts w:ascii="Times New Roman" w:hAnsi="Times New Roman"/>
          <w:color w:val="000000" w:themeColor="text1"/>
          <w:lang w:val="pt-BR"/>
        </w:rPr>
        <w:t xml:space="preserve">. Para além de concluir que a noção de </w:t>
      </w:r>
      <w:r w:rsidR="00A82A96" w:rsidRPr="00517045">
        <w:rPr>
          <w:rFonts w:ascii="Times New Roman" w:hAnsi="Times New Roman"/>
          <w:i/>
          <w:iCs/>
          <w:color w:val="000000" w:themeColor="text1"/>
          <w:lang w:val="pt-BR"/>
        </w:rPr>
        <w:t>jus cogens</w:t>
      </w:r>
      <w:r w:rsidR="00A82A96" w:rsidRPr="00517045">
        <w:rPr>
          <w:rFonts w:ascii="Times New Roman" w:hAnsi="Times New Roman"/>
          <w:color w:val="000000" w:themeColor="text1"/>
          <w:lang w:val="pt-BR"/>
        </w:rPr>
        <w:t xml:space="preserve"> regional não encontra suporte na prática dos Estados, o Relator identificou diversas dificuldades conceituais e práticas </w:t>
      </w:r>
      <w:r w:rsidR="00140A30" w:rsidRPr="00517045">
        <w:rPr>
          <w:rFonts w:ascii="Times New Roman" w:hAnsi="Times New Roman"/>
          <w:color w:val="000000" w:themeColor="text1"/>
          <w:lang w:val="pt-BR"/>
        </w:rPr>
        <w:t>em relação a</w:t>
      </w:r>
      <w:r w:rsidR="00A82A96" w:rsidRPr="00517045">
        <w:rPr>
          <w:rFonts w:ascii="Times New Roman" w:hAnsi="Times New Roman"/>
          <w:color w:val="000000" w:themeColor="text1"/>
          <w:lang w:val="pt-BR"/>
        </w:rPr>
        <w:t>o conceito. A questão permanece aberta ao debate e sua compreensão está sujeita à “influência pervasiva” das abordagens idealista e positivista</w:t>
      </w:r>
      <w:r w:rsidR="00A82A96" w:rsidRPr="00517045">
        <w:rPr>
          <w:rStyle w:val="FootnoteReference"/>
          <w:rFonts w:ascii="Times New Roman" w:hAnsi="Times New Roman"/>
          <w:color w:val="000000" w:themeColor="text1"/>
        </w:rPr>
        <w:footnoteReference w:id="3"/>
      </w:r>
      <w:r w:rsidR="00A82A96" w:rsidRPr="00517045">
        <w:rPr>
          <w:rFonts w:ascii="Times New Roman" w:hAnsi="Times New Roman"/>
          <w:color w:val="000000" w:themeColor="text1"/>
          <w:lang w:val="pt-BR"/>
        </w:rPr>
        <w:t xml:space="preserve">. </w:t>
      </w:r>
      <w:r w:rsidR="00A82A96" w:rsidRPr="00517045">
        <w:rPr>
          <w:rFonts w:ascii="Times New Roman" w:hAnsi="Times New Roman"/>
          <w:color w:val="000000" w:themeColor="text1"/>
          <w:lang w:val="pt-BR" w:eastAsia="en-US"/>
        </w:rPr>
        <w:t xml:space="preserve">Em vez disso, este artigo afirma que o debate sobre </w:t>
      </w:r>
      <w:r w:rsidR="00A82A96" w:rsidRPr="00517045">
        <w:rPr>
          <w:rFonts w:ascii="Times New Roman" w:hAnsi="Times New Roman"/>
          <w:i/>
          <w:iCs/>
          <w:color w:val="000000" w:themeColor="text1"/>
          <w:lang w:val="pt-BR" w:eastAsia="en-US"/>
        </w:rPr>
        <w:t>jus cogens</w:t>
      </w:r>
      <w:r w:rsidR="00A82A96" w:rsidRPr="00517045">
        <w:rPr>
          <w:rFonts w:ascii="Times New Roman" w:hAnsi="Times New Roman"/>
          <w:color w:val="000000" w:themeColor="text1"/>
          <w:lang w:val="pt-BR" w:eastAsia="en-US"/>
        </w:rPr>
        <w:t xml:space="preserve"> regiona</w:t>
      </w:r>
      <w:r w:rsidR="00140A30" w:rsidRPr="00517045">
        <w:rPr>
          <w:rFonts w:ascii="Times New Roman" w:hAnsi="Times New Roman"/>
          <w:color w:val="000000" w:themeColor="text1"/>
          <w:lang w:val="pt-BR" w:eastAsia="en-US"/>
        </w:rPr>
        <w:t xml:space="preserve">l </w:t>
      </w:r>
      <w:r w:rsidR="00A82A96" w:rsidRPr="00517045">
        <w:rPr>
          <w:rFonts w:ascii="Times New Roman" w:hAnsi="Times New Roman"/>
          <w:color w:val="000000" w:themeColor="text1"/>
          <w:lang w:val="pt-BR" w:eastAsia="en-US"/>
        </w:rPr>
        <w:t xml:space="preserve">apresenta abordagens </w:t>
      </w:r>
      <w:r w:rsidR="00140A30" w:rsidRPr="00517045">
        <w:rPr>
          <w:rFonts w:ascii="Times New Roman" w:hAnsi="Times New Roman"/>
          <w:color w:val="000000" w:themeColor="text1"/>
          <w:lang w:val="pt-BR" w:eastAsia="en-US"/>
        </w:rPr>
        <w:t xml:space="preserve">as quais </w:t>
      </w:r>
      <w:r w:rsidR="00A82A96" w:rsidRPr="00517045">
        <w:rPr>
          <w:rFonts w:ascii="Times New Roman" w:hAnsi="Times New Roman"/>
          <w:color w:val="000000" w:themeColor="text1"/>
          <w:lang w:val="pt-BR" w:eastAsia="en-US"/>
        </w:rPr>
        <w:t xml:space="preserve">dizem algo sobre as formas como o regionalismo é </w:t>
      </w:r>
      <w:r w:rsidR="004D11DF" w:rsidRPr="00517045">
        <w:rPr>
          <w:rFonts w:ascii="Times New Roman" w:hAnsi="Times New Roman"/>
          <w:color w:val="000000" w:themeColor="text1"/>
          <w:lang w:val="pt-BR" w:eastAsia="en-US"/>
        </w:rPr>
        <w:t xml:space="preserve">hoje </w:t>
      </w:r>
      <w:r w:rsidR="00A82A96" w:rsidRPr="00517045">
        <w:rPr>
          <w:rFonts w:ascii="Times New Roman" w:hAnsi="Times New Roman"/>
          <w:color w:val="000000" w:themeColor="text1"/>
          <w:lang w:val="pt-BR" w:eastAsia="en-US"/>
        </w:rPr>
        <w:t>percebido no direito internacional.</w:t>
      </w:r>
    </w:p>
    <w:p w14:paraId="464AE8C9" w14:textId="748F20E9" w:rsidR="00A82A96" w:rsidRDefault="00A82A96">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Na segunda parte, </w:t>
      </w:r>
      <w:r w:rsidR="004D11DF" w:rsidRPr="00517045">
        <w:rPr>
          <w:rFonts w:ascii="Times New Roman" w:hAnsi="Times New Roman"/>
          <w:color w:val="000000" w:themeColor="text1"/>
          <w:lang w:val="pt-BR"/>
        </w:rPr>
        <w:t xml:space="preserve">o </w:t>
      </w:r>
      <w:r w:rsidRPr="00517045">
        <w:rPr>
          <w:rFonts w:ascii="Times New Roman" w:hAnsi="Times New Roman"/>
          <w:color w:val="000000" w:themeColor="text1"/>
          <w:lang w:val="pt-BR"/>
        </w:rPr>
        <w:t xml:space="preserve">artigo explora a segunda perspectiva regional ao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 as abordagens regionais ao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 tomando como paradigma a prática judicial da CtIDH. A Corte demonstrou, ao longo dos anos, particular ativismo ao tratar sobre o tema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 forma pela qual a CtIDH aborda a questão é ilustrativa, especialmente porque revela uma tensão entre o universalismo que tradicionalmente </w:t>
      </w:r>
      <w:r w:rsidR="00961D30" w:rsidRPr="00517045">
        <w:rPr>
          <w:rFonts w:ascii="Times New Roman" w:hAnsi="Times New Roman"/>
          <w:color w:val="000000" w:themeColor="text1"/>
          <w:lang w:val="pt-BR"/>
        </w:rPr>
        <w:t>subjaz</w:t>
      </w:r>
      <w:r w:rsidRPr="00517045">
        <w:rPr>
          <w:rFonts w:ascii="Times New Roman" w:hAnsi="Times New Roman"/>
          <w:color w:val="000000" w:themeColor="text1"/>
          <w:lang w:val="pt-BR"/>
        </w:rPr>
        <w:t xml:space="preserve"> à ideia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o latente regionalismo </w:t>
      </w:r>
      <w:r w:rsidR="004D11DF" w:rsidRPr="00517045">
        <w:rPr>
          <w:rFonts w:ascii="Times New Roman" w:hAnsi="Times New Roman"/>
          <w:color w:val="000000" w:themeColor="text1"/>
          <w:lang w:val="pt-BR"/>
        </w:rPr>
        <w:t xml:space="preserve">o qual </w:t>
      </w:r>
      <w:r w:rsidRPr="00517045">
        <w:rPr>
          <w:rFonts w:ascii="Times New Roman" w:hAnsi="Times New Roman"/>
          <w:color w:val="000000" w:themeColor="text1"/>
          <w:lang w:val="pt-BR"/>
        </w:rPr>
        <w:t xml:space="preserve">também emerge do corpo de prática judicial. O </w:t>
      </w:r>
      <w:r w:rsidR="00961D30" w:rsidRPr="00517045">
        <w:rPr>
          <w:rFonts w:ascii="Times New Roman" w:hAnsi="Times New Roman"/>
          <w:color w:val="000000" w:themeColor="text1"/>
          <w:lang w:val="pt-BR"/>
        </w:rPr>
        <w:t>principal</w:t>
      </w:r>
      <w:r w:rsidRPr="00517045">
        <w:rPr>
          <w:rFonts w:ascii="Times New Roman" w:hAnsi="Times New Roman"/>
          <w:color w:val="000000" w:themeColor="text1"/>
          <w:lang w:val="pt-BR"/>
        </w:rPr>
        <w:t xml:space="preserve"> argumento desta seção não é </w:t>
      </w:r>
      <w:r w:rsidR="00961D30" w:rsidRPr="00517045">
        <w:rPr>
          <w:rFonts w:ascii="Times New Roman" w:hAnsi="Times New Roman"/>
          <w:color w:val="000000" w:themeColor="text1"/>
          <w:lang w:val="pt-BR"/>
        </w:rPr>
        <w:t>demonstrar</w:t>
      </w:r>
      <w:r w:rsidRPr="00517045">
        <w:rPr>
          <w:rFonts w:ascii="Times New Roman" w:hAnsi="Times New Roman"/>
          <w:color w:val="000000" w:themeColor="text1"/>
          <w:lang w:val="pt-BR"/>
        </w:rPr>
        <w:t xml:space="preserve"> que a Corte está, de fato, identificando e aplicando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Ao contrário, o objetivo é demonstrar que</w:t>
      </w:r>
      <w:r w:rsidR="00961D30" w:rsidRPr="00517045">
        <w:rPr>
          <w:rFonts w:ascii="Times New Roman" w:hAnsi="Times New Roman"/>
          <w:color w:val="000000" w:themeColor="text1"/>
          <w:lang w:val="pt-BR"/>
        </w:rPr>
        <w:t xml:space="preserve"> a Corte está desenvolvendo uma prática a qual dificilmente se coaduna com a ideia de universalismo </w:t>
      </w:r>
      <w:r w:rsidR="004D11DF" w:rsidRPr="00517045">
        <w:rPr>
          <w:rFonts w:ascii="Times New Roman" w:hAnsi="Times New Roman"/>
          <w:color w:val="000000" w:themeColor="text1"/>
          <w:lang w:val="pt-BR"/>
        </w:rPr>
        <w:t>enquanto</w:t>
      </w:r>
      <w:r w:rsidR="00961D30" w:rsidRPr="00517045">
        <w:rPr>
          <w:rFonts w:ascii="Times New Roman" w:hAnsi="Times New Roman"/>
          <w:color w:val="000000" w:themeColor="text1"/>
          <w:lang w:val="pt-BR"/>
        </w:rPr>
        <w:t xml:space="preserve"> base à concepção tradicional de </w:t>
      </w:r>
      <w:r w:rsidR="00961D30" w:rsidRPr="00517045">
        <w:rPr>
          <w:rFonts w:ascii="Times New Roman" w:hAnsi="Times New Roman"/>
          <w:i/>
          <w:iCs/>
          <w:color w:val="000000" w:themeColor="text1"/>
          <w:lang w:val="pt-BR"/>
        </w:rPr>
        <w:t xml:space="preserve">jus cogens. </w:t>
      </w:r>
      <w:r w:rsidR="00961D30" w:rsidRPr="00517045">
        <w:rPr>
          <w:rFonts w:ascii="Times New Roman" w:hAnsi="Times New Roman"/>
          <w:color w:val="000000" w:themeColor="text1"/>
          <w:lang w:val="pt-BR"/>
        </w:rPr>
        <w:t xml:space="preserve">O recurso à noção de </w:t>
      </w:r>
      <w:r w:rsidR="00961D30" w:rsidRPr="00517045">
        <w:rPr>
          <w:rFonts w:ascii="Times New Roman" w:hAnsi="Times New Roman"/>
          <w:i/>
          <w:iCs/>
          <w:color w:val="000000" w:themeColor="text1"/>
          <w:lang w:val="pt-BR"/>
        </w:rPr>
        <w:t>jus cogens</w:t>
      </w:r>
      <w:r w:rsidR="00961D30" w:rsidRPr="00517045">
        <w:rPr>
          <w:rFonts w:ascii="Times New Roman" w:hAnsi="Times New Roman"/>
          <w:color w:val="000000" w:themeColor="text1"/>
          <w:lang w:val="pt-BR"/>
        </w:rPr>
        <w:t xml:space="preserve"> regional, defende-se, pode ajudar a compreender e conceituar esta prática controversa. </w:t>
      </w:r>
    </w:p>
    <w:p w14:paraId="31EE8634" w14:textId="6AA30F7A" w:rsidR="00D7366F" w:rsidRPr="00517045" w:rsidRDefault="00D7366F">
      <w:pPr>
        <w:pStyle w:val="Texto"/>
        <w:rPr>
          <w:rFonts w:ascii="Times New Roman" w:hAnsi="Times New Roman"/>
          <w:color w:val="000000" w:themeColor="text1"/>
          <w:lang w:val="pt-BR"/>
        </w:rPr>
      </w:pPr>
      <w:r>
        <w:rPr>
          <w:rFonts w:ascii="Times New Roman" w:hAnsi="Times New Roman"/>
          <w:color w:val="000000" w:themeColor="text1"/>
          <w:lang w:val="pt-BR"/>
        </w:rPr>
        <w:t>Um último esclarecimento metodológico parece necessário. Embora a temática de normas peremptórias possa ser analisada sob diversas lentes e empregando diferentes abordagens, como uma leitura colonial/decolonial,</w:t>
      </w:r>
      <w:r>
        <w:rPr>
          <w:rStyle w:val="FootnoteReference"/>
          <w:rFonts w:ascii="Times New Roman" w:hAnsi="Times New Roman"/>
          <w:color w:val="000000" w:themeColor="text1"/>
          <w:lang w:val="pt-BR"/>
        </w:rPr>
        <w:footnoteReference w:id="4"/>
      </w:r>
      <w:r>
        <w:rPr>
          <w:rFonts w:ascii="Times New Roman" w:hAnsi="Times New Roman"/>
          <w:color w:val="000000" w:themeColor="text1"/>
          <w:lang w:val="pt-BR"/>
        </w:rPr>
        <w:t xml:space="preserve"> o presente trabalho não pretende ocupar-se dessa questão. Através de uma análise dos documentos produzidos pela CDI, </w:t>
      </w:r>
      <w:r>
        <w:rPr>
          <w:rFonts w:ascii="Times New Roman" w:hAnsi="Times New Roman"/>
          <w:color w:val="000000" w:themeColor="text1"/>
          <w:lang w:val="pt-BR"/>
        </w:rPr>
        <w:lastRenderedPageBreak/>
        <w:t>pelos Estados em seu anterior, e os instrumentos e decisões da Corte Interamericana, busca-se evidenciar como o problema toca a prática internacional bem como as reações doutrinárias sobre ela.</w:t>
      </w:r>
    </w:p>
    <w:p w14:paraId="5A9ED616" w14:textId="77777777" w:rsidR="00404AA3" w:rsidRPr="00517045" w:rsidRDefault="00404AA3" w:rsidP="00404AA3">
      <w:pPr>
        <w:pStyle w:val="Texto"/>
        <w:rPr>
          <w:rFonts w:ascii="Times New Roman" w:hAnsi="Times New Roman"/>
          <w:color w:val="000000" w:themeColor="text1"/>
          <w:lang w:val="pt-BR"/>
        </w:rPr>
      </w:pPr>
    </w:p>
    <w:p w14:paraId="52EB03B8" w14:textId="6560E87D" w:rsidR="00404AA3" w:rsidRPr="00517045" w:rsidRDefault="00404AA3" w:rsidP="00517045">
      <w:pPr>
        <w:pStyle w:val="ListParagraph"/>
        <w:spacing w:line="360" w:lineRule="auto"/>
        <w:ind w:left="0"/>
        <w:jc w:val="both"/>
        <w:rPr>
          <w:b/>
          <w:bCs/>
          <w:color w:val="000000" w:themeColor="text1"/>
          <w:lang w:val="pt-BR"/>
        </w:rPr>
      </w:pPr>
      <w:r>
        <w:rPr>
          <w:b/>
          <w:bCs/>
          <w:color w:val="000000" w:themeColor="text1"/>
          <w:lang w:val="pt-BR"/>
        </w:rPr>
        <w:t xml:space="preserve">2. </w:t>
      </w:r>
      <w:r w:rsidR="00961D30" w:rsidRPr="00517045">
        <w:rPr>
          <w:b/>
          <w:bCs/>
          <w:color w:val="000000" w:themeColor="text1"/>
          <w:lang w:val="pt-BR"/>
        </w:rPr>
        <w:t xml:space="preserve">Os </w:t>
      </w:r>
      <w:r w:rsidR="002107DD">
        <w:rPr>
          <w:b/>
          <w:bCs/>
          <w:color w:val="000000" w:themeColor="text1"/>
          <w:lang w:val="pt-BR"/>
        </w:rPr>
        <w:t xml:space="preserve">descontentamentos </w:t>
      </w:r>
      <w:r w:rsidR="00961D30" w:rsidRPr="00517045">
        <w:rPr>
          <w:b/>
          <w:bCs/>
          <w:color w:val="000000" w:themeColor="text1"/>
          <w:lang w:val="pt-BR"/>
        </w:rPr>
        <w:t xml:space="preserve">do </w:t>
      </w:r>
      <w:r w:rsidR="00961D30" w:rsidRPr="00517045">
        <w:rPr>
          <w:b/>
          <w:bCs/>
          <w:i/>
          <w:iCs/>
          <w:color w:val="000000" w:themeColor="text1"/>
          <w:lang w:val="pt-BR"/>
        </w:rPr>
        <w:t>jus cogens</w:t>
      </w:r>
      <w:r w:rsidR="00961D30" w:rsidRPr="00517045">
        <w:rPr>
          <w:b/>
          <w:bCs/>
          <w:color w:val="000000" w:themeColor="text1"/>
          <w:lang w:val="pt-BR"/>
        </w:rPr>
        <w:t xml:space="preserve"> regional</w:t>
      </w:r>
      <w:r w:rsidR="00227A47" w:rsidRPr="00517045">
        <w:rPr>
          <w:b/>
          <w:bCs/>
          <w:color w:val="000000" w:themeColor="text1"/>
          <w:lang w:val="pt-BR"/>
        </w:rPr>
        <w:t xml:space="preserve"> </w:t>
      </w:r>
    </w:p>
    <w:p w14:paraId="28627D40" w14:textId="77777777" w:rsidR="00404AA3" w:rsidRPr="00517045" w:rsidRDefault="00404AA3" w:rsidP="00517045">
      <w:pPr>
        <w:pStyle w:val="ListParagraph"/>
        <w:ind w:left="1080"/>
        <w:rPr>
          <w:b/>
          <w:bCs/>
          <w:lang w:val="pt-BR"/>
        </w:rPr>
      </w:pPr>
    </w:p>
    <w:p w14:paraId="363FC809" w14:textId="72EB2645" w:rsidR="00434B3D" w:rsidRPr="00517045" w:rsidRDefault="00961D30" w:rsidP="00517045">
      <w:pPr>
        <w:pStyle w:val="ListParagraph"/>
        <w:numPr>
          <w:ilvl w:val="1"/>
          <w:numId w:val="28"/>
        </w:numPr>
        <w:rPr>
          <w:b/>
          <w:bCs/>
          <w:lang w:val="en-US"/>
        </w:rPr>
      </w:pPr>
      <w:r w:rsidRPr="00517045">
        <w:rPr>
          <w:b/>
          <w:bCs/>
          <w:lang w:val="en-US"/>
        </w:rPr>
        <w:t>A CDI</w:t>
      </w:r>
      <w:r w:rsidR="00E92BB8" w:rsidRPr="00517045">
        <w:rPr>
          <w:b/>
          <w:bCs/>
          <w:lang w:val="en-US"/>
        </w:rPr>
        <w:t>...</w:t>
      </w:r>
      <w:r w:rsidR="00C8582C" w:rsidRPr="00517045">
        <w:rPr>
          <w:b/>
          <w:bCs/>
          <w:lang w:val="en-US"/>
        </w:rPr>
        <w:t xml:space="preserve"> </w:t>
      </w:r>
    </w:p>
    <w:p w14:paraId="7B83A5DE" w14:textId="27F1CEE6" w:rsidR="00C8582C" w:rsidRPr="00517045" w:rsidRDefault="00C8582C" w:rsidP="00517045">
      <w:pPr>
        <w:spacing w:line="360" w:lineRule="auto"/>
        <w:jc w:val="both"/>
        <w:rPr>
          <w:color w:val="000000" w:themeColor="text1"/>
          <w:lang w:val="en-US"/>
        </w:rPr>
      </w:pPr>
    </w:p>
    <w:p w14:paraId="2448DF37" w14:textId="71B6660C" w:rsidR="008D655D" w:rsidRPr="00517045" w:rsidRDefault="00961D30" w:rsidP="00122D8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 primeira perspectiva regional debruça-se sobre a ideia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É importante recordar que esta ideia foi avançada e discutida por vários internacionalistas ao longo da anos. </w:t>
      </w:r>
      <w:r w:rsidR="004D11DF" w:rsidRPr="00517045">
        <w:rPr>
          <w:rFonts w:ascii="Times New Roman" w:hAnsi="Times New Roman"/>
          <w:color w:val="000000" w:themeColor="text1"/>
          <w:lang w:val="pt-BR"/>
        </w:rPr>
        <w:t xml:space="preserve">Basta recuperar </w:t>
      </w:r>
      <w:r w:rsidRPr="00517045">
        <w:rPr>
          <w:rFonts w:ascii="Times New Roman" w:hAnsi="Times New Roman"/>
          <w:color w:val="000000" w:themeColor="text1"/>
          <w:lang w:val="pt-BR"/>
        </w:rPr>
        <w:t xml:space="preserve">que, de acordo com Gaja “nenhuma razão convincente jamais foi dada para anular a possibilidade da existência de normas peremptórias não-universais ou ‘regionais’. Valores prevalentes em grupos regionais não necessariamente conflitam com os valores operando em um ambiente mais alargado. Podem existir normas as quais adquirem caráter peremptório </w:t>
      </w:r>
      <w:r w:rsidR="0092792C" w:rsidRPr="00517045">
        <w:rPr>
          <w:rFonts w:ascii="Times New Roman" w:hAnsi="Times New Roman"/>
          <w:color w:val="000000" w:themeColor="text1"/>
          <w:lang w:val="pt-BR"/>
        </w:rPr>
        <w:t xml:space="preserve">tão somente em um contexto regional. [...] </w:t>
      </w:r>
      <w:r w:rsidR="004D11DF" w:rsidRPr="00517045">
        <w:rPr>
          <w:rFonts w:ascii="Times New Roman" w:hAnsi="Times New Roman"/>
          <w:color w:val="000000" w:themeColor="text1"/>
          <w:lang w:val="pt-BR"/>
        </w:rPr>
        <w:t>A</w:t>
      </w:r>
      <w:r w:rsidR="0092792C" w:rsidRPr="00517045">
        <w:rPr>
          <w:rFonts w:ascii="Times New Roman" w:hAnsi="Times New Roman"/>
          <w:color w:val="000000" w:themeColor="text1"/>
          <w:lang w:val="pt-BR"/>
        </w:rPr>
        <w:t xml:space="preserve"> Convenção de Viena parece usar um conceito injustificadamente restrito de norma peremptória”.</w:t>
      </w:r>
      <w:r w:rsidR="0092792C" w:rsidRPr="00517045">
        <w:rPr>
          <w:rStyle w:val="FootnoteReference"/>
          <w:rFonts w:ascii="Times New Roman" w:hAnsi="Times New Roman"/>
          <w:color w:val="000000" w:themeColor="text1"/>
        </w:rPr>
        <w:footnoteReference w:id="5"/>
      </w:r>
      <w:r w:rsidR="0092792C" w:rsidRPr="00517045">
        <w:rPr>
          <w:rFonts w:ascii="Times New Roman" w:hAnsi="Times New Roman"/>
          <w:color w:val="000000" w:themeColor="text1"/>
          <w:lang w:val="pt-BR"/>
        </w:rPr>
        <w:t xml:space="preserve"> </w:t>
      </w:r>
      <w:r w:rsidR="004D11DF" w:rsidRPr="00517045">
        <w:rPr>
          <w:rFonts w:ascii="Times New Roman" w:hAnsi="Times New Roman"/>
          <w:color w:val="000000" w:themeColor="text1"/>
          <w:lang w:val="pt-BR"/>
        </w:rPr>
        <w:t xml:space="preserve">Para além de </w:t>
      </w:r>
      <w:r w:rsidR="0092792C" w:rsidRPr="00517045">
        <w:rPr>
          <w:rFonts w:ascii="Times New Roman" w:hAnsi="Times New Roman"/>
          <w:color w:val="000000" w:themeColor="text1"/>
          <w:lang w:val="pt-BR"/>
        </w:rPr>
        <w:t>admit</w:t>
      </w:r>
      <w:r w:rsidR="004D11DF" w:rsidRPr="00517045">
        <w:rPr>
          <w:rFonts w:ascii="Times New Roman" w:hAnsi="Times New Roman"/>
          <w:color w:val="000000" w:themeColor="text1"/>
          <w:lang w:val="pt-BR"/>
        </w:rPr>
        <w:t>irem</w:t>
      </w:r>
      <w:r w:rsidR="0092792C" w:rsidRPr="00517045">
        <w:rPr>
          <w:rFonts w:ascii="Times New Roman" w:hAnsi="Times New Roman"/>
          <w:color w:val="000000" w:themeColor="text1"/>
          <w:lang w:val="pt-BR"/>
        </w:rPr>
        <w:t xml:space="preserve"> a possibilidade abstrata de um </w:t>
      </w:r>
      <w:r w:rsidR="0092792C" w:rsidRPr="00517045">
        <w:rPr>
          <w:rFonts w:ascii="Times New Roman" w:hAnsi="Times New Roman"/>
          <w:i/>
          <w:iCs/>
          <w:color w:val="000000" w:themeColor="text1"/>
          <w:lang w:val="pt-BR"/>
        </w:rPr>
        <w:t>jus cogens</w:t>
      </w:r>
      <w:r w:rsidR="0092792C" w:rsidRPr="00517045">
        <w:rPr>
          <w:rFonts w:ascii="Times New Roman" w:hAnsi="Times New Roman"/>
          <w:color w:val="000000" w:themeColor="text1"/>
          <w:lang w:val="pt-BR"/>
        </w:rPr>
        <w:t xml:space="preserve"> regional, vários internacionalistas também se dedicaram a substanciar o conceito. Referência tem sido feita, por exemplo, a um “sistema europeu de direitos humanos peremptórios”</w:t>
      </w:r>
      <w:r w:rsidR="0092792C" w:rsidRPr="00517045">
        <w:rPr>
          <w:rStyle w:val="FootnoteReference"/>
          <w:rFonts w:ascii="Times New Roman" w:hAnsi="Times New Roman"/>
          <w:color w:val="000000" w:themeColor="text1"/>
          <w:lang w:val="pt-BR"/>
        </w:rPr>
        <w:t xml:space="preserve"> </w:t>
      </w:r>
      <w:r w:rsidR="0092792C" w:rsidRPr="00517045">
        <w:rPr>
          <w:rStyle w:val="FootnoteReference"/>
          <w:rFonts w:ascii="Times New Roman" w:hAnsi="Times New Roman"/>
          <w:color w:val="000000" w:themeColor="text1"/>
        </w:rPr>
        <w:footnoteReference w:id="6"/>
      </w:r>
      <w:r w:rsidR="0092792C" w:rsidRPr="00517045">
        <w:rPr>
          <w:rFonts w:ascii="Times New Roman" w:hAnsi="Times New Roman"/>
          <w:color w:val="000000" w:themeColor="text1"/>
          <w:lang w:val="pt-BR"/>
        </w:rPr>
        <w:t>, a uma “ordem pública europeia”</w:t>
      </w:r>
      <w:r w:rsidR="0092792C" w:rsidRPr="00517045">
        <w:rPr>
          <w:rStyle w:val="FootnoteReference"/>
          <w:rFonts w:ascii="Times New Roman" w:hAnsi="Times New Roman"/>
          <w:color w:val="000000" w:themeColor="text1"/>
          <w:lang w:val="pt-BR"/>
        </w:rPr>
        <w:t xml:space="preserve"> </w:t>
      </w:r>
      <w:r w:rsidR="0092792C" w:rsidRPr="00517045">
        <w:rPr>
          <w:rStyle w:val="FootnoteReference"/>
          <w:rFonts w:ascii="Times New Roman" w:hAnsi="Times New Roman"/>
          <w:color w:val="000000" w:themeColor="text1"/>
        </w:rPr>
        <w:footnoteReference w:id="7"/>
      </w:r>
      <w:r w:rsidR="0092792C" w:rsidRPr="00517045">
        <w:rPr>
          <w:rFonts w:ascii="Times New Roman" w:hAnsi="Times New Roman"/>
          <w:color w:val="000000" w:themeColor="text1"/>
          <w:lang w:val="pt-BR"/>
        </w:rPr>
        <w:t xml:space="preserve"> e, em perspectiva histórica, a “normas de </w:t>
      </w:r>
      <w:r w:rsidR="0092792C" w:rsidRPr="00517045">
        <w:rPr>
          <w:rFonts w:ascii="Times New Roman" w:hAnsi="Times New Roman"/>
          <w:i/>
          <w:iCs/>
          <w:color w:val="000000" w:themeColor="text1"/>
          <w:lang w:val="pt-BR"/>
        </w:rPr>
        <w:t xml:space="preserve">jus cogens </w:t>
      </w:r>
      <w:r w:rsidR="0092792C" w:rsidRPr="00517045">
        <w:rPr>
          <w:rFonts w:ascii="Times New Roman" w:hAnsi="Times New Roman"/>
          <w:color w:val="000000" w:themeColor="text1"/>
          <w:lang w:val="pt-BR"/>
        </w:rPr>
        <w:t>entre países socialistas”</w:t>
      </w:r>
      <w:r w:rsidR="0092792C" w:rsidRPr="00517045">
        <w:rPr>
          <w:rStyle w:val="FootnoteReference"/>
          <w:rFonts w:ascii="Times New Roman" w:hAnsi="Times New Roman"/>
          <w:color w:val="000000" w:themeColor="text1"/>
          <w:lang w:val="pt-BR"/>
        </w:rPr>
        <w:t xml:space="preserve"> </w:t>
      </w:r>
      <w:r w:rsidR="0092792C" w:rsidRPr="00517045">
        <w:rPr>
          <w:rStyle w:val="FootnoteReference"/>
          <w:rFonts w:ascii="Times New Roman" w:hAnsi="Times New Roman"/>
          <w:color w:val="000000" w:themeColor="text1"/>
        </w:rPr>
        <w:footnoteReference w:id="8"/>
      </w:r>
      <w:r w:rsidR="0092792C" w:rsidRPr="00517045">
        <w:rPr>
          <w:rFonts w:ascii="Times New Roman" w:hAnsi="Times New Roman"/>
          <w:color w:val="000000" w:themeColor="text1"/>
          <w:lang w:val="pt-BR"/>
        </w:rPr>
        <w:t xml:space="preserve">. Provavelmente a mais famosa e mencionada referência ao </w:t>
      </w:r>
      <w:r w:rsidR="0092792C" w:rsidRPr="00517045">
        <w:rPr>
          <w:rFonts w:ascii="Times New Roman" w:hAnsi="Times New Roman"/>
          <w:i/>
          <w:iCs/>
          <w:color w:val="000000" w:themeColor="text1"/>
          <w:lang w:val="pt-BR"/>
        </w:rPr>
        <w:t>jus cogens</w:t>
      </w:r>
      <w:r w:rsidR="0092792C" w:rsidRPr="00517045">
        <w:rPr>
          <w:rFonts w:ascii="Times New Roman" w:hAnsi="Times New Roman"/>
          <w:color w:val="000000" w:themeColor="text1"/>
          <w:lang w:val="pt-BR"/>
        </w:rPr>
        <w:t xml:space="preserve"> regional advém da Comissão Interamericana de Direitos Humanos a qual, em 1987, afirmou que “entre os Estados membros da [Organização dos Estados </w:t>
      </w:r>
      <w:r w:rsidR="008F414F" w:rsidRPr="00517045">
        <w:rPr>
          <w:rFonts w:ascii="Times New Roman" w:hAnsi="Times New Roman"/>
          <w:color w:val="000000" w:themeColor="text1"/>
          <w:lang w:val="pt-BR"/>
        </w:rPr>
        <w:t>Americanos] há</w:t>
      </w:r>
      <w:r w:rsidR="0092792C" w:rsidRPr="00517045">
        <w:rPr>
          <w:rFonts w:ascii="Times New Roman" w:hAnsi="Times New Roman"/>
          <w:color w:val="000000" w:themeColor="text1"/>
          <w:lang w:val="pt-BR"/>
        </w:rPr>
        <w:t xml:space="preserve"> </w:t>
      </w:r>
      <w:r w:rsidR="0092792C" w:rsidRPr="00517045">
        <w:rPr>
          <w:rFonts w:ascii="Times New Roman" w:hAnsi="Times New Roman"/>
          <w:color w:val="000000" w:themeColor="text1"/>
          <w:lang w:val="pt-BR"/>
        </w:rPr>
        <w:lastRenderedPageBreak/>
        <w:t xml:space="preserve">uma norma de </w:t>
      </w:r>
      <w:r w:rsidR="0092792C" w:rsidRPr="00517045">
        <w:rPr>
          <w:rFonts w:ascii="Times New Roman" w:hAnsi="Times New Roman"/>
          <w:i/>
          <w:iCs/>
          <w:color w:val="000000" w:themeColor="text1"/>
          <w:lang w:val="pt-BR"/>
        </w:rPr>
        <w:t xml:space="preserve">jus cogens </w:t>
      </w:r>
      <w:r w:rsidR="0092792C" w:rsidRPr="00517045">
        <w:rPr>
          <w:rFonts w:ascii="Times New Roman" w:hAnsi="Times New Roman"/>
          <w:color w:val="000000" w:themeColor="text1"/>
          <w:lang w:val="pt-BR"/>
        </w:rPr>
        <w:t>reconhecida a qual proíbe a execução de crianças por Estados”</w:t>
      </w:r>
      <w:r w:rsidR="004D11DF" w:rsidRPr="00517045">
        <w:rPr>
          <w:rFonts w:ascii="Times New Roman" w:hAnsi="Times New Roman"/>
          <w:color w:val="000000" w:themeColor="text1"/>
          <w:lang w:val="pt-BR"/>
        </w:rPr>
        <w:t>.</w:t>
      </w:r>
      <w:r w:rsidR="0092792C" w:rsidRPr="00517045">
        <w:rPr>
          <w:rStyle w:val="FootnoteReference"/>
          <w:rFonts w:ascii="Times New Roman" w:hAnsi="Times New Roman"/>
          <w:color w:val="000000" w:themeColor="text1"/>
        </w:rPr>
        <w:footnoteReference w:id="9"/>
      </w:r>
      <w:r w:rsidR="008F414F" w:rsidRPr="00517045">
        <w:rPr>
          <w:rFonts w:ascii="Times New Roman" w:hAnsi="Times New Roman"/>
          <w:color w:val="000000" w:themeColor="text1"/>
          <w:lang w:val="pt-BR"/>
        </w:rPr>
        <w:t xml:space="preserve"> </w:t>
      </w:r>
      <w:r w:rsidR="0092792C" w:rsidRPr="00517045">
        <w:rPr>
          <w:rFonts w:ascii="Times New Roman" w:hAnsi="Times New Roman"/>
          <w:color w:val="000000" w:themeColor="text1"/>
          <w:lang w:val="pt-BR"/>
        </w:rPr>
        <w:t xml:space="preserve">A maior parte destes exemplos de </w:t>
      </w:r>
      <w:r w:rsidR="0092792C" w:rsidRPr="00517045">
        <w:rPr>
          <w:rFonts w:ascii="Times New Roman" w:hAnsi="Times New Roman"/>
          <w:i/>
          <w:iCs/>
          <w:color w:val="000000" w:themeColor="text1"/>
          <w:lang w:val="pt-BR"/>
        </w:rPr>
        <w:t xml:space="preserve">jus cogens </w:t>
      </w:r>
      <w:r w:rsidR="0092792C" w:rsidRPr="00517045">
        <w:rPr>
          <w:rFonts w:ascii="Times New Roman" w:hAnsi="Times New Roman"/>
          <w:color w:val="000000" w:themeColor="text1"/>
          <w:lang w:val="pt-BR"/>
        </w:rPr>
        <w:t xml:space="preserve">regional foram </w:t>
      </w:r>
      <w:r w:rsidR="008F414F" w:rsidRPr="00517045">
        <w:rPr>
          <w:rFonts w:ascii="Times New Roman" w:hAnsi="Times New Roman"/>
          <w:color w:val="000000" w:themeColor="text1"/>
          <w:lang w:val="pt-BR"/>
        </w:rPr>
        <w:t>negligenciados por outros autores, e mesmo</w:t>
      </w:r>
      <w:r w:rsidR="004D11DF" w:rsidRPr="00517045">
        <w:rPr>
          <w:rFonts w:ascii="Times New Roman" w:hAnsi="Times New Roman"/>
          <w:color w:val="000000" w:themeColor="text1"/>
          <w:lang w:val="pt-BR"/>
        </w:rPr>
        <w:t xml:space="preserve"> pelo</w:t>
      </w:r>
      <w:r w:rsidR="008F414F" w:rsidRPr="00517045">
        <w:rPr>
          <w:rFonts w:ascii="Times New Roman" w:hAnsi="Times New Roman"/>
          <w:color w:val="000000" w:themeColor="text1"/>
          <w:lang w:val="pt-BR"/>
        </w:rPr>
        <w:t xml:space="preserve"> Relator Especial da CDI, como apresentando diversas dificuldades conceituais e, mais importante, como não sustentadas pela prática dos Estados</w:t>
      </w:r>
      <w:r w:rsidR="004D11DF" w:rsidRPr="00517045">
        <w:rPr>
          <w:rFonts w:ascii="Times New Roman" w:hAnsi="Times New Roman"/>
          <w:color w:val="000000" w:themeColor="text1"/>
          <w:lang w:val="pt-BR"/>
        </w:rPr>
        <w:t>.</w:t>
      </w:r>
      <w:r w:rsidR="008F414F" w:rsidRPr="00517045">
        <w:rPr>
          <w:rStyle w:val="FootnoteReference"/>
          <w:rFonts w:ascii="Times New Roman" w:hAnsi="Times New Roman"/>
          <w:color w:val="000000" w:themeColor="text1"/>
        </w:rPr>
        <w:footnoteReference w:id="10"/>
      </w:r>
    </w:p>
    <w:p w14:paraId="773D39F2" w14:textId="67E16ACE" w:rsidR="008F414F" w:rsidRPr="00517045" w:rsidRDefault="008F414F" w:rsidP="00122D8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Como afirmado acima, este trabalho não visa se engajar no debate sobre o fato de que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é concebível prática e teoricamente, muito menos se esta ou aquela norma regional obteve o status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w:t>
      </w:r>
      <w:r w:rsidR="008D655D" w:rsidRPr="00517045">
        <w:rPr>
          <w:rFonts w:ascii="Times New Roman" w:hAnsi="Times New Roman"/>
          <w:color w:val="000000" w:themeColor="text1"/>
          <w:lang w:val="pt-BR"/>
        </w:rPr>
        <w:t xml:space="preserve">O debate </w:t>
      </w:r>
      <w:r w:rsidR="004D11DF" w:rsidRPr="00517045">
        <w:rPr>
          <w:rFonts w:ascii="Times New Roman" w:hAnsi="Times New Roman"/>
          <w:color w:val="000000" w:themeColor="text1"/>
          <w:lang w:val="pt-BR"/>
        </w:rPr>
        <w:t xml:space="preserve">encontra-se </w:t>
      </w:r>
      <w:r w:rsidR="008D655D" w:rsidRPr="00517045">
        <w:rPr>
          <w:rFonts w:ascii="Times New Roman" w:hAnsi="Times New Roman"/>
          <w:color w:val="000000" w:themeColor="text1"/>
          <w:lang w:val="pt-BR"/>
        </w:rPr>
        <w:t xml:space="preserve">aberto, e mesmo admitindo a possibilidade lógica do </w:t>
      </w:r>
      <w:r w:rsidR="008D655D" w:rsidRPr="00517045">
        <w:rPr>
          <w:rFonts w:ascii="Times New Roman" w:hAnsi="Times New Roman"/>
          <w:i/>
          <w:iCs/>
          <w:color w:val="000000" w:themeColor="text1"/>
          <w:lang w:val="pt-BR"/>
        </w:rPr>
        <w:t>jus cogens</w:t>
      </w:r>
      <w:r w:rsidR="008D655D" w:rsidRPr="00517045">
        <w:rPr>
          <w:rFonts w:ascii="Times New Roman" w:hAnsi="Times New Roman"/>
          <w:color w:val="000000" w:themeColor="text1"/>
          <w:lang w:val="pt-BR"/>
        </w:rPr>
        <w:t xml:space="preserve"> regional, deve-se reconhecer que o conceito permanece “largamente não testada na prática e não alinhada com as aspirações universais de normas peremptórias”</w:t>
      </w:r>
      <w:r w:rsidR="008D655D" w:rsidRPr="00517045">
        <w:rPr>
          <w:rStyle w:val="FootnoteReference"/>
          <w:rFonts w:ascii="Times New Roman" w:hAnsi="Times New Roman"/>
          <w:color w:val="000000" w:themeColor="text1"/>
          <w:lang w:val="pt-BR"/>
        </w:rPr>
        <w:t xml:space="preserve"> </w:t>
      </w:r>
      <w:r w:rsidR="008D655D" w:rsidRPr="00517045">
        <w:rPr>
          <w:rStyle w:val="FootnoteReference"/>
          <w:rFonts w:ascii="Times New Roman" w:hAnsi="Times New Roman"/>
          <w:color w:val="000000" w:themeColor="text1"/>
        </w:rPr>
        <w:footnoteReference w:id="11"/>
      </w:r>
      <w:r w:rsidR="008D655D" w:rsidRPr="00517045">
        <w:rPr>
          <w:rFonts w:ascii="Times New Roman" w:hAnsi="Times New Roman"/>
          <w:color w:val="000000" w:themeColor="text1"/>
          <w:lang w:val="pt-BR"/>
        </w:rPr>
        <w:t xml:space="preserve">. Na verdade, para além da ausência de prática, nosso foco está </w:t>
      </w:r>
      <w:r w:rsidR="004D11DF" w:rsidRPr="00517045">
        <w:rPr>
          <w:rFonts w:ascii="Times New Roman" w:hAnsi="Times New Roman"/>
          <w:color w:val="000000" w:themeColor="text1"/>
          <w:lang w:val="pt-BR"/>
        </w:rPr>
        <w:t>dirigido à</w:t>
      </w:r>
      <w:r w:rsidR="008D655D" w:rsidRPr="00517045">
        <w:rPr>
          <w:rFonts w:ascii="Times New Roman" w:hAnsi="Times New Roman"/>
          <w:color w:val="000000" w:themeColor="text1"/>
          <w:lang w:val="pt-BR"/>
        </w:rPr>
        <w:t xml:space="preserve">s razões pelas quais há uma desconfiança geral na atualidade sobre a possibilidade de um </w:t>
      </w:r>
      <w:r w:rsidR="008D655D" w:rsidRPr="00517045">
        <w:rPr>
          <w:rFonts w:ascii="Times New Roman" w:hAnsi="Times New Roman"/>
          <w:i/>
          <w:iCs/>
          <w:color w:val="000000" w:themeColor="text1"/>
          <w:lang w:val="pt-BR"/>
        </w:rPr>
        <w:t>jus cogens</w:t>
      </w:r>
      <w:r w:rsidR="008D655D" w:rsidRPr="00517045">
        <w:rPr>
          <w:rFonts w:ascii="Times New Roman" w:hAnsi="Times New Roman"/>
          <w:color w:val="000000" w:themeColor="text1"/>
          <w:lang w:val="pt-BR"/>
        </w:rPr>
        <w:t xml:space="preserve"> regional na Comissão e na visão dos Estados. </w:t>
      </w:r>
    </w:p>
    <w:p w14:paraId="363A5114" w14:textId="33B09313" w:rsidR="008D655D" w:rsidRPr="00517045" w:rsidRDefault="008D655D">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Defende-se que tal ceticismo reflete a combinação de dois fatores: por um lado, as presunções universais que geralmente inspiram os trabalhos da Comissão, a qual é fomentada neste caso pela narrativa universalista e tradicional das normas peremptórias; por outro lado, a atitude dos Estados ao rejeitar este conceito. Esta atitude </w:t>
      </w:r>
      <w:r w:rsidR="004D11DF" w:rsidRPr="00517045">
        <w:rPr>
          <w:rFonts w:ascii="Times New Roman" w:hAnsi="Times New Roman"/>
          <w:color w:val="000000" w:themeColor="text1"/>
          <w:lang w:val="pt-BR"/>
        </w:rPr>
        <w:t>parece ter origem nas</w:t>
      </w:r>
      <w:r w:rsidRPr="00517045">
        <w:rPr>
          <w:rFonts w:ascii="Times New Roman" w:hAnsi="Times New Roman"/>
          <w:color w:val="000000" w:themeColor="text1"/>
          <w:lang w:val="pt-BR"/>
        </w:rPr>
        <w:t xml:space="preserve"> incertezas </w:t>
      </w:r>
      <w:r w:rsidR="004D11DF" w:rsidRPr="00517045">
        <w:rPr>
          <w:rFonts w:ascii="Times New Roman" w:hAnsi="Times New Roman"/>
          <w:color w:val="000000" w:themeColor="text1"/>
          <w:lang w:val="pt-BR"/>
        </w:rPr>
        <w:t xml:space="preserve">inerentes </w:t>
      </w:r>
      <w:r w:rsidR="00717F73" w:rsidRPr="00517045">
        <w:rPr>
          <w:rFonts w:ascii="Times New Roman" w:hAnsi="Times New Roman"/>
          <w:color w:val="000000" w:themeColor="text1"/>
          <w:lang w:val="pt-BR"/>
        </w:rPr>
        <w:t xml:space="preserve">à formação e </w:t>
      </w:r>
      <w:r w:rsidR="004D11DF" w:rsidRPr="00517045">
        <w:rPr>
          <w:rFonts w:ascii="Times New Roman" w:hAnsi="Times New Roman"/>
          <w:color w:val="000000" w:themeColor="text1"/>
          <w:lang w:val="pt-BR"/>
        </w:rPr>
        <w:t>ao</w:t>
      </w:r>
      <w:r w:rsidR="00717F73" w:rsidRPr="00517045">
        <w:rPr>
          <w:rFonts w:ascii="Times New Roman" w:hAnsi="Times New Roman"/>
          <w:color w:val="000000" w:themeColor="text1"/>
          <w:lang w:val="pt-BR"/>
        </w:rPr>
        <w:t xml:space="preserve"> impacto das normas peremptórias </w:t>
      </w:r>
      <w:r w:rsidR="004D11DF" w:rsidRPr="00517045">
        <w:rPr>
          <w:rFonts w:ascii="Times New Roman" w:hAnsi="Times New Roman"/>
          <w:color w:val="000000" w:themeColor="text1"/>
          <w:lang w:val="pt-BR"/>
        </w:rPr>
        <w:t xml:space="preserve">de modo </w:t>
      </w:r>
      <w:r w:rsidR="00717F73" w:rsidRPr="00517045">
        <w:rPr>
          <w:rFonts w:ascii="Times New Roman" w:hAnsi="Times New Roman"/>
          <w:color w:val="000000" w:themeColor="text1"/>
          <w:lang w:val="pt-BR"/>
        </w:rPr>
        <w:t xml:space="preserve">geral, e </w:t>
      </w:r>
      <w:r w:rsidR="004D11DF" w:rsidRPr="00517045">
        <w:rPr>
          <w:rFonts w:ascii="Times New Roman" w:hAnsi="Times New Roman"/>
          <w:color w:val="000000" w:themeColor="text1"/>
          <w:lang w:val="pt-BR"/>
        </w:rPr>
        <w:t>d</w:t>
      </w:r>
      <w:r w:rsidR="00717F73" w:rsidRPr="00517045">
        <w:rPr>
          <w:rFonts w:ascii="Times New Roman" w:hAnsi="Times New Roman"/>
          <w:color w:val="000000" w:themeColor="text1"/>
          <w:lang w:val="pt-BR"/>
        </w:rPr>
        <w:t>as normas peremptórias regionais em particular. Uma vez que os Estados são largamente os autores d</w:t>
      </w:r>
      <w:r w:rsidR="004D11DF" w:rsidRPr="00517045">
        <w:rPr>
          <w:rFonts w:ascii="Times New Roman" w:hAnsi="Times New Roman"/>
          <w:color w:val="000000" w:themeColor="text1"/>
          <w:lang w:val="pt-BR"/>
        </w:rPr>
        <w:t>o</w:t>
      </w:r>
      <w:r w:rsidR="00717F73" w:rsidRPr="00517045">
        <w:rPr>
          <w:rFonts w:ascii="Times New Roman" w:hAnsi="Times New Roman"/>
          <w:color w:val="000000" w:themeColor="text1"/>
          <w:lang w:val="pt-BR"/>
        </w:rPr>
        <w:t xml:space="preserve"> Direito Internacional, alguns deles </w:t>
      </w:r>
      <w:r w:rsidR="004D11DF" w:rsidRPr="00517045">
        <w:rPr>
          <w:rFonts w:ascii="Times New Roman" w:hAnsi="Times New Roman"/>
          <w:color w:val="000000" w:themeColor="text1"/>
          <w:lang w:val="pt-BR"/>
        </w:rPr>
        <w:t xml:space="preserve">podem nutrir </w:t>
      </w:r>
      <w:r w:rsidR="00717F73" w:rsidRPr="00517045">
        <w:rPr>
          <w:rFonts w:ascii="Times New Roman" w:hAnsi="Times New Roman"/>
          <w:color w:val="000000" w:themeColor="text1"/>
          <w:lang w:val="pt-BR"/>
        </w:rPr>
        <w:t xml:space="preserve">preocupações </w:t>
      </w:r>
      <w:r w:rsidR="004D11DF" w:rsidRPr="00517045">
        <w:rPr>
          <w:rFonts w:ascii="Times New Roman" w:hAnsi="Times New Roman"/>
          <w:color w:val="000000" w:themeColor="text1"/>
          <w:lang w:val="pt-BR"/>
        </w:rPr>
        <w:t xml:space="preserve">legais </w:t>
      </w:r>
      <w:r w:rsidR="00717F73" w:rsidRPr="00517045">
        <w:rPr>
          <w:rFonts w:ascii="Times New Roman" w:hAnsi="Times New Roman"/>
          <w:color w:val="000000" w:themeColor="text1"/>
          <w:lang w:val="pt-BR"/>
        </w:rPr>
        <w:t xml:space="preserve">genuínas sobre uma categoria jurídica adicional que tornaria mais restrita a sua mobilidade normativa. </w:t>
      </w:r>
    </w:p>
    <w:p w14:paraId="73371A26" w14:textId="77777777" w:rsidR="00E80D93" w:rsidRDefault="00717F73">
      <w:pPr>
        <w:pStyle w:val="Texto"/>
        <w:rPr>
          <w:rFonts w:ascii="Times New Roman" w:hAnsi="Times New Roman"/>
          <w:color w:val="000000" w:themeColor="text1"/>
          <w:lang w:val="pt-BR" w:eastAsia="it-IT"/>
        </w:rPr>
      </w:pPr>
      <w:r w:rsidRPr="00517045">
        <w:rPr>
          <w:rFonts w:ascii="Times New Roman" w:hAnsi="Times New Roman"/>
          <w:color w:val="000000" w:themeColor="text1"/>
          <w:lang w:val="pt-BR" w:eastAsia="it-IT"/>
        </w:rPr>
        <w:lastRenderedPageBreak/>
        <w:t xml:space="preserve">Partindo da atitude que geralmente emerge do trabalho da Comissão, vale recordar o que Crawford sumarizou anos atrás ao descrever o “resoluto universalismo” da CDI: </w:t>
      </w:r>
    </w:p>
    <w:p w14:paraId="6779A4E7" w14:textId="40B82382" w:rsidR="00E80D93" w:rsidRPr="005045EA" w:rsidRDefault="00717F73" w:rsidP="005045EA">
      <w:pPr>
        <w:pStyle w:val="Texto"/>
        <w:spacing w:line="240" w:lineRule="auto"/>
        <w:ind w:left="2268" w:firstLine="0"/>
        <w:rPr>
          <w:rFonts w:ascii="Times New Roman" w:hAnsi="Times New Roman"/>
          <w:color w:val="000000" w:themeColor="text1"/>
          <w:sz w:val="22"/>
          <w:szCs w:val="22"/>
          <w:lang w:val="pt-BR" w:eastAsia="it-IT"/>
        </w:rPr>
      </w:pPr>
      <w:r w:rsidRPr="005045EA">
        <w:rPr>
          <w:rFonts w:ascii="Times New Roman" w:hAnsi="Times New Roman"/>
          <w:color w:val="000000" w:themeColor="text1"/>
          <w:sz w:val="22"/>
          <w:szCs w:val="22"/>
          <w:lang w:val="pt-BR" w:eastAsia="it-IT"/>
        </w:rPr>
        <w:t xml:space="preserve">“o histórico da Comissão revela não somente </w:t>
      </w:r>
      <w:r w:rsidR="00A335E5" w:rsidRPr="005045EA">
        <w:rPr>
          <w:rFonts w:ascii="Times New Roman" w:hAnsi="Times New Roman"/>
          <w:color w:val="000000" w:themeColor="text1"/>
          <w:sz w:val="22"/>
          <w:szCs w:val="22"/>
          <w:lang w:val="pt-BR" w:eastAsia="it-IT"/>
        </w:rPr>
        <w:t xml:space="preserve">uma ausência de referência a questões sobre o regionalismo, mas até mesmo uma tentativa deliberada de </w:t>
      </w:r>
      <w:r w:rsidR="004D11DF" w:rsidRPr="005045EA">
        <w:rPr>
          <w:rFonts w:ascii="Times New Roman" w:hAnsi="Times New Roman"/>
          <w:color w:val="000000" w:themeColor="text1"/>
          <w:sz w:val="22"/>
          <w:szCs w:val="22"/>
          <w:lang w:val="pt-BR" w:eastAsia="it-IT"/>
        </w:rPr>
        <w:t xml:space="preserve">se esquivar de tais </w:t>
      </w:r>
      <w:r w:rsidR="00A335E5" w:rsidRPr="005045EA">
        <w:rPr>
          <w:rFonts w:ascii="Times New Roman" w:hAnsi="Times New Roman"/>
          <w:color w:val="000000" w:themeColor="text1"/>
          <w:sz w:val="22"/>
          <w:szCs w:val="22"/>
          <w:lang w:val="pt-BR" w:eastAsia="it-IT"/>
        </w:rPr>
        <w:t xml:space="preserve">ideias. Se alguém pudesse escrever a </w:t>
      </w:r>
      <w:r w:rsidR="004D11DF" w:rsidRPr="005045EA">
        <w:rPr>
          <w:rFonts w:ascii="Times New Roman" w:hAnsi="Times New Roman"/>
          <w:color w:val="000000" w:themeColor="text1"/>
          <w:sz w:val="22"/>
          <w:szCs w:val="22"/>
          <w:lang w:val="pt-BR" w:eastAsia="it-IT"/>
        </w:rPr>
        <w:t>H</w:t>
      </w:r>
      <w:r w:rsidR="00A335E5" w:rsidRPr="005045EA">
        <w:rPr>
          <w:rFonts w:ascii="Times New Roman" w:hAnsi="Times New Roman"/>
          <w:color w:val="000000" w:themeColor="text1"/>
          <w:sz w:val="22"/>
          <w:szCs w:val="22"/>
          <w:lang w:val="pt-BR" w:eastAsia="it-IT"/>
        </w:rPr>
        <w:t>istória d</w:t>
      </w:r>
      <w:r w:rsidR="004D11DF" w:rsidRPr="005045EA">
        <w:rPr>
          <w:rFonts w:ascii="Times New Roman" w:hAnsi="Times New Roman"/>
          <w:color w:val="000000" w:themeColor="text1"/>
          <w:sz w:val="22"/>
          <w:szCs w:val="22"/>
          <w:lang w:val="pt-BR" w:eastAsia="it-IT"/>
        </w:rPr>
        <w:t>o</w:t>
      </w:r>
      <w:r w:rsidR="00A335E5" w:rsidRPr="005045EA">
        <w:rPr>
          <w:rFonts w:ascii="Times New Roman" w:hAnsi="Times New Roman"/>
          <w:color w:val="000000" w:themeColor="text1"/>
          <w:sz w:val="22"/>
          <w:szCs w:val="22"/>
          <w:lang w:val="pt-BR" w:eastAsia="it-IT"/>
        </w:rPr>
        <w:t xml:space="preserve"> desenvolvimento normativo no plano internacional em termos da tensão ou dialética entre universalismo e regionalismo,  ponto é que a </w:t>
      </w:r>
      <w:r w:rsidR="004D11DF" w:rsidRPr="005045EA">
        <w:rPr>
          <w:rFonts w:ascii="Times New Roman" w:hAnsi="Times New Roman"/>
          <w:color w:val="000000" w:themeColor="text1"/>
          <w:sz w:val="22"/>
          <w:szCs w:val="22"/>
          <w:lang w:val="pt-BR" w:eastAsia="it-IT"/>
        </w:rPr>
        <w:t>H</w:t>
      </w:r>
      <w:r w:rsidR="00A335E5" w:rsidRPr="005045EA">
        <w:rPr>
          <w:rFonts w:ascii="Times New Roman" w:hAnsi="Times New Roman"/>
          <w:color w:val="000000" w:themeColor="text1"/>
          <w:sz w:val="22"/>
          <w:szCs w:val="22"/>
          <w:lang w:val="pt-BR" w:eastAsia="it-IT"/>
        </w:rPr>
        <w:t xml:space="preserve">istória da contribuição da Comissão a tais desenvolvimentos seria </w:t>
      </w:r>
      <w:r w:rsidR="002107DD" w:rsidRPr="005045EA">
        <w:rPr>
          <w:rFonts w:ascii="Times New Roman" w:hAnsi="Times New Roman"/>
          <w:color w:val="000000" w:themeColor="text1"/>
          <w:sz w:val="22"/>
          <w:szCs w:val="22"/>
          <w:lang w:val="pt-BR" w:eastAsia="it-IT"/>
        </w:rPr>
        <w:t>talvez tendenciosa</w:t>
      </w:r>
      <w:r w:rsidR="00A335E5" w:rsidRPr="005045EA">
        <w:rPr>
          <w:rFonts w:ascii="Times New Roman" w:hAnsi="Times New Roman"/>
          <w:color w:val="000000" w:themeColor="text1"/>
          <w:sz w:val="22"/>
          <w:szCs w:val="22"/>
          <w:lang w:val="pt-BR" w:eastAsia="it-IT"/>
        </w:rPr>
        <w:t xml:space="preserve">, </w:t>
      </w:r>
      <w:r w:rsidR="004D11DF" w:rsidRPr="005045EA">
        <w:rPr>
          <w:rFonts w:ascii="Times New Roman" w:hAnsi="Times New Roman"/>
          <w:color w:val="000000" w:themeColor="text1"/>
          <w:sz w:val="22"/>
          <w:szCs w:val="22"/>
          <w:lang w:val="pt-BR" w:eastAsia="it-IT"/>
        </w:rPr>
        <w:t>senão</w:t>
      </w:r>
      <w:r w:rsidR="00A335E5" w:rsidRPr="005045EA">
        <w:rPr>
          <w:rFonts w:ascii="Times New Roman" w:hAnsi="Times New Roman"/>
          <w:color w:val="000000" w:themeColor="text1"/>
          <w:sz w:val="22"/>
          <w:szCs w:val="22"/>
          <w:lang w:val="pt-BR" w:eastAsia="it-IT"/>
        </w:rPr>
        <w:t xml:space="preserve"> totalmente inexistente. Em conformidade com o seu Estatuto e o seu mandato, a Comissão trabalh</w:t>
      </w:r>
      <w:r w:rsidR="004D11DF" w:rsidRPr="005045EA">
        <w:rPr>
          <w:rFonts w:ascii="Times New Roman" w:hAnsi="Times New Roman"/>
          <w:color w:val="000000" w:themeColor="text1"/>
          <w:sz w:val="22"/>
          <w:szCs w:val="22"/>
          <w:lang w:val="pt-BR" w:eastAsia="it-IT"/>
        </w:rPr>
        <w:t>a</w:t>
      </w:r>
      <w:r w:rsidR="00A335E5" w:rsidRPr="005045EA">
        <w:rPr>
          <w:rFonts w:ascii="Times New Roman" w:hAnsi="Times New Roman"/>
          <w:color w:val="000000" w:themeColor="text1"/>
          <w:sz w:val="22"/>
          <w:szCs w:val="22"/>
          <w:lang w:val="pt-BR" w:eastAsia="it-IT"/>
        </w:rPr>
        <w:t xml:space="preserve"> completamente </w:t>
      </w:r>
      <w:r w:rsidR="004D11DF" w:rsidRPr="005045EA">
        <w:rPr>
          <w:rFonts w:ascii="Times New Roman" w:hAnsi="Times New Roman"/>
          <w:color w:val="000000" w:themeColor="text1"/>
          <w:sz w:val="22"/>
          <w:szCs w:val="22"/>
          <w:lang w:val="pt-BR" w:eastAsia="it-IT"/>
        </w:rPr>
        <w:t xml:space="preserve">sob </w:t>
      </w:r>
      <w:r w:rsidR="00A335E5" w:rsidRPr="005045EA">
        <w:rPr>
          <w:rFonts w:ascii="Times New Roman" w:hAnsi="Times New Roman"/>
          <w:color w:val="000000" w:themeColor="text1"/>
          <w:sz w:val="22"/>
          <w:szCs w:val="22"/>
          <w:lang w:val="pt-BR" w:eastAsia="it-IT"/>
        </w:rPr>
        <w:t>o pressuposto do universalismo”</w:t>
      </w:r>
      <w:r w:rsidR="00A335E5" w:rsidRPr="005045EA">
        <w:rPr>
          <w:rStyle w:val="FootnoteReference"/>
          <w:rFonts w:ascii="Times New Roman" w:hAnsi="Times New Roman"/>
          <w:color w:val="000000" w:themeColor="text1"/>
          <w:sz w:val="22"/>
          <w:szCs w:val="22"/>
          <w:lang w:val="pt-BR"/>
        </w:rPr>
        <w:t xml:space="preserve"> </w:t>
      </w:r>
      <w:r w:rsidR="00A335E5" w:rsidRPr="005045EA">
        <w:rPr>
          <w:rStyle w:val="FootnoteReference"/>
          <w:rFonts w:ascii="Times New Roman" w:hAnsi="Times New Roman"/>
          <w:color w:val="000000" w:themeColor="text1"/>
          <w:sz w:val="22"/>
          <w:szCs w:val="22"/>
        </w:rPr>
        <w:footnoteReference w:id="12"/>
      </w:r>
      <w:r w:rsidR="00A335E5" w:rsidRPr="005045EA">
        <w:rPr>
          <w:rFonts w:ascii="Times New Roman" w:hAnsi="Times New Roman"/>
          <w:color w:val="000000" w:themeColor="text1"/>
          <w:sz w:val="22"/>
          <w:szCs w:val="22"/>
          <w:lang w:val="pt-BR" w:eastAsia="it-IT"/>
        </w:rPr>
        <w:t xml:space="preserve">. </w:t>
      </w:r>
    </w:p>
    <w:p w14:paraId="6BFA68FD" w14:textId="3C4613FD" w:rsidR="00717F73" w:rsidRPr="00517045" w:rsidRDefault="00A335E5">
      <w:pPr>
        <w:pStyle w:val="Texto"/>
        <w:rPr>
          <w:rFonts w:ascii="Times New Roman" w:hAnsi="Times New Roman"/>
          <w:color w:val="000000" w:themeColor="text1"/>
          <w:lang w:val="pt-BR" w:eastAsia="it-IT"/>
        </w:rPr>
      </w:pPr>
      <w:r w:rsidRPr="00517045">
        <w:rPr>
          <w:rFonts w:ascii="Times New Roman" w:hAnsi="Times New Roman"/>
          <w:color w:val="000000" w:themeColor="text1"/>
          <w:lang w:val="pt-BR" w:eastAsia="it-IT"/>
        </w:rPr>
        <w:t>Essa atitude se manteve viva ao longo dos anos pela Comissão e parece ser suficientemente evidente que ela pode ser encontrada</w:t>
      </w:r>
      <w:r w:rsidR="0069175A" w:rsidRPr="00517045">
        <w:rPr>
          <w:rFonts w:ascii="Times New Roman" w:hAnsi="Times New Roman"/>
          <w:color w:val="000000" w:themeColor="text1"/>
          <w:lang w:val="pt-BR" w:eastAsia="it-IT"/>
        </w:rPr>
        <w:t xml:space="preserve"> ainda mais nos trabalhos relacionados à categoria de normas </w:t>
      </w:r>
      <w:r w:rsidR="004D11DF" w:rsidRPr="00517045">
        <w:rPr>
          <w:rFonts w:ascii="Times New Roman" w:hAnsi="Times New Roman"/>
          <w:color w:val="000000" w:themeColor="text1"/>
          <w:lang w:val="pt-BR" w:eastAsia="it-IT"/>
        </w:rPr>
        <w:t>as quais</w:t>
      </w:r>
      <w:r w:rsidR="0069175A" w:rsidRPr="00517045">
        <w:rPr>
          <w:rFonts w:ascii="Times New Roman" w:hAnsi="Times New Roman"/>
          <w:color w:val="000000" w:themeColor="text1"/>
          <w:lang w:val="pt-BR" w:eastAsia="it-IT"/>
        </w:rPr>
        <w:t xml:space="preserve">, desde seus primeiros reconhecimentos em codificações oficiais, foram consideradas como inerentemente universais pelos Estados e pela CDI propriamente. </w:t>
      </w:r>
    </w:p>
    <w:p w14:paraId="3E91526A" w14:textId="2E333860" w:rsidR="00515BD9" w:rsidRPr="00517045" w:rsidRDefault="0069175A">
      <w:pPr>
        <w:pStyle w:val="Texto"/>
        <w:rPr>
          <w:rFonts w:ascii="Times New Roman" w:hAnsi="Times New Roman"/>
          <w:color w:val="000000" w:themeColor="text1"/>
          <w:lang w:val="pt-BR"/>
        </w:rPr>
      </w:pPr>
      <w:r w:rsidRPr="00517045">
        <w:rPr>
          <w:rFonts w:ascii="Times New Roman" w:hAnsi="Times New Roman"/>
          <w:color w:val="000000" w:themeColor="text1"/>
          <w:lang w:val="pt-BR"/>
        </w:rPr>
        <w:t>De fato, a ideia de aspirações universais e aplicabilidade de normas peremptórias é claramente refletida nos trabalhos da CDI sobre normas peremptórias. O esboço de conclusão nº 3, adotado em primeira leitura, prevê que “normas peremptórias de Direito Internacional geral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refletem e protegem valores fundamentais da comunidade internacional, e são hierarquicamente superiores às demais regras de Direito Internacional e aplicáveis universalmente”</w:t>
      </w:r>
      <w:r w:rsidRPr="00517045">
        <w:rPr>
          <w:rStyle w:val="FootnoteReference"/>
          <w:rFonts w:ascii="Times New Roman" w:hAnsi="Times New Roman"/>
          <w:color w:val="000000" w:themeColor="text1"/>
        </w:rPr>
        <w:footnoteReference w:id="13"/>
      </w:r>
      <w:r w:rsidRPr="00517045">
        <w:rPr>
          <w:rFonts w:ascii="Times New Roman" w:hAnsi="Times New Roman"/>
          <w:color w:val="000000" w:themeColor="text1"/>
          <w:lang w:val="pt-BR"/>
        </w:rPr>
        <w:t xml:space="preserve">. Em comentário a esta conclusão, </w:t>
      </w:r>
      <w:r w:rsidR="00C91867" w:rsidRPr="00517045">
        <w:rPr>
          <w:rFonts w:ascii="Times New Roman" w:hAnsi="Times New Roman"/>
          <w:color w:val="000000" w:themeColor="text1"/>
          <w:lang w:val="pt-BR"/>
        </w:rPr>
        <w:t xml:space="preserve">nota-se </w:t>
      </w:r>
      <w:r w:rsidRPr="00517045">
        <w:rPr>
          <w:rFonts w:ascii="Times New Roman" w:hAnsi="Times New Roman"/>
          <w:color w:val="000000" w:themeColor="text1"/>
          <w:lang w:val="pt-BR"/>
        </w:rPr>
        <w:t>que a característica da aplicabilidade universal de normas peremptórias de Direito Internacional geral implica que tais normas não se aplicam a uma base regional ou bilateral</w:t>
      </w:r>
      <w:r w:rsidRPr="00517045">
        <w:rPr>
          <w:rStyle w:val="FootnoteReference"/>
          <w:rFonts w:ascii="Times New Roman" w:hAnsi="Times New Roman"/>
          <w:color w:val="000000" w:themeColor="text1"/>
        </w:rPr>
        <w:footnoteReference w:id="14"/>
      </w:r>
      <w:r w:rsidRPr="00517045">
        <w:rPr>
          <w:rFonts w:ascii="Times New Roman" w:hAnsi="Times New Roman"/>
          <w:color w:val="000000" w:themeColor="text1"/>
          <w:lang w:val="pt-BR"/>
        </w:rPr>
        <w:t xml:space="preserve">. Assim, a CDI parece ter fechado as portas para a possibilidade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w:t>
      </w:r>
      <w:r w:rsidR="00C91867" w:rsidRPr="00517045">
        <w:rPr>
          <w:rFonts w:ascii="Times New Roman" w:hAnsi="Times New Roman"/>
          <w:color w:val="000000" w:themeColor="text1"/>
          <w:lang w:val="pt-BR"/>
        </w:rPr>
        <w:t xml:space="preserve">afirmando a </w:t>
      </w:r>
      <w:r w:rsidRPr="00517045">
        <w:rPr>
          <w:rFonts w:ascii="Times New Roman" w:hAnsi="Times New Roman"/>
          <w:color w:val="000000" w:themeColor="text1"/>
          <w:lang w:val="pt-BR"/>
        </w:rPr>
        <w:t>ideia</w:t>
      </w:r>
      <w:r w:rsidR="00C91867" w:rsidRPr="00517045">
        <w:rPr>
          <w:rFonts w:ascii="Times New Roman" w:hAnsi="Times New Roman"/>
          <w:color w:val="000000" w:themeColor="text1"/>
          <w:lang w:val="pt-BR"/>
        </w:rPr>
        <w:t xml:space="preserve"> de</w:t>
      </w:r>
      <w:r w:rsidRPr="00517045">
        <w:rPr>
          <w:rFonts w:ascii="Times New Roman" w:hAnsi="Times New Roman"/>
          <w:color w:val="000000" w:themeColor="text1"/>
          <w:lang w:val="pt-BR"/>
        </w:rPr>
        <w:t xml:space="preserve"> que as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são universalmente aplicáveis pela</w:t>
      </w:r>
      <w:r w:rsidR="00C91867" w:rsidRPr="00517045">
        <w:rPr>
          <w:rFonts w:ascii="Times New Roman" w:hAnsi="Times New Roman"/>
          <w:color w:val="000000" w:themeColor="text1"/>
          <w:lang w:val="pt-BR"/>
        </w:rPr>
        <w:t xml:space="preserve"> sua</w:t>
      </w:r>
      <w:r w:rsidRPr="00517045">
        <w:rPr>
          <w:rFonts w:ascii="Times New Roman" w:hAnsi="Times New Roman"/>
          <w:color w:val="000000" w:themeColor="text1"/>
          <w:lang w:val="pt-BR"/>
        </w:rPr>
        <w:t xml:space="preserve"> própria natureza. Essa ideia denota um forte atrelamento a</w:t>
      </w:r>
      <w:r w:rsidR="00C91867"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 espírito do Art. 53 da CVDT, e goza de amplo suporte na prática, ainda que majoritariamente em referência a prática relativa a normas de caráter universal (como a proibição do genocídio ou da agressão). Em outras palavras</w:t>
      </w:r>
      <w:r w:rsidR="00515BD9" w:rsidRPr="00517045">
        <w:rPr>
          <w:rFonts w:ascii="Times New Roman" w:hAnsi="Times New Roman"/>
          <w:color w:val="000000" w:themeColor="text1"/>
          <w:lang w:val="pt-BR"/>
        </w:rPr>
        <w:t xml:space="preserve">, a CDI abstraiu desta prática um elemento inerente </w:t>
      </w:r>
      <w:r w:rsidR="00515BD9" w:rsidRPr="00517045">
        <w:rPr>
          <w:rFonts w:ascii="Times New Roman" w:hAnsi="Times New Roman"/>
          <w:color w:val="000000" w:themeColor="text1"/>
          <w:lang w:val="pt-BR"/>
        </w:rPr>
        <w:lastRenderedPageBreak/>
        <w:t xml:space="preserve">de </w:t>
      </w:r>
      <w:r w:rsidR="00515BD9" w:rsidRPr="00517045">
        <w:rPr>
          <w:rFonts w:ascii="Times New Roman" w:hAnsi="Times New Roman"/>
          <w:i/>
          <w:iCs/>
          <w:color w:val="000000" w:themeColor="text1"/>
          <w:lang w:val="pt-BR"/>
        </w:rPr>
        <w:t>jus cogens</w:t>
      </w:r>
      <w:r w:rsidR="00515BD9" w:rsidRPr="00517045">
        <w:rPr>
          <w:rFonts w:ascii="Times New Roman" w:hAnsi="Times New Roman"/>
          <w:color w:val="000000" w:themeColor="text1"/>
          <w:lang w:val="pt-BR"/>
        </w:rPr>
        <w:t xml:space="preserve">, isto é, sua aplicabilidade universal. Em seu primeiro relatório, o Relator Especial chegou a afirmar que um </w:t>
      </w:r>
      <w:r w:rsidR="00515BD9" w:rsidRPr="00517045">
        <w:rPr>
          <w:rFonts w:ascii="Times New Roman" w:hAnsi="Times New Roman"/>
          <w:i/>
          <w:iCs/>
          <w:color w:val="000000" w:themeColor="text1"/>
          <w:lang w:val="pt-BR"/>
        </w:rPr>
        <w:t>jus cogens</w:t>
      </w:r>
      <w:r w:rsidR="00515BD9" w:rsidRPr="00517045">
        <w:rPr>
          <w:rFonts w:ascii="Times New Roman" w:hAnsi="Times New Roman"/>
          <w:color w:val="000000" w:themeColor="text1"/>
          <w:lang w:val="pt-BR"/>
        </w:rPr>
        <w:t xml:space="preserve"> regional seria uma exceção ao “princípio geral da aplicação universal das normas de </w:t>
      </w:r>
      <w:r w:rsidR="00515BD9" w:rsidRPr="00517045">
        <w:rPr>
          <w:rFonts w:ascii="Times New Roman" w:hAnsi="Times New Roman"/>
          <w:i/>
          <w:iCs/>
          <w:color w:val="000000" w:themeColor="text1"/>
          <w:lang w:val="pt-BR"/>
        </w:rPr>
        <w:t>jus cogens</w:t>
      </w:r>
      <w:r w:rsidR="00515BD9" w:rsidRPr="00517045">
        <w:rPr>
          <w:rFonts w:ascii="Times New Roman" w:hAnsi="Times New Roman"/>
          <w:color w:val="000000" w:themeColor="text1"/>
          <w:lang w:val="pt-BR"/>
        </w:rPr>
        <w:t>”</w:t>
      </w:r>
      <w:r w:rsidR="00515BD9" w:rsidRPr="00517045">
        <w:rPr>
          <w:rStyle w:val="FootnoteReference"/>
          <w:rFonts w:ascii="Times New Roman" w:hAnsi="Times New Roman"/>
          <w:color w:val="000000" w:themeColor="text1"/>
        </w:rPr>
        <w:footnoteReference w:id="15"/>
      </w:r>
      <w:r w:rsidR="00515BD9" w:rsidRPr="00517045">
        <w:rPr>
          <w:rFonts w:ascii="Times New Roman" w:hAnsi="Times New Roman"/>
          <w:color w:val="000000" w:themeColor="text1"/>
          <w:lang w:val="pt-BR"/>
        </w:rPr>
        <w:t>.</w:t>
      </w:r>
    </w:p>
    <w:p w14:paraId="4F9FFB4E" w14:textId="6BFBE3AF" w:rsidR="00515BD9" w:rsidRPr="00517045" w:rsidRDefault="00515BD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Ao mesmo tempo, todavia, há alguma ambiguidade na abordagem da CDI sobre a questão da possibilidade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Enquanto as passagens recém mencionadas demonstram uma posição um tanto radical sobre a </w:t>
      </w:r>
      <w:r w:rsidR="00717ABD">
        <w:rPr>
          <w:rFonts w:ascii="Times New Roman" w:hAnsi="Times New Roman"/>
          <w:color w:val="000000" w:themeColor="text1"/>
          <w:lang w:val="pt-BR"/>
        </w:rPr>
        <w:t xml:space="preserve">não </w:t>
      </w:r>
      <w:r w:rsidRPr="00517045">
        <w:rPr>
          <w:rFonts w:ascii="Times New Roman" w:hAnsi="Times New Roman"/>
          <w:color w:val="000000" w:themeColor="text1"/>
          <w:lang w:val="pt-BR"/>
        </w:rPr>
        <w:t xml:space="preserve">possibilidade de </w:t>
      </w:r>
      <w:r w:rsidR="00C91867" w:rsidRPr="00517045">
        <w:rPr>
          <w:rFonts w:ascii="Times New Roman" w:hAnsi="Times New Roman"/>
          <w:color w:val="000000" w:themeColor="text1"/>
          <w:lang w:val="pt-BR"/>
        </w:rPr>
        <w:t>tal modalidade de normas peremptórias</w:t>
      </w:r>
      <w:r w:rsidRPr="00517045">
        <w:rPr>
          <w:rFonts w:ascii="Times New Roman" w:hAnsi="Times New Roman"/>
          <w:color w:val="000000" w:themeColor="text1"/>
          <w:lang w:val="pt-BR"/>
        </w:rPr>
        <w:t xml:space="preserve"> no Direito Internacional, outras passagens sugerem uma abordagem mais permissiva a qual parece, ao menos, reconhecer a possibilidade lógica de tais normas. No comentário ao</w:t>
      </w:r>
      <w:r w:rsidR="00717ABD">
        <w:rPr>
          <w:rFonts w:ascii="Times New Roman" w:hAnsi="Times New Roman"/>
          <w:color w:val="000000" w:themeColor="text1"/>
          <w:lang w:val="pt-BR"/>
        </w:rPr>
        <w:t xml:space="preserve"> </w:t>
      </w:r>
      <w:r w:rsidR="00717ABD">
        <w:rPr>
          <w:rFonts w:ascii="Times New Roman" w:hAnsi="Times New Roman"/>
          <w:i/>
          <w:iCs/>
          <w:color w:val="000000" w:themeColor="text1"/>
          <w:lang w:val="pt-BR"/>
        </w:rPr>
        <w:t>draft</w:t>
      </w:r>
      <w:r w:rsidRPr="00517045">
        <w:rPr>
          <w:rFonts w:ascii="Times New Roman" w:hAnsi="Times New Roman"/>
          <w:color w:val="000000" w:themeColor="text1"/>
          <w:lang w:val="pt-BR"/>
        </w:rPr>
        <w:t xml:space="preserve"> de Conclusão nº 1, dedicado ao escopo do trabalho, afirma-se que “a frase ‘normas peremptórias de Direito Internacional geral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também serve para indicar que o tópico se preocupa apenas c</w:t>
      </w:r>
      <w:r w:rsidR="00C91867"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m as normas de Direito Internacional geral.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em sistemas jurídicos domésticos, por </w:t>
      </w:r>
      <w:r w:rsidRPr="00717ABD">
        <w:rPr>
          <w:rFonts w:ascii="Times New Roman" w:hAnsi="Times New Roman"/>
          <w:color w:val="000000" w:themeColor="text1"/>
          <w:lang w:val="pt-BR"/>
        </w:rPr>
        <w:t xml:space="preserve">exemplo, não são parte deste tópico. De modo similar, normas de caráter puramente bilateral ou regional também estão </w:t>
      </w:r>
      <w:r w:rsidRPr="00717ABD">
        <w:rPr>
          <w:rFonts w:ascii="Times New Roman" w:hAnsi="Times New Roman"/>
          <w:i/>
          <w:iCs/>
          <w:color w:val="000000" w:themeColor="text1"/>
          <w:lang w:val="pt-BR"/>
        </w:rPr>
        <w:t>excluídas do escopo deste tópico”</w:t>
      </w:r>
      <w:r w:rsidRPr="00717ABD">
        <w:rPr>
          <w:rStyle w:val="FootnoteReference"/>
          <w:rFonts w:ascii="Times New Roman" w:hAnsi="Times New Roman"/>
          <w:color w:val="000000" w:themeColor="text1"/>
        </w:rPr>
        <w:footnoteReference w:id="16"/>
      </w:r>
      <w:r w:rsidRPr="00717ABD">
        <w:rPr>
          <w:rFonts w:ascii="Times New Roman" w:hAnsi="Times New Roman"/>
          <w:color w:val="000000" w:themeColor="text1"/>
          <w:lang w:val="pt-BR"/>
        </w:rPr>
        <w:t xml:space="preserve">. </w:t>
      </w:r>
      <w:r w:rsidR="00C91867" w:rsidRPr="00717ABD">
        <w:rPr>
          <w:rFonts w:ascii="Times New Roman" w:hAnsi="Times New Roman"/>
          <w:color w:val="000000" w:themeColor="text1"/>
          <w:lang w:val="pt-BR"/>
        </w:rPr>
        <w:t>No mesmo sentido</w:t>
      </w:r>
      <w:r w:rsidR="00517045" w:rsidRPr="00717ABD">
        <w:rPr>
          <w:rFonts w:ascii="Times New Roman" w:hAnsi="Times New Roman"/>
          <w:lang w:val="pt-BR"/>
        </w:rPr>
        <w:t xml:space="preserve"> a possibilidade lógica de um jus cogens regional parece não ter sido de todo negada, mas apenas excluída do escopo do trabalho</w:t>
      </w:r>
      <w:r w:rsidR="00517045" w:rsidRPr="00717ABD">
        <w:rPr>
          <w:rStyle w:val="FootnoteReference"/>
          <w:rFonts w:ascii="Times New Roman" w:hAnsi="Times New Roman"/>
          <w:color w:val="000000" w:themeColor="text1"/>
          <w:lang w:val="pt-BR"/>
        </w:rPr>
        <w:t xml:space="preserve"> </w:t>
      </w:r>
      <w:r w:rsidRPr="00717ABD">
        <w:rPr>
          <w:rStyle w:val="FootnoteReference"/>
          <w:rFonts w:ascii="Times New Roman" w:hAnsi="Times New Roman"/>
          <w:color w:val="000000" w:themeColor="text1"/>
        </w:rPr>
        <w:footnoteReference w:id="17"/>
      </w:r>
      <w:r w:rsidRPr="00717ABD">
        <w:rPr>
          <w:rFonts w:ascii="Times New Roman" w:hAnsi="Times New Roman"/>
          <w:i/>
          <w:iCs/>
          <w:color w:val="000000" w:themeColor="text1"/>
          <w:lang w:val="pt-BR"/>
        </w:rPr>
        <w:t>.</w:t>
      </w:r>
    </w:p>
    <w:p w14:paraId="6DE84627" w14:textId="03FD9BC8" w:rsidR="00515BD9" w:rsidRPr="00517045" w:rsidRDefault="00515BD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Deve ser notado, em </w:t>
      </w:r>
      <w:r w:rsidR="00335F66" w:rsidRPr="00517045">
        <w:rPr>
          <w:rFonts w:ascii="Times New Roman" w:hAnsi="Times New Roman"/>
          <w:color w:val="000000" w:themeColor="text1"/>
          <w:lang w:val="pt-BR"/>
        </w:rPr>
        <w:t>passagem</w:t>
      </w:r>
      <w:r w:rsidRPr="00517045">
        <w:rPr>
          <w:rFonts w:ascii="Times New Roman" w:hAnsi="Times New Roman"/>
          <w:color w:val="000000" w:themeColor="text1"/>
          <w:lang w:val="pt-BR"/>
        </w:rPr>
        <w:t xml:space="preserve">, que </w:t>
      </w:r>
      <w:r w:rsidR="00335F66" w:rsidRPr="00517045">
        <w:rPr>
          <w:rFonts w:ascii="Times New Roman" w:hAnsi="Times New Roman"/>
          <w:color w:val="000000" w:themeColor="text1"/>
          <w:lang w:val="pt-BR"/>
        </w:rPr>
        <w:t xml:space="preserve">uma abordagem similar, embora mais permissiva – a qual parece não excluir completamente a possibilidade de um </w:t>
      </w:r>
      <w:r w:rsidR="00335F66" w:rsidRPr="00517045">
        <w:rPr>
          <w:rFonts w:ascii="Times New Roman" w:hAnsi="Times New Roman"/>
          <w:i/>
          <w:iCs/>
          <w:color w:val="000000" w:themeColor="text1"/>
          <w:lang w:val="pt-BR"/>
        </w:rPr>
        <w:t>jus cogens</w:t>
      </w:r>
      <w:r w:rsidR="00335F66" w:rsidRPr="00517045">
        <w:rPr>
          <w:rFonts w:ascii="Times New Roman" w:hAnsi="Times New Roman"/>
          <w:color w:val="000000" w:themeColor="text1"/>
          <w:lang w:val="pt-BR"/>
        </w:rPr>
        <w:t xml:space="preserve"> regional, mas simplesmente deixa esta categoria fora do escopo do trabalho – também pode ser encontrada em um trabalho anterior da CDI. A referência remonta ao Guia de Prática sobre Reservas a Tratados, produzido pela </w:t>
      </w:r>
      <w:r w:rsidR="00C91867" w:rsidRPr="00517045">
        <w:rPr>
          <w:rFonts w:ascii="Times New Roman" w:hAnsi="Times New Roman"/>
          <w:color w:val="000000" w:themeColor="text1"/>
          <w:lang w:val="pt-BR"/>
        </w:rPr>
        <w:t xml:space="preserve">Comissão </w:t>
      </w:r>
      <w:r w:rsidR="00335F66" w:rsidRPr="00517045">
        <w:rPr>
          <w:rFonts w:ascii="Times New Roman" w:hAnsi="Times New Roman"/>
          <w:color w:val="000000" w:themeColor="text1"/>
          <w:lang w:val="pt-BR"/>
        </w:rPr>
        <w:t xml:space="preserve">em 2011, cujo Relator Especial, Alain Pellet, apoiou a ideia de um </w:t>
      </w:r>
      <w:r w:rsidR="00335F66" w:rsidRPr="00517045">
        <w:rPr>
          <w:rFonts w:ascii="Times New Roman" w:hAnsi="Times New Roman"/>
          <w:i/>
          <w:iCs/>
          <w:color w:val="000000" w:themeColor="text1"/>
          <w:lang w:val="pt-BR"/>
        </w:rPr>
        <w:t xml:space="preserve">jus cogens </w:t>
      </w:r>
      <w:r w:rsidR="00335F66" w:rsidRPr="00517045">
        <w:rPr>
          <w:rFonts w:ascii="Times New Roman" w:hAnsi="Times New Roman"/>
          <w:color w:val="000000" w:themeColor="text1"/>
          <w:lang w:val="pt-BR"/>
        </w:rPr>
        <w:t>regional em produções acadêmicas</w:t>
      </w:r>
      <w:r w:rsidR="00335F66" w:rsidRPr="00517045">
        <w:rPr>
          <w:rStyle w:val="FootnoteReference"/>
          <w:rFonts w:ascii="Times New Roman" w:hAnsi="Times New Roman"/>
          <w:color w:val="000000" w:themeColor="text1"/>
        </w:rPr>
        <w:footnoteReference w:id="18"/>
      </w:r>
      <w:r w:rsidR="00335F66" w:rsidRPr="00517045">
        <w:rPr>
          <w:rFonts w:ascii="Times New Roman" w:hAnsi="Times New Roman"/>
          <w:color w:val="000000" w:themeColor="text1"/>
          <w:lang w:val="pt-BR"/>
        </w:rPr>
        <w:t xml:space="preserve">. Em comentário ao Artigo 4.4.3 sobre a ausência de efeitos de uma reserva para a provisão de um tratado a qual reflete uma norma peremptória de Direito </w:t>
      </w:r>
      <w:r w:rsidR="00335F66" w:rsidRPr="00517045">
        <w:rPr>
          <w:rFonts w:ascii="Times New Roman" w:hAnsi="Times New Roman"/>
          <w:color w:val="000000" w:themeColor="text1"/>
          <w:lang w:val="pt-BR"/>
        </w:rPr>
        <w:lastRenderedPageBreak/>
        <w:t>Internacional geral</w:t>
      </w:r>
      <w:r w:rsidR="00335F66" w:rsidRPr="00517045">
        <w:rPr>
          <w:rStyle w:val="FootnoteReference"/>
          <w:rFonts w:ascii="Times New Roman" w:hAnsi="Times New Roman"/>
          <w:color w:val="000000" w:themeColor="text1"/>
        </w:rPr>
        <w:footnoteReference w:id="19"/>
      </w:r>
      <w:r w:rsidR="00335F66" w:rsidRPr="00517045">
        <w:rPr>
          <w:rFonts w:ascii="Times New Roman" w:hAnsi="Times New Roman"/>
          <w:color w:val="000000" w:themeColor="text1"/>
          <w:lang w:val="pt-BR"/>
        </w:rPr>
        <w:t>, a referência às normas peremptórias as quais, nas palavras da CDI, “</w:t>
      </w:r>
      <w:r w:rsidR="00335F66" w:rsidRPr="00517045">
        <w:rPr>
          <w:rFonts w:ascii="Times New Roman" w:hAnsi="Times New Roman"/>
          <w:i/>
          <w:iCs/>
          <w:color w:val="000000" w:themeColor="text1"/>
          <w:lang w:val="pt-BR"/>
        </w:rPr>
        <w:t>ex hypothesi</w:t>
      </w:r>
      <w:r w:rsidR="00335F66" w:rsidRPr="00517045">
        <w:rPr>
          <w:rFonts w:ascii="Times New Roman" w:hAnsi="Times New Roman"/>
          <w:color w:val="000000" w:themeColor="text1"/>
          <w:lang w:val="pt-BR"/>
        </w:rPr>
        <w:t>, são aplicáveis a todos os Estados e organizações internacionais”, é acompanhada pela seguinte ressalva: “sujeitas à possível existência de normas peremptórias regionais, as quais a Comissão não abarcou”</w:t>
      </w:r>
      <w:r w:rsidR="00335F66" w:rsidRPr="00517045">
        <w:rPr>
          <w:rStyle w:val="FootnoteReference"/>
          <w:rFonts w:ascii="Times New Roman" w:hAnsi="Times New Roman"/>
          <w:color w:val="000000" w:themeColor="text1"/>
        </w:rPr>
        <w:footnoteReference w:id="20"/>
      </w:r>
      <w:r w:rsidR="00335F66" w:rsidRPr="00517045">
        <w:rPr>
          <w:rFonts w:ascii="Times New Roman" w:hAnsi="Times New Roman"/>
          <w:color w:val="000000" w:themeColor="text1"/>
          <w:lang w:val="pt-BR"/>
        </w:rPr>
        <w:t>.</w:t>
      </w:r>
    </w:p>
    <w:p w14:paraId="447DC6DB" w14:textId="5D271DCE" w:rsidR="00335F66" w:rsidRPr="00517045" w:rsidRDefault="007D2482">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Em última análise, parece que o “universalismo resoluto” da Comissão foi confirmado em seu recente trabalho sobre normas peremptórias, particularmente à luz da influência advinda do viés universalista da CVDT e da prática relacionada a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de caráter universal. No entanto, para além da ausência de prática significativa, a possibilidade lógica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parece não ter sido completamente afastada pela CDI. Trata-se simplesmente de algo que vai além dos pressupostos da Comissão, isto é, do universalismo das normas peremptórias e sua prática. </w:t>
      </w:r>
    </w:p>
    <w:p w14:paraId="05E71605" w14:textId="0D44757E" w:rsidR="00227A47" w:rsidRPr="00517045" w:rsidRDefault="00227A47" w:rsidP="00517045">
      <w:pPr>
        <w:spacing w:line="360" w:lineRule="auto"/>
        <w:rPr>
          <w:color w:val="000000" w:themeColor="text1"/>
          <w:lang w:val="pt-BR"/>
        </w:rPr>
      </w:pPr>
    </w:p>
    <w:p w14:paraId="165C14AE" w14:textId="523C225D" w:rsidR="00227A47" w:rsidRPr="00517045" w:rsidRDefault="00227A47" w:rsidP="00517045">
      <w:pPr>
        <w:pStyle w:val="ListParagraph"/>
        <w:numPr>
          <w:ilvl w:val="1"/>
          <w:numId w:val="28"/>
        </w:numPr>
        <w:spacing w:line="360" w:lineRule="auto"/>
        <w:rPr>
          <w:b/>
          <w:bCs/>
          <w:color w:val="000000" w:themeColor="text1"/>
          <w:lang w:val="pt-BR"/>
        </w:rPr>
      </w:pPr>
      <w:r w:rsidRPr="00517045">
        <w:rPr>
          <w:b/>
          <w:bCs/>
          <w:color w:val="000000" w:themeColor="text1"/>
          <w:lang w:val="pt-BR"/>
        </w:rPr>
        <w:t xml:space="preserve"> </w:t>
      </w:r>
      <w:r w:rsidR="005B1224" w:rsidRPr="00517045">
        <w:rPr>
          <w:b/>
          <w:bCs/>
          <w:color w:val="000000" w:themeColor="text1"/>
          <w:lang w:val="pt-BR"/>
        </w:rPr>
        <w:t>...</w:t>
      </w:r>
      <w:r w:rsidR="007D2482" w:rsidRPr="00517045">
        <w:rPr>
          <w:b/>
          <w:bCs/>
          <w:color w:val="000000" w:themeColor="text1"/>
          <w:lang w:val="pt-BR"/>
        </w:rPr>
        <w:t>e Estados</w:t>
      </w:r>
      <w:r w:rsidR="00185EC4" w:rsidRPr="00517045">
        <w:rPr>
          <w:b/>
          <w:bCs/>
          <w:color w:val="000000" w:themeColor="text1"/>
          <w:lang w:val="pt-BR"/>
        </w:rPr>
        <w:t>.</w:t>
      </w:r>
    </w:p>
    <w:p w14:paraId="35DFF43A" w14:textId="6BA92B29" w:rsidR="007D2482" w:rsidRPr="00517045" w:rsidRDefault="007D2482" w:rsidP="00122D89">
      <w:pPr>
        <w:pStyle w:val="Texto"/>
        <w:rPr>
          <w:rFonts w:ascii="Times New Roman" w:hAnsi="Times New Roman"/>
          <w:color w:val="000000" w:themeColor="text1"/>
          <w:lang w:val="pt-BR"/>
        </w:rPr>
      </w:pPr>
    </w:p>
    <w:p w14:paraId="50D2EA12" w14:textId="72D98D7B" w:rsidR="007D2482" w:rsidRPr="00517045" w:rsidRDefault="007D2482" w:rsidP="00122D8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Além da abordagem da Comissão, a qual </w:t>
      </w:r>
      <w:r w:rsidR="00C91867" w:rsidRPr="00517045">
        <w:rPr>
          <w:rFonts w:ascii="Times New Roman" w:hAnsi="Times New Roman"/>
          <w:color w:val="000000" w:themeColor="text1"/>
          <w:lang w:val="pt-BR"/>
        </w:rPr>
        <w:t xml:space="preserve">sublinha </w:t>
      </w:r>
      <w:r w:rsidRPr="00517045">
        <w:rPr>
          <w:rFonts w:ascii="Times New Roman" w:hAnsi="Times New Roman"/>
          <w:color w:val="000000" w:themeColor="text1"/>
          <w:lang w:val="pt-BR"/>
        </w:rPr>
        <w:t xml:space="preserve">o universalismo subjacente ao seu </w:t>
      </w:r>
      <w:r w:rsidR="00C91867" w:rsidRPr="00517045">
        <w:rPr>
          <w:rFonts w:ascii="Times New Roman" w:hAnsi="Times New Roman"/>
          <w:color w:val="000000" w:themeColor="text1"/>
          <w:lang w:val="pt-BR"/>
        </w:rPr>
        <w:t>mandato</w:t>
      </w:r>
      <w:r w:rsidRPr="00517045">
        <w:rPr>
          <w:rFonts w:ascii="Times New Roman" w:hAnsi="Times New Roman"/>
          <w:color w:val="000000" w:themeColor="text1"/>
          <w:lang w:val="pt-BR"/>
        </w:rPr>
        <w:t xml:space="preserve">, deve-se notar que, em seus trabalhos recentes sobre normas peremptórias, a Comissão encarou uma posição ainda mais resoluta da parte dos Estados </w:t>
      </w:r>
      <w:r w:rsidR="00E80D93">
        <w:rPr>
          <w:rFonts w:ascii="Times New Roman" w:hAnsi="Times New Roman"/>
          <w:color w:val="000000" w:themeColor="text1"/>
          <w:lang w:val="pt-BR"/>
        </w:rPr>
        <w:t>no interior de seus trabalhos em relação</w:t>
      </w:r>
      <w:r w:rsidR="00E80D93" w:rsidRPr="00517045">
        <w:rPr>
          <w:rFonts w:ascii="Times New Roman" w:hAnsi="Times New Roman"/>
          <w:color w:val="000000" w:themeColor="text1"/>
          <w:lang w:val="pt-BR"/>
        </w:rPr>
        <w:t xml:space="preserve"> </w:t>
      </w:r>
      <w:r w:rsidR="00E80D93">
        <w:rPr>
          <w:rFonts w:ascii="Times New Roman" w:hAnsi="Times New Roman"/>
          <w:color w:val="000000" w:themeColor="text1"/>
          <w:lang w:val="pt-BR"/>
        </w:rPr>
        <w:t>a</w:t>
      </w:r>
      <w:r w:rsidRPr="00517045">
        <w:rPr>
          <w:rFonts w:ascii="Times New Roman" w:hAnsi="Times New Roman"/>
          <w:color w:val="000000" w:themeColor="text1"/>
          <w:lang w:val="pt-BR"/>
        </w:rPr>
        <w:t xml:space="preserve">o conceito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w:t>
      </w:r>
    </w:p>
    <w:p w14:paraId="0226E26E" w14:textId="591E9463" w:rsidR="007D2482" w:rsidRPr="00517045" w:rsidRDefault="007D2482">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Os pronunciamentos dos Estados refletem uma posição bastante radical sobre a impossibilidade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w:t>
      </w:r>
      <w:r w:rsidR="00717ABD">
        <w:rPr>
          <w:rFonts w:ascii="Times New Roman" w:hAnsi="Times New Roman"/>
          <w:color w:val="000000" w:themeColor="text1"/>
          <w:lang w:val="pt-BR"/>
        </w:rPr>
        <w:t>A título de exemplo</w:t>
      </w:r>
      <w:r w:rsidRPr="00517045">
        <w:rPr>
          <w:rFonts w:ascii="Times New Roman" w:hAnsi="Times New Roman"/>
          <w:color w:val="000000" w:themeColor="text1"/>
          <w:lang w:val="pt-BR"/>
        </w:rPr>
        <w:t xml:space="preserve">, de acordo com a Grécia, a ideia de um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xml:space="preserve">regional “é contrária a própria noção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 qual é por definição universal”. Para o Reino Unido, o conceito de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xml:space="preserve">regional “comprometeria a integridade das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universalmente aplicáveis”. Para a África do Sul, </w:t>
      </w:r>
      <w:r w:rsidR="00652486" w:rsidRPr="00517045">
        <w:rPr>
          <w:rFonts w:ascii="Times New Roman" w:hAnsi="Times New Roman"/>
          <w:color w:val="000000" w:themeColor="text1"/>
          <w:lang w:val="pt-BR"/>
        </w:rPr>
        <w:t xml:space="preserve">cogitar um conceito como o de </w:t>
      </w:r>
      <w:r w:rsidR="00652486" w:rsidRPr="00517045">
        <w:rPr>
          <w:rFonts w:ascii="Times New Roman" w:hAnsi="Times New Roman"/>
          <w:i/>
          <w:iCs/>
          <w:color w:val="000000" w:themeColor="text1"/>
          <w:lang w:val="pt-BR"/>
        </w:rPr>
        <w:t>jus cogens</w:t>
      </w:r>
      <w:r w:rsidR="00652486" w:rsidRPr="00517045">
        <w:rPr>
          <w:rFonts w:ascii="Times New Roman" w:hAnsi="Times New Roman"/>
          <w:color w:val="000000" w:themeColor="text1"/>
          <w:lang w:val="pt-BR"/>
        </w:rPr>
        <w:t xml:space="preserve"> regional teria “um efeito desastroso na natureza suprema e universal do </w:t>
      </w:r>
      <w:r w:rsidR="00652486" w:rsidRPr="00517045">
        <w:rPr>
          <w:rFonts w:ascii="Times New Roman" w:hAnsi="Times New Roman"/>
          <w:i/>
          <w:iCs/>
          <w:color w:val="000000" w:themeColor="text1"/>
          <w:lang w:val="pt-BR"/>
        </w:rPr>
        <w:t>jus cogens</w:t>
      </w:r>
      <w:r w:rsidR="00652486" w:rsidRPr="00517045">
        <w:rPr>
          <w:rFonts w:ascii="Times New Roman" w:hAnsi="Times New Roman"/>
          <w:color w:val="000000" w:themeColor="text1"/>
          <w:lang w:val="pt-BR"/>
        </w:rPr>
        <w:t>.”</w:t>
      </w:r>
      <w:r w:rsidR="00652486" w:rsidRPr="00517045">
        <w:rPr>
          <w:rStyle w:val="FootnoteReference"/>
          <w:rFonts w:ascii="Times New Roman" w:hAnsi="Times New Roman"/>
          <w:color w:val="000000" w:themeColor="text1"/>
          <w:lang w:val="pt-BR"/>
        </w:rPr>
        <w:t xml:space="preserve"> </w:t>
      </w:r>
      <w:r w:rsidR="00652486" w:rsidRPr="00517045">
        <w:rPr>
          <w:rStyle w:val="FootnoteReference"/>
          <w:rFonts w:ascii="Times New Roman" w:hAnsi="Times New Roman"/>
          <w:color w:val="000000" w:themeColor="text1"/>
        </w:rPr>
        <w:footnoteReference w:id="21"/>
      </w:r>
      <w:r w:rsidR="00C91867" w:rsidRPr="00517045">
        <w:rPr>
          <w:rFonts w:ascii="Times New Roman" w:hAnsi="Times New Roman"/>
          <w:color w:val="000000" w:themeColor="text1"/>
          <w:lang w:val="pt-BR"/>
        </w:rPr>
        <w:t xml:space="preserve"> </w:t>
      </w:r>
      <w:r w:rsidR="00652486" w:rsidRPr="00517045">
        <w:rPr>
          <w:rFonts w:ascii="Times New Roman" w:hAnsi="Times New Roman"/>
          <w:color w:val="000000" w:themeColor="text1"/>
          <w:lang w:val="pt-BR"/>
        </w:rPr>
        <w:t xml:space="preserve">Em essência, </w:t>
      </w:r>
      <w:r w:rsidR="00C91867" w:rsidRPr="00517045">
        <w:rPr>
          <w:rFonts w:ascii="Times New Roman" w:hAnsi="Times New Roman"/>
          <w:color w:val="000000" w:themeColor="text1"/>
          <w:lang w:val="pt-BR"/>
        </w:rPr>
        <w:t>o</w:t>
      </w:r>
      <w:r w:rsidR="00652486" w:rsidRPr="00517045">
        <w:rPr>
          <w:rFonts w:ascii="Times New Roman" w:hAnsi="Times New Roman"/>
          <w:color w:val="000000" w:themeColor="text1"/>
          <w:lang w:val="pt-BR"/>
        </w:rPr>
        <w:t>s Estados – virtualmente todos eles, de acordo com a CDI</w:t>
      </w:r>
      <w:r w:rsidR="00652486" w:rsidRPr="00517045">
        <w:rPr>
          <w:rStyle w:val="FootnoteReference"/>
          <w:rFonts w:ascii="Times New Roman" w:hAnsi="Times New Roman"/>
          <w:color w:val="000000" w:themeColor="text1"/>
        </w:rPr>
        <w:footnoteReference w:id="22"/>
      </w:r>
      <w:r w:rsidR="00652486" w:rsidRPr="00517045">
        <w:rPr>
          <w:rFonts w:ascii="Times New Roman" w:hAnsi="Times New Roman"/>
          <w:color w:val="000000" w:themeColor="text1"/>
          <w:lang w:val="pt-BR"/>
        </w:rPr>
        <w:t xml:space="preserve">  – demonstraram ceticismo, senão hostilidade, </w:t>
      </w:r>
      <w:r w:rsidR="00C91867" w:rsidRPr="00517045">
        <w:rPr>
          <w:rFonts w:ascii="Times New Roman" w:hAnsi="Times New Roman"/>
          <w:color w:val="000000" w:themeColor="text1"/>
          <w:lang w:val="pt-BR"/>
        </w:rPr>
        <w:t>a</w:t>
      </w:r>
      <w:r w:rsidR="00652486" w:rsidRPr="00517045">
        <w:rPr>
          <w:rFonts w:ascii="Times New Roman" w:hAnsi="Times New Roman"/>
          <w:color w:val="000000" w:themeColor="text1"/>
          <w:lang w:val="pt-BR"/>
        </w:rPr>
        <w:t xml:space="preserve">o conceito de </w:t>
      </w:r>
      <w:r w:rsidR="00652486" w:rsidRPr="00517045">
        <w:rPr>
          <w:rFonts w:ascii="Times New Roman" w:hAnsi="Times New Roman"/>
          <w:i/>
          <w:iCs/>
          <w:color w:val="000000" w:themeColor="text1"/>
          <w:lang w:val="pt-BR"/>
        </w:rPr>
        <w:t>jus cogens</w:t>
      </w:r>
      <w:r w:rsidR="00652486" w:rsidRPr="00517045">
        <w:rPr>
          <w:rFonts w:ascii="Times New Roman" w:hAnsi="Times New Roman"/>
          <w:color w:val="000000" w:themeColor="text1"/>
          <w:lang w:val="pt-BR"/>
        </w:rPr>
        <w:t xml:space="preserve"> regional. O reconhecimento de tal conceito, na </w:t>
      </w:r>
      <w:r w:rsidR="00652486" w:rsidRPr="00517045">
        <w:rPr>
          <w:rFonts w:ascii="Times New Roman" w:hAnsi="Times New Roman"/>
          <w:color w:val="000000" w:themeColor="text1"/>
          <w:lang w:val="pt-BR"/>
        </w:rPr>
        <w:lastRenderedPageBreak/>
        <w:t xml:space="preserve">percepção dos Estados, se daria em detrimento da integridade de um conceito universal de </w:t>
      </w:r>
      <w:r w:rsidR="00652486" w:rsidRPr="00517045">
        <w:rPr>
          <w:rFonts w:ascii="Times New Roman" w:hAnsi="Times New Roman"/>
          <w:i/>
          <w:iCs/>
          <w:color w:val="000000" w:themeColor="text1"/>
          <w:lang w:val="pt-BR"/>
        </w:rPr>
        <w:t>jus cogens</w:t>
      </w:r>
      <w:r w:rsidR="00652486" w:rsidRPr="00517045">
        <w:rPr>
          <w:rFonts w:ascii="Times New Roman" w:hAnsi="Times New Roman"/>
          <w:color w:val="000000" w:themeColor="text1"/>
          <w:lang w:val="pt-BR"/>
        </w:rPr>
        <w:t xml:space="preserve">. </w:t>
      </w:r>
    </w:p>
    <w:p w14:paraId="251E1AF9" w14:textId="0CF843C8" w:rsidR="00652486" w:rsidRPr="00517045" w:rsidRDefault="00652486">
      <w:pPr>
        <w:pStyle w:val="Texto"/>
        <w:rPr>
          <w:rFonts w:ascii="Times New Roman" w:hAnsi="Times New Roman"/>
          <w:color w:val="000000" w:themeColor="text1"/>
          <w:lang w:val="pt-BR"/>
        </w:rPr>
      </w:pPr>
      <w:r w:rsidRPr="00517045">
        <w:rPr>
          <w:rFonts w:ascii="Times New Roman" w:hAnsi="Times New Roman"/>
          <w:color w:val="000000" w:themeColor="text1"/>
          <w:lang w:val="pt-BR"/>
        </w:rPr>
        <w:t>Seria interessante investigar as razões por trás d</w:t>
      </w:r>
      <w:r w:rsidR="00C91867" w:rsidRPr="00517045">
        <w:rPr>
          <w:rFonts w:ascii="Times New Roman" w:hAnsi="Times New Roman"/>
          <w:color w:val="000000" w:themeColor="text1"/>
          <w:lang w:val="pt-BR"/>
        </w:rPr>
        <w:t xml:space="preserve">a </w:t>
      </w:r>
      <w:r w:rsidRPr="00517045">
        <w:rPr>
          <w:rFonts w:ascii="Times New Roman" w:hAnsi="Times New Roman"/>
          <w:color w:val="000000" w:themeColor="text1"/>
          <w:lang w:val="pt-BR"/>
        </w:rPr>
        <w:t xml:space="preserve">hostilidade dos Estados em direção a este conceito. Não é fácil encontrar as razões jurídicas e políticas </w:t>
      </w:r>
      <w:r w:rsidR="00CB799D" w:rsidRPr="00517045">
        <w:rPr>
          <w:rFonts w:ascii="Times New Roman" w:hAnsi="Times New Roman"/>
          <w:color w:val="000000" w:themeColor="text1"/>
          <w:lang w:val="pt-BR"/>
        </w:rPr>
        <w:t xml:space="preserve">implícitas </w:t>
      </w:r>
      <w:r w:rsidRPr="00517045">
        <w:rPr>
          <w:rFonts w:ascii="Times New Roman" w:hAnsi="Times New Roman"/>
          <w:color w:val="000000" w:themeColor="text1"/>
          <w:lang w:val="pt-BR"/>
        </w:rPr>
        <w:t xml:space="preserve">a este posicionamento tão resoluto. O que provoca a oposição dos Estados é a própria ideia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w:t>
      </w:r>
      <w:r w:rsidR="00CB799D" w:rsidRPr="00517045">
        <w:rPr>
          <w:rFonts w:ascii="Times New Roman" w:hAnsi="Times New Roman"/>
          <w:color w:val="000000" w:themeColor="text1"/>
          <w:lang w:val="pt-BR"/>
        </w:rPr>
        <w:t>Partindo</w:t>
      </w:r>
      <w:r w:rsidRPr="00517045">
        <w:rPr>
          <w:rFonts w:ascii="Times New Roman" w:hAnsi="Times New Roman"/>
          <w:color w:val="000000" w:themeColor="text1"/>
          <w:lang w:val="pt-BR"/>
        </w:rPr>
        <w:t xml:space="preserve"> de uma perspectiva axiológica, </w:t>
      </w:r>
      <w:r w:rsidR="00CB799D" w:rsidRPr="00517045">
        <w:rPr>
          <w:rFonts w:ascii="Times New Roman" w:hAnsi="Times New Roman"/>
          <w:color w:val="000000" w:themeColor="text1"/>
          <w:lang w:val="pt-BR"/>
        </w:rPr>
        <w:t xml:space="preserve">a negação </w:t>
      </w:r>
      <w:r w:rsidRPr="00517045">
        <w:rPr>
          <w:rFonts w:ascii="Times New Roman" w:hAnsi="Times New Roman"/>
          <w:color w:val="000000" w:themeColor="text1"/>
          <w:lang w:val="pt-BR"/>
        </w:rPr>
        <w:t>pode</w:t>
      </w:r>
      <w:r w:rsidR="00CB799D" w:rsidRPr="00517045">
        <w:rPr>
          <w:rFonts w:ascii="Times New Roman" w:hAnsi="Times New Roman"/>
          <w:color w:val="000000" w:themeColor="text1"/>
          <w:lang w:val="pt-BR"/>
        </w:rPr>
        <w:t>ria até mesmo</w:t>
      </w:r>
      <w:r w:rsidRPr="00517045">
        <w:rPr>
          <w:rFonts w:ascii="Times New Roman" w:hAnsi="Times New Roman"/>
          <w:color w:val="000000" w:themeColor="text1"/>
          <w:lang w:val="pt-BR"/>
        </w:rPr>
        <w:t xml:space="preserve"> soar estranh</w:t>
      </w:r>
      <w:r w:rsidR="00CB799D" w:rsidRPr="00517045">
        <w:rPr>
          <w:rFonts w:ascii="Times New Roman" w:hAnsi="Times New Roman"/>
          <w:color w:val="000000" w:themeColor="text1"/>
          <w:lang w:val="pt-BR"/>
        </w:rPr>
        <w:t>a</w:t>
      </w:r>
      <w:r w:rsidRPr="00517045">
        <w:rPr>
          <w:rFonts w:ascii="Times New Roman" w:hAnsi="Times New Roman"/>
          <w:color w:val="000000" w:themeColor="text1"/>
          <w:lang w:val="pt-BR"/>
        </w:rPr>
        <w:t>, uma vez que não parece haver nada de errado com a possibilidade de que normas peremptórias insurjam apenas em contextos regionais, de mod</w:t>
      </w:r>
      <w:r w:rsidR="00257CF2"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 a proteger valores fundamentais </w:t>
      </w:r>
      <w:r w:rsidR="00CB799D" w:rsidRPr="00517045">
        <w:rPr>
          <w:rFonts w:ascii="Times New Roman" w:hAnsi="Times New Roman"/>
          <w:color w:val="000000" w:themeColor="text1"/>
          <w:lang w:val="pt-BR"/>
        </w:rPr>
        <w:t xml:space="preserve">a </w:t>
      </w:r>
      <w:r w:rsidRPr="00517045">
        <w:rPr>
          <w:rFonts w:ascii="Times New Roman" w:hAnsi="Times New Roman"/>
          <w:color w:val="000000" w:themeColor="text1"/>
          <w:lang w:val="pt-BR"/>
        </w:rPr>
        <w:t xml:space="preserve">contextos particulares. </w:t>
      </w:r>
      <w:r w:rsidR="00257CF2" w:rsidRPr="00517045">
        <w:rPr>
          <w:rFonts w:ascii="Times New Roman" w:hAnsi="Times New Roman"/>
          <w:color w:val="000000" w:themeColor="text1"/>
          <w:lang w:val="pt-BR"/>
        </w:rPr>
        <w:t>Afinal, recuperando mais uma vez as palavras de Gaja “valores prevalentes em grupos regionais não necessariamente conflitam com os valores operando em um ambiente mais alargado”</w:t>
      </w:r>
      <w:r w:rsidR="00257CF2" w:rsidRPr="00517045">
        <w:rPr>
          <w:rStyle w:val="FootnoteReference"/>
          <w:rFonts w:ascii="Times New Roman" w:hAnsi="Times New Roman"/>
          <w:color w:val="000000" w:themeColor="text1"/>
          <w:lang w:val="pt-BR"/>
        </w:rPr>
        <w:t xml:space="preserve"> </w:t>
      </w:r>
      <w:r w:rsidR="00257CF2" w:rsidRPr="00517045">
        <w:rPr>
          <w:rStyle w:val="FootnoteReference"/>
          <w:rFonts w:ascii="Times New Roman" w:hAnsi="Times New Roman"/>
          <w:color w:val="000000" w:themeColor="text1"/>
        </w:rPr>
        <w:footnoteReference w:id="23"/>
      </w:r>
      <w:r w:rsidR="00257CF2" w:rsidRPr="00517045">
        <w:rPr>
          <w:rFonts w:ascii="Times New Roman" w:hAnsi="Times New Roman"/>
          <w:color w:val="000000" w:themeColor="text1"/>
          <w:lang w:val="pt-BR"/>
        </w:rPr>
        <w:t>. De maneira geral, similarmente à narrativa com frequência empregada pelo regionalismo, tem sido defendido que</w:t>
      </w:r>
      <w:r w:rsidR="003D5ED2" w:rsidRPr="00517045">
        <w:rPr>
          <w:rFonts w:ascii="Times New Roman" w:hAnsi="Times New Roman"/>
          <w:color w:val="000000" w:themeColor="text1"/>
          <w:lang w:val="pt-BR"/>
        </w:rPr>
        <w:t xml:space="preserve">, ainda que possa ser considerado </w:t>
      </w:r>
      <w:r w:rsidR="00257CF2" w:rsidRPr="00517045">
        <w:rPr>
          <w:rFonts w:ascii="Times New Roman" w:hAnsi="Times New Roman"/>
          <w:color w:val="000000" w:themeColor="text1"/>
          <w:lang w:val="pt-BR"/>
        </w:rPr>
        <w:t xml:space="preserve">em </w:t>
      </w:r>
      <w:r w:rsidR="003D5ED2" w:rsidRPr="00517045">
        <w:rPr>
          <w:rFonts w:ascii="Times New Roman" w:hAnsi="Times New Roman"/>
          <w:color w:val="000000" w:themeColor="text1"/>
          <w:lang w:val="pt-BR"/>
        </w:rPr>
        <w:t>contraste</w:t>
      </w:r>
      <w:r w:rsidR="00257CF2" w:rsidRPr="00517045">
        <w:rPr>
          <w:rFonts w:ascii="Times New Roman" w:hAnsi="Times New Roman"/>
          <w:color w:val="000000" w:themeColor="text1"/>
          <w:lang w:val="pt-BR"/>
        </w:rPr>
        <w:t xml:space="preserve"> ao </w:t>
      </w:r>
      <w:r w:rsidR="00257CF2" w:rsidRPr="00517045">
        <w:rPr>
          <w:rFonts w:ascii="Times New Roman" w:hAnsi="Times New Roman"/>
          <w:i/>
          <w:iCs/>
          <w:color w:val="000000" w:themeColor="text1"/>
          <w:lang w:val="pt-BR"/>
        </w:rPr>
        <w:t>jus cogens</w:t>
      </w:r>
      <w:r w:rsidR="00257CF2" w:rsidRPr="00517045">
        <w:rPr>
          <w:rFonts w:ascii="Times New Roman" w:hAnsi="Times New Roman"/>
          <w:color w:val="000000" w:themeColor="text1"/>
          <w:lang w:val="pt-BR"/>
        </w:rPr>
        <w:t xml:space="preserve"> universal, </w:t>
      </w:r>
      <w:r w:rsidR="003D5ED2" w:rsidRPr="00517045">
        <w:rPr>
          <w:rFonts w:ascii="Times New Roman" w:hAnsi="Times New Roman"/>
          <w:color w:val="000000" w:themeColor="text1"/>
          <w:lang w:val="pt-BR"/>
        </w:rPr>
        <w:t xml:space="preserve">já que não parece responder à ideia de igualdade formal entre os Estados, </w:t>
      </w:r>
      <w:r w:rsidR="00CB799D" w:rsidRPr="00517045">
        <w:rPr>
          <w:rFonts w:ascii="Times New Roman" w:hAnsi="Times New Roman"/>
          <w:color w:val="000000" w:themeColor="text1"/>
          <w:lang w:val="pt-BR"/>
        </w:rPr>
        <w:t xml:space="preserve">o </w:t>
      </w:r>
      <w:r w:rsidR="003D5ED2" w:rsidRPr="00517045">
        <w:rPr>
          <w:rFonts w:ascii="Times New Roman" w:hAnsi="Times New Roman"/>
          <w:i/>
          <w:iCs/>
          <w:color w:val="000000" w:themeColor="text1"/>
          <w:lang w:val="pt-BR"/>
        </w:rPr>
        <w:t>jus cogens</w:t>
      </w:r>
      <w:r w:rsidR="003D5ED2" w:rsidRPr="00517045">
        <w:rPr>
          <w:rFonts w:ascii="Times New Roman" w:hAnsi="Times New Roman"/>
          <w:color w:val="000000" w:themeColor="text1"/>
          <w:lang w:val="pt-BR"/>
        </w:rPr>
        <w:t xml:space="preserve"> pode, no entanto, fomentar “a igualdade substantiva” entre os Estados por meio do encorajamento do que veio a ser definido como “uma abordagem pluralista marcada pela diversidade e pelo respeito às diferenças”</w:t>
      </w:r>
      <w:r w:rsidR="00717ABD">
        <w:rPr>
          <w:rFonts w:ascii="Times New Roman" w:hAnsi="Times New Roman"/>
          <w:color w:val="000000" w:themeColor="text1"/>
          <w:lang w:val="pt-BR"/>
        </w:rPr>
        <w:t>.</w:t>
      </w:r>
      <w:r w:rsidR="003D5ED2" w:rsidRPr="00517045">
        <w:rPr>
          <w:rStyle w:val="FootnoteReference"/>
          <w:rFonts w:ascii="Times New Roman" w:hAnsi="Times New Roman"/>
          <w:color w:val="000000" w:themeColor="text1"/>
        </w:rPr>
        <w:footnoteReference w:id="24"/>
      </w:r>
    </w:p>
    <w:p w14:paraId="59B93E52" w14:textId="0B99F507" w:rsidR="003D5ED2" w:rsidRPr="00517045" w:rsidRDefault="003D5ED2">
      <w:pPr>
        <w:pStyle w:val="Texto"/>
        <w:rPr>
          <w:rFonts w:ascii="Times New Roman" w:hAnsi="Times New Roman"/>
          <w:color w:val="000000" w:themeColor="text1"/>
          <w:lang w:val="pt-BR"/>
        </w:rPr>
      </w:pPr>
      <w:r w:rsidRPr="00517045">
        <w:rPr>
          <w:rFonts w:ascii="Times New Roman" w:hAnsi="Times New Roman"/>
          <w:color w:val="000000" w:themeColor="text1"/>
          <w:lang w:val="pt-BR"/>
        </w:rPr>
        <w:t>Então por qu</w:t>
      </w:r>
      <w:r w:rsidR="00CB799D" w:rsidRPr="00517045">
        <w:rPr>
          <w:rFonts w:ascii="Times New Roman" w:hAnsi="Times New Roman"/>
          <w:color w:val="000000" w:themeColor="text1"/>
          <w:lang w:val="pt-BR"/>
        </w:rPr>
        <w:t>al motivo</w:t>
      </w:r>
      <w:r w:rsidRPr="00517045">
        <w:rPr>
          <w:rFonts w:ascii="Times New Roman" w:hAnsi="Times New Roman"/>
          <w:color w:val="000000" w:themeColor="text1"/>
          <w:lang w:val="pt-BR"/>
        </w:rPr>
        <w:t xml:space="preserve"> os Estados não apreciam a ideia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Um olhar mais detido sugere que na perspectiva dos Estados deve haver razões plausíveis para</w:t>
      </w:r>
      <w:r w:rsidR="00CB799D" w:rsidRPr="00517045">
        <w:rPr>
          <w:rFonts w:ascii="Times New Roman" w:hAnsi="Times New Roman"/>
          <w:color w:val="000000" w:themeColor="text1"/>
          <w:lang w:val="pt-BR"/>
        </w:rPr>
        <w:t xml:space="preserve"> se</w:t>
      </w:r>
      <w:r w:rsidRPr="00517045">
        <w:rPr>
          <w:rFonts w:ascii="Times New Roman" w:hAnsi="Times New Roman"/>
          <w:color w:val="000000" w:themeColor="text1"/>
          <w:lang w:val="pt-BR"/>
        </w:rPr>
        <w:t xml:space="preserve"> reagir contra a ideia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ou ao menos deix</w:t>
      </w:r>
      <w:r w:rsidR="00CB799D" w:rsidRPr="00517045">
        <w:rPr>
          <w:rFonts w:ascii="Times New Roman" w:hAnsi="Times New Roman"/>
          <w:color w:val="000000" w:themeColor="text1"/>
          <w:lang w:val="pt-BR"/>
        </w:rPr>
        <w:t>á</w:t>
      </w:r>
      <w:r w:rsidRPr="00517045">
        <w:rPr>
          <w:rFonts w:ascii="Times New Roman" w:hAnsi="Times New Roman"/>
          <w:color w:val="000000" w:themeColor="text1"/>
          <w:lang w:val="pt-BR"/>
        </w:rPr>
        <w:t xml:space="preserve">-la para especulações acadêmicas e não para o trabalho de um órgão como a CDI. A pouca afeição dos Estados pelo conceito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pode ser explicada especialmente pelas incertezas em relação ao papel do consentimento e sobre o processo de identificação das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de modo geral. Essas normas são percebidas como excepcionais, e o processo para sua identificação é particularmente demandante. </w:t>
      </w:r>
    </w:p>
    <w:p w14:paraId="273FE530" w14:textId="42494A27" w:rsidR="003D5ED2" w:rsidRPr="00517045" w:rsidRDefault="003D5ED2">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Isso acontece porque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tem a capacidade de produzir obrigações aos Estados </w:t>
      </w:r>
      <w:r w:rsidR="00CB799D" w:rsidRPr="00517045">
        <w:rPr>
          <w:rFonts w:ascii="Times New Roman" w:hAnsi="Times New Roman"/>
          <w:color w:val="000000" w:themeColor="text1"/>
          <w:lang w:val="pt-BR"/>
        </w:rPr>
        <w:t>na ausência de seu</w:t>
      </w:r>
      <w:r w:rsidRPr="00517045">
        <w:rPr>
          <w:rFonts w:ascii="Times New Roman" w:hAnsi="Times New Roman"/>
          <w:color w:val="000000" w:themeColor="text1"/>
          <w:lang w:val="pt-BR"/>
        </w:rPr>
        <w:t xml:space="preserve"> consentimento. A regra do objetor persistente não se aplica às normas peremptórias de Direito Internacional geral</w:t>
      </w:r>
      <w:r w:rsidR="00717ABD">
        <w:rPr>
          <w:rFonts w:ascii="Times New Roman" w:hAnsi="Times New Roman"/>
          <w:color w:val="000000" w:themeColor="text1"/>
          <w:lang w:val="pt-BR"/>
        </w:rPr>
        <w:t>.</w:t>
      </w:r>
      <w:r w:rsidRPr="00517045">
        <w:rPr>
          <w:rStyle w:val="FootnoteReference"/>
          <w:rFonts w:ascii="Times New Roman" w:hAnsi="Times New Roman"/>
          <w:color w:val="000000" w:themeColor="text1"/>
        </w:rPr>
        <w:footnoteReference w:id="25"/>
      </w:r>
      <w:r w:rsidRPr="00517045">
        <w:rPr>
          <w:rFonts w:ascii="Times New Roman" w:hAnsi="Times New Roman"/>
          <w:color w:val="000000" w:themeColor="text1"/>
          <w:lang w:val="pt-BR"/>
        </w:rPr>
        <w:t xml:space="preserve"> </w:t>
      </w:r>
      <w:r w:rsidR="008A441B" w:rsidRPr="00517045">
        <w:rPr>
          <w:rFonts w:ascii="Times New Roman" w:hAnsi="Times New Roman"/>
          <w:color w:val="000000" w:themeColor="text1"/>
          <w:lang w:val="pt-BR"/>
        </w:rPr>
        <w:t xml:space="preserve">Conforme também reconhecido pela CDI, a razão pela qual as normas de </w:t>
      </w:r>
      <w:r w:rsidR="008A441B" w:rsidRPr="00517045">
        <w:rPr>
          <w:rFonts w:ascii="Times New Roman" w:hAnsi="Times New Roman"/>
          <w:i/>
          <w:iCs/>
          <w:color w:val="000000" w:themeColor="text1"/>
          <w:lang w:val="pt-BR"/>
        </w:rPr>
        <w:t>jus cogens</w:t>
      </w:r>
      <w:r w:rsidR="008A441B" w:rsidRPr="00517045">
        <w:rPr>
          <w:rFonts w:ascii="Times New Roman" w:hAnsi="Times New Roman"/>
          <w:color w:val="000000" w:themeColor="text1"/>
          <w:lang w:val="pt-BR"/>
        </w:rPr>
        <w:t xml:space="preserve"> tornam-se obrigatórias sem o consentimento pode ser encontrada no fato de que elas são fundamentais para a comunidade internacional, universal por natureza</w:t>
      </w:r>
      <w:r w:rsidR="008A441B" w:rsidRPr="00517045">
        <w:rPr>
          <w:rStyle w:val="FootnoteReference"/>
          <w:rFonts w:ascii="Times New Roman" w:hAnsi="Times New Roman"/>
          <w:color w:val="000000" w:themeColor="text1"/>
        </w:rPr>
        <w:footnoteReference w:id="26"/>
      </w:r>
      <w:r w:rsidR="008A441B" w:rsidRPr="00517045">
        <w:rPr>
          <w:rFonts w:ascii="Times New Roman" w:hAnsi="Times New Roman"/>
          <w:color w:val="000000" w:themeColor="text1"/>
          <w:lang w:val="pt-BR"/>
        </w:rPr>
        <w:t xml:space="preserve">. Isso pode soar como um </w:t>
      </w:r>
      <w:r w:rsidR="008A441B" w:rsidRPr="00517045">
        <w:rPr>
          <w:rFonts w:ascii="Times New Roman" w:hAnsi="Times New Roman"/>
          <w:i/>
          <w:iCs/>
          <w:color w:val="000000" w:themeColor="text1"/>
          <w:lang w:val="pt-BR"/>
        </w:rPr>
        <w:t>petitio principii</w:t>
      </w:r>
      <w:r w:rsidR="008A441B" w:rsidRPr="00517045">
        <w:rPr>
          <w:rFonts w:ascii="Times New Roman" w:hAnsi="Times New Roman"/>
          <w:color w:val="000000" w:themeColor="text1"/>
          <w:lang w:val="pt-BR"/>
        </w:rPr>
        <w:t xml:space="preserve">, mas pela perspectiva dos Estados </w:t>
      </w:r>
      <w:r w:rsidR="00CB799D" w:rsidRPr="00517045">
        <w:rPr>
          <w:rFonts w:ascii="Times New Roman" w:hAnsi="Times New Roman"/>
          <w:color w:val="000000" w:themeColor="text1"/>
          <w:lang w:val="pt-BR"/>
        </w:rPr>
        <w:t xml:space="preserve">o </w:t>
      </w:r>
      <w:r w:rsidR="008A441B" w:rsidRPr="00517045">
        <w:rPr>
          <w:rFonts w:ascii="Times New Roman" w:hAnsi="Times New Roman"/>
          <w:color w:val="000000" w:themeColor="text1"/>
          <w:lang w:val="pt-BR"/>
        </w:rPr>
        <w:t>universal</w:t>
      </w:r>
      <w:r w:rsidR="00CB799D" w:rsidRPr="00517045">
        <w:rPr>
          <w:rFonts w:ascii="Times New Roman" w:hAnsi="Times New Roman"/>
          <w:color w:val="000000" w:themeColor="text1"/>
          <w:lang w:val="pt-BR"/>
        </w:rPr>
        <w:t>ismo</w:t>
      </w:r>
      <w:r w:rsidR="008A441B" w:rsidRPr="00517045">
        <w:rPr>
          <w:rFonts w:ascii="Times New Roman" w:hAnsi="Times New Roman"/>
          <w:color w:val="000000" w:themeColor="text1"/>
          <w:lang w:val="pt-BR"/>
        </w:rPr>
        <w:t xml:space="preserve"> surge como uma válvula de segurança, de modo que apenas quando valores fundamentais universais estão em risco </w:t>
      </w:r>
      <w:r w:rsidR="00CB799D" w:rsidRPr="00517045">
        <w:rPr>
          <w:rFonts w:ascii="Times New Roman" w:hAnsi="Times New Roman"/>
          <w:color w:val="000000" w:themeColor="text1"/>
          <w:lang w:val="pt-BR"/>
        </w:rPr>
        <w:t xml:space="preserve">haveria </w:t>
      </w:r>
      <w:r w:rsidR="008A441B" w:rsidRPr="00517045">
        <w:rPr>
          <w:rFonts w:ascii="Times New Roman" w:hAnsi="Times New Roman"/>
          <w:color w:val="000000" w:themeColor="text1"/>
          <w:lang w:val="pt-BR"/>
        </w:rPr>
        <w:t>a possibilidade de</w:t>
      </w:r>
      <w:r w:rsidR="00717ABD">
        <w:rPr>
          <w:rFonts w:ascii="Times New Roman" w:hAnsi="Times New Roman"/>
          <w:color w:val="000000" w:themeColor="text1"/>
          <w:lang w:val="pt-BR"/>
        </w:rPr>
        <w:t xml:space="preserve"> se cristalizar uma norma de</w:t>
      </w:r>
      <w:r w:rsidR="008A441B" w:rsidRPr="00517045">
        <w:rPr>
          <w:rFonts w:ascii="Times New Roman" w:hAnsi="Times New Roman"/>
          <w:color w:val="000000" w:themeColor="text1"/>
          <w:lang w:val="pt-BR"/>
        </w:rPr>
        <w:t xml:space="preserve"> </w:t>
      </w:r>
      <w:r w:rsidR="008A441B" w:rsidRPr="00517045">
        <w:rPr>
          <w:rFonts w:ascii="Times New Roman" w:hAnsi="Times New Roman"/>
          <w:i/>
          <w:iCs/>
          <w:color w:val="000000" w:themeColor="text1"/>
          <w:lang w:val="pt-BR"/>
        </w:rPr>
        <w:t>jus cogens</w:t>
      </w:r>
      <w:r w:rsidR="008A441B" w:rsidRPr="00517045">
        <w:rPr>
          <w:rFonts w:ascii="Times New Roman" w:hAnsi="Times New Roman"/>
          <w:color w:val="000000" w:themeColor="text1"/>
          <w:lang w:val="pt-BR"/>
        </w:rPr>
        <w:t xml:space="preserve">. De outro modo, os Estados querem reter a sua liberdade para possivelmente objetar ao costume, seja ele universal ou regional. Portanto, é compreensível que os Estados percebam a ideia de um </w:t>
      </w:r>
      <w:r w:rsidR="008A441B" w:rsidRPr="00517045">
        <w:rPr>
          <w:rFonts w:ascii="Times New Roman" w:hAnsi="Times New Roman"/>
          <w:i/>
          <w:iCs/>
          <w:color w:val="000000" w:themeColor="text1"/>
          <w:lang w:val="pt-BR"/>
        </w:rPr>
        <w:t>jus cogens</w:t>
      </w:r>
      <w:r w:rsidR="008A441B" w:rsidRPr="00517045">
        <w:rPr>
          <w:rFonts w:ascii="Times New Roman" w:hAnsi="Times New Roman"/>
          <w:color w:val="000000" w:themeColor="text1"/>
          <w:lang w:val="pt-BR"/>
        </w:rPr>
        <w:t xml:space="preserve"> regional como algo que poderia, súbita e excessivamente, constranger seus espaços soberanos. </w:t>
      </w:r>
      <w:r w:rsidR="00310034" w:rsidRPr="00517045">
        <w:rPr>
          <w:rFonts w:ascii="Times New Roman" w:hAnsi="Times New Roman"/>
          <w:color w:val="000000" w:themeColor="text1"/>
          <w:lang w:val="pt-BR"/>
        </w:rPr>
        <w:t xml:space="preserve">Senão como expressão de valores universais, o </w:t>
      </w:r>
      <w:r w:rsidR="00310034" w:rsidRPr="00517045">
        <w:rPr>
          <w:rFonts w:ascii="Times New Roman" w:hAnsi="Times New Roman"/>
          <w:i/>
          <w:iCs/>
          <w:color w:val="000000" w:themeColor="text1"/>
          <w:lang w:val="pt-BR"/>
        </w:rPr>
        <w:t>jus cogens</w:t>
      </w:r>
      <w:r w:rsidR="00310034" w:rsidRPr="00517045">
        <w:rPr>
          <w:rFonts w:ascii="Times New Roman" w:hAnsi="Times New Roman"/>
          <w:color w:val="000000" w:themeColor="text1"/>
          <w:lang w:val="pt-BR"/>
        </w:rPr>
        <w:t xml:space="preserve"> poderia escapar do que os Estados consideram como uma garantia </w:t>
      </w:r>
      <w:r w:rsidR="00CB799D" w:rsidRPr="00517045">
        <w:rPr>
          <w:rFonts w:ascii="Times New Roman" w:hAnsi="Times New Roman"/>
          <w:color w:val="000000" w:themeColor="text1"/>
          <w:lang w:val="pt-BR"/>
        </w:rPr>
        <w:t>contra</w:t>
      </w:r>
      <w:r w:rsidR="00310034" w:rsidRPr="00517045">
        <w:rPr>
          <w:rFonts w:ascii="Times New Roman" w:hAnsi="Times New Roman"/>
          <w:color w:val="000000" w:themeColor="text1"/>
          <w:lang w:val="pt-BR"/>
        </w:rPr>
        <w:t xml:space="preserve"> uma constrição a sua soberania. De modo geral, para além da capacidade do </w:t>
      </w:r>
      <w:r w:rsidR="00310034" w:rsidRPr="00517045">
        <w:rPr>
          <w:rFonts w:ascii="Times New Roman" w:hAnsi="Times New Roman"/>
          <w:i/>
          <w:iCs/>
          <w:color w:val="000000" w:themeColor="text1"/>
          <w:lang w:val="pt-BR"/>
        </w:rPr>
        <w:t>jus cogens</w:t>
      </w:r>
      <w:r w:rsidR="00310034" w:rsidRPr="00517045">
        <w:rPr>
          <w:rFonts w:ascii="Times New Roman" w:hAnsi="Times New Roman"/>
          <w:color w:val="000000" w:themeColor="text1"/>
          <w:lang w:val="pt-BR"/>
        </w:rPr>
        <w:t xml:space="preserve"> de gerar obrigações à revelia do consentimento, seu processo de formação permanece </w:t>
      </w:r>
      <w:r w:rsidR="00CB799D" w:rsidRPr="00517045">
        <w:rPr>
          <w:rFonts w:ascii="Times New Roman" w:hAnsi="Times New Roman"/>
          <w:color w:val="000000" w:themeColor="text1"/>
          <w:lang w:val="pt-BR"/>
        </w:rPr>
        <w:t xml:space="preserve">um tanto </w:t>
      </w:r>
      <w:r w:rsidR="00310034" w:rsidRPr="00517045">
        <w:rPr>
          <w:rFonts w:ascii="Times New Roman" w:hAnsi="Times New Roman"/>
          <w:color w:val="000000" w:themeColor="text1"/>
          <w:lang w:val="pt-BR"/>
        </w:rPr>
        <w:t>misterioso e menos submetido ao “controle” dos Estados se comparado à formação do costume</w:t>
      </w:r>
      <w:r w:rsidR="00310034" w:rsidRPr="00517045">
        <w:rPr>
          <w:rStyle w:val="FootnoteReference"/>
          <w:rFonts w:ascii="Times New Roman" w:hAnsi="Times New Roman"/>
          <w:color w:val="000000" w:themeColor="text1"/>
        </w:rPr>
        <w:footnoteReference w:id="27"/>
      </w:r>
      <w:r w:rsidR="00310034" w:rsidRPr="00517045">
        <w:rPr>
          <w:rFonts w:ascii="Times New Roman" w:hAnsi="Times New Roman"/>
          <w:color w:val="000000" w:themeColor="text1"/>
          <w:lang w:val="pt-BR"/>
        </w:rPr>
        <w:t xml:space="preserve">. Em adição, é bem sabido que os efeitos do </w:t>
      </w:r>
      <w:r w:rsidR="00310034" w:rsidRPr="00517045">
        <w:rPr>
          <w:rFonts w:ascii="Times New Roman" w:hAnsi="Times New Roman"/>
          <w:i/>
          <w:iCs/>
          <w:color w:val="000000" w:themeColor="text1"/>
          <w:lang w:val="pt-BR"/>
        </w:rPr>
        <w:t>jus cogens</w:t>
      </w:r>
      <w:r w:rsidR="00310034" w:rsidRPr="00517045">
        <w:rPr>
          <w:rFonts w:ascii="Times New Roman" w:hAnsi="Times New Roman"/>
          <w:color w:val="000000" w:themeColor="text1"/>
          <w:lang w:val="pt-BR"/>
        </w:rPr>
        <w:t xml:space="preserve"> podem ser sentidos muito além do direito dos tratados, produzindo consequências também em termos de responsabilidade dos Estados</w:t>
      </w:r>
      <w:r w:rsidR="00717ABD">
        <w:rPr>
          <w:rFonts w:ascii="Times New Roman" w:hAnsi="Times New Roman"/>
          <w:color w:val="000000" w:themeColor="text1"/>
          <w:lang w:val="pt-BR"/>
        </w:rPr>
        <w:t>.</w:t>
      </w:r>
      <w:r w:rsidR="00310034" w:rsidRPr="00517045">
        <w:rPr>
          <w:rStyle w:val="FootnoteReference"/>
          <w:rFonts w:ascii="Times New Roman" w:hAnsi="Times New Roman"/>
          <w:color w:val="000000" w:themeColor="text1"/>
        </w:rPr>
        <w:footnoteReference w:id="28"/>
      </w:r>
    </w:p>
    <w:p w14:paraId="4FB5D1A8" w14:textId="16F4C56F" w:rsidR="00310034" w:rsidRPr="00517045" w:rsidRDefault="00310034">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Um fator adicional </w:t>
      </w:r>
      <w:r w:rsidR="00717ABD" w:rsidRPr="00517045">
        <w:rPr>
          <w:rFonts w:ascii="Times New Roman" w:hAnsi="Times New Roman"/>
          <w:color w:val="000000" w:themeColor="text1"/>
          <w:lang w:val="pt-BR"/>
        </w:rPr>
        <w:t>que</w:t>
      </w:r>
      <w:r w:rsidRPr="00517045">
        <w:rPr>
          <w:rFonts w:ascii="Times New Roman" w:hAnsi="Times New Roman"/>
          <w:color w:val="000000" w:themeColor="text1"/>
          <w:lang w:val="pt-BR"/>
        </w:rPr>
        <w:t xml:space="preserve"> pode ter dirigido os Estados a excluírem radicalmente a possibilidade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está relacionado às incertezas do impacto normativo “externo” dessa categoria. </w:t>
      </w:r>
      <w:r w:rsidR="00D76228" w:rsidRPr="00517045">
        <w:rPr>
          <w:rFonts w:ascii="Times New Roman" w:hAnsi="Times New Roman"/>
          <w:color w:val="000000" w:themeColor="text1"/>
          <w:lang w:val="pt-BR"/>
        </w:rPr>
        <w:t>Já foi mencionado que “a passagem ao nível regional pode ser a porta de entrada para um reconhecimento mais amplo”</w:t>
      </w:r>
      <w:r w:rsidR="00D76228" w:rsidRPr="00517045">
        <w:rPr>
          <w:rStyle w:val="FootnoteReference"/>
          <w:rFonts w:ascii="Times New Roman" w:hAnsi="Times New Roman"/>
          <w:color w:val="000000" w:themeColor="text1"/>
        </w:rPr>
        <w:footnoteReference w:id="29"/>
      </w:r>
      <w:r w:rsidR="00D76228" w:rsidRPr="00517045">
        <w:rPr>
          <w:rFonts w:ascii="Times New Roman" w:hAnsi="Times New Roman"/>
          <w:color w:val="000000" w:themeColor="text1"/>
          <w:lang w:val="pt-BR"/>
        </w:rPr>
        <w:t xml:space="preserve">. De fato, se for considerada a prática muito limitada e controversa no campo do </w:t>
      </w:r>
      <w:r w:rsidR="00D76228" w:rsidRPr="00517045">
        <w:rPr>
          <w:rFonts w:ascii="Times New Roman" w:hAnsi="Times New Roman"/>
          <w:i/>
          <w:iCs/>
          <w:color w:val="000000" w:themeColor="text1"/>
          <w:lang w:val="pt-BR"/>
        </w:rPr>
        <w:t>jus cogens</w:t>
      </w:r>
      <w:r w:rsidR="00D76228" w:rsidRPr="00517045">
        <w:rPr>
          <w:rFonts w:ascii="Times New Roman" w:hAnsi="Times New Roman"/>
          <w:color w:val="000000" w:themeColor="text1"/>
          <w:lang w:val="pt-BR"/>
        </w:rPr>
        <w:t xml:space="preserve"> regional, pode-se notar a tendência em direção à universalização de tais normas. Este é o caso da já mencionada regra a qual proíbe as execuções juvenis, a qual foi declarada “universalizada” pelo mesmo sistema regional após alguns anos da declaração de seu status como norma peremptória</w:t>
      </w:r>
      <w:r w:rsidR="00D76228" w:rsidRPr="00517045">
        <w:rPr>
          <w:rStyle w:val="FootnoteReference"/>
          <w:rFonts w:ascii="Times New Roman" w:hAnsi="Times New Roman"/>
          <w:color w:val="000000" w:themeColor="text1"/>
        </w:rPr>
        <w:footnoteReference w:id="30"/>
      </w:r>
      <w:r w:rsidR="00D76228" w:rsidRPr="00517045">
        <w:rPr>
          <w:rFonts w:ascii="Times New Roman" w:hAnsi="Times New Roman"/>
          <w:color w:val="000000" w:themeColor="text1"/>
          <w:lang w:val="pt-BR"/>
        </w:rPr>
        <w:t xml:space="preserve">. Os fatores por trás </w:t>
      </w:r>
      <w:r w:rsidR="003026C0" w:rsidRPr="00517045">
        <w:rPr>
          <w:rFonts w:ascii="Times New Roman" w:hAnsi="Times New Roman"/>
          <w:color w:val="000000" w:themeColor="text1"/>
          <w:lang w:val="pt-BR"/>
        </w:rPr>
        <w:t>d</w:t>
      </w:r>
      <w:r w:rsidR="00D76228" w:rsidRPr="00517045">
        <w:rPr>
          <w:rFonts w:ascii="Times New Roman" w:hAnsi="Times New Roman"/>
          <w:color w:val="000000" w:themeColor="text1"/>
          <w:lang w:val="pt-BR"/>
        </w:rPr>
        <w:t xml:space="preserve">esta força alegadamente expansiva não são claros, e não se pode excluir que Estados “fora da região” possam temer esta </w:t>
      </w:r>
      <w:r w:rsidR="003026C0" w:rsidRPr="00517045">
        <w:rPr>
          <w:rFonts w:ascii="Times New Roman" w:hAnsi="Times New Roman"/>
          <w:color w:val="000000" w:themeColor="text1"/>
          <w:lang w:val="pt-BR"/>
        </w:rPr>
        <w:t>tendência</w:t>
      </w:r>
      <w:r w:rsidR="00D76228" w:rsidRPr="00517045">
        <w:rPr>
          <w:rFonts w:ascii="Times New Roman" w:hAnsi="Times New Roman"/>
          <w:color w:val="000000" w:themeColor="text1"/>
          <w:lang w:val="pt-BR"/>
        </w:rPr>
        <w:t xml:space="preserve">, a qual pode fazê-los sujeitos a normas peremptórias cujas origens são estranhas aos mesmos. </w:t>
      </w:r>
    </w:p>
    <w:p w14:paraId="6DD92753" w14:textId="64A79EE8" w:rsidR="001C2996" w:rsidRPr="00517045" w:rsidRDefault="001C2996" w:rsidP="00517045">
      <w:pPr>
        <w:spacing w:line="360" w:lineRule="auto"/>
        <w:jc w:val="both"/>
        <w:rPr>
          <w:color w:val="000000" w:themeColor="text1"/>
          <w:lang w:val="pt-BR"/>
        </w:rPr>
      </w:pPr>
    </w:p>
    <w:p w14:paraId="6F4482BE" w14:textId="2CD6769C" w:rsidR="00231AEE" w:rsidRPr="00517045" w:rsidRDefault="00404AA3" w:rsidP="00517045">
      <w:pPr>
        <w:spacing w:line="360" w:lineRule="auto"/>
        <w:jc w:val="both"/>
        <w:rPr>
          <w:b/>
          <w:bCs/>
          <w:color w:val="000000" w:themeColor="text1"/>
          <w:lang w:val="pt-BR"/>
        </w:rPr>
      </w:pPr>
      <w:r>
        <w:rPr>
          <w:b/>
          <w:bCs/>
          <w:color w:val="000000" w:themeColor="text1"/>
          <w:lang w:val="pt-BR"/>
        </w:rPr>
        <w:t xml:space="preserve">3. </w:t>
      </w:r>
      <w:r w:rsidR="00D76228" w:rsidRPr="00517045">
        <w:rPr>
          <w:b/>
          <w:bCs/>
          <w:color w:val="000000" w:themeColor="text1"/>
          <w:lang w:val="pt-BR"/>
        </w:rPr>
        <w:t>Abordagens regionais ao</w:t>
      </w:r>
      <w:r w:rsidR="00A57E74" w:rsidRPr="00517045">
        <w:rPr>
          <w:b/>
          <w:bCs/>
          <w:color w:val="000000" w:themeColor="text1"/>
          <w:lang w:val="pt-BR"/>
        </w:rPr>
        <w:t xml:space="preserve"> </w:t>
      </w:r>
      <w:r w:rsidR="00FE55FC" w:rsidRPr="00517045">
        <w:rPr>
          <w:b/>
          <w:bCs/>
          <w:i/>
          <w:iCs/>
          <w:color w:val="000000" w:themeColor="text1"/>
          <w:lang w:val="pt-BR"/>
        </w:rPr>
        <w:t>J</w:t>
      </w:r>
      <w:r w:rsidR="00A57E74" w:rsidRPr="00517045">
        <w:rPr>
          <w:b/>
          <w:bCs/>
          <w:i/>
          <w:iCs/>
          <w:color w:val="000000" w:themeColor="text1"/>
          <w:lang w:val="pt-BR"/>
        </w:rPr>
        <w:t xml:space="preserve">us </w:t>
      </w:r>
      <w:r w:rsidR="00FE55FC" w:rsidRPr="00517045">
        <w:rPr>
          <w:b/>
          <w:bCs/>
          <w:i/>
          <w:iCs/>
          <w:color w:val="000000" w:themeColor="text1"/>
          <w:lang w:val="pt-BR"/>
        </w:rPr>
        <w:t>C</w:t>
      </w:r>
      <w:r w:rsidR="00A57E74" w:rsidRPr="00517045">
        <w:rPr>
          <w:b/>
          <w:bCs/>
          <w:i/>
          <w:iCs/>
          <w:color w:val="000000" w:themeColor="text1"/>
          <w:lang w:val="pt-BR"/>
        </w:rPr>
        <w:t>ogens</w:t>
      </w:r>
      <w:r w:rsidR="00A57E74" w:rsidRPr="00517045">
        <w:rPr>
          <w:b/>
          <w:bCs/>
          <w:color w:val="000000" w:themeColor="text1"/>
          <w:lang w:val="pt-BR"/>
        </w:rPr>
        <w:t xml:space="preserve"> </w:t>
      </w:r>
    </w:p>
    <w:p w14:paraId="02366908" w14:textId="77777777" w:rsidR="00404AA3" w:rsidRPr="00517045" w:rsidRDefault="00404AA3" w:rsidP="00517045">
      <w:pPr>
        <w:spacing w:line="360" w:lineRule="auto"/>
        <w:jc w:val="both"/>
        <w:rPr>
          <w:b/>
          <w:bCs/>
          <w:color w:val="000000" w:themeColor="text1"/>
          <w:lang w:val="pt-BR"/>
        </w:rPr>
      </w:pPr>
    </w:p>
    <w:p w14:paraId="5FBFDDEE" w14:textId="1A0971DD" w:rsidR="00367504" w:rsidRPr="00517045" w:rsidRDefault="00404AA3" w:rsidP="00717ABD">
      <w:pPr>
        <w:jc w:val="both"/>
        <w:rPr>
          <w:b/>
          <w:bCs/>
          <w:lang w:val="pt-BR"/>
        </w:rPr>
      </w:pPr>
      <w:r>
        <w:rPr>
          <w:lang w:val="pt-BR"/>
        </w:rPr>
        <w:tab/>
      </w:r>
      <w:r w:rsidRPr="00517045">
        <w:rPr>
          <w:b/>
          <w:bCs/>
          <w:lang w:val="pt-BR"/>
        </w:rPr>
        <w:t xml:space="preserve">3.1. </w:t>
      </w:r>
      <w:r w:rsidR="00D76228" w:rsidRPr="00517045">
        <w:rPr>
          <w:b/>
          <w:bCs/>
          <w:lang w:val="pt-BR"/>
        </w:rPr>
        <w:t>O</w:t>
      </w:r>
      <w:r w:rsidR="00A57E74" w:rsidRPr="00517045">
        <w:rPr>
          <w:b/>
          <w:bCs/>
          <w:lang w:val="pt-BR"/>
        </w:rPr>
        <w:t xml:space="preserve"> </w:t>
      </w:r>
      <w:r w:rsidR="00D76228" w:rsidRPr="00517045">
        <w:rPr>
          <w:b/>
          <w:bCs/>
          <w:lang w:val="pt-BR"/>
        </w:rPr>
        <w:t>uso da</w:t>
      </w:r>
      <w:r w:rsidR="00185EC4" w:rsidRPr="00517045">
        <w:rPr>
          <w:b/>
          <w:bCs/>
          <w:lang w:val="pt-BR"/>
        </w:rPr>
        <w:t xml:space="preserve"> </w:t>
      </w:r>
      <w:r w:rsidR="00D76228" w:rsidRPr="00517045">
        <w:rPr>
          <w:b/>
          <w:bCs/>
          <w:lang w:val="pt-BR"/>
        </w:rPr>
        <w:t>peremptoriedade pela Corte Interamericana de Direitos Humanos.</w:t>
      </w:r>
    </w:p>
    <w:p w14:paraId="049A9644" w14:textId="7F6A8F9E" w:rsidR="00DE228D" w:rsidRPr="00517045" w:rsidRDefault="00DE228D" w:rsidP="00517045">
      <w:pPr>
        <w:spacing w:line="360" w:lineRule="auto"/>
        <w:jc w:val="both"/>
        <w:rPr>
          <w:color w:val="000000" w:themeColor="text1"/>
          <w:lang w:val="pt-BR"/>
        </w:rPr>
      </w:pPr>
    </w:p>
    <w:p w14:paraId="340097B0" w14:textId="1A0DECEF" w:rsidR="00D76228" w:rsidRPr="00517045" w:rsidRDefault="00D76228" w:rsidP="00122D8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 desconfiança geral corrente quanto a possibilidade de um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na CDI e na visão dos Estados encontra ressonância na </w:t>
      </w:r>
      <w:r w:rsidR="00717ABD">
        <w:rPr>
          <w:rFonts w:ascii="Times New Roman" w:hAnsi="Times New Roman"/>
          <w:color w:val="000000" w:themeColor="text1"/>
          <w:lang w:val="pt-BR"/>
        </w:rPr>
        <w:t xml:space="preserve">prática da </w:t>
      </w:r>
      <w:r w:rsidRPr="00517045">
        <w:rPr>
          <w:rFonts w:ascii="Times New Roman" w:hAnsi="Times New Roman"/>
          <w:color w:val="000000" w:themeColor="text1"/>
          <w:lang w:val="pt-BR"/>
        </w:rPr>
        <w:t xml:space="preserve">CtIDH, um dos órgãos mais ativos no recurso a esta categoria de normas. Como reconheceu o Relator Especial “enquanto a Corte </w:t>
      </w:r>
      <w:r w:rsidR="00C00490" w:rsidRPr="00517045">
        <w:rPr>
          <w:rFonts w:ascii="Times New Roman" w:hAnsi="Times New Roman"/>
          <w:color w:val="000000" w:themeColor="text1"/>
          <w:lang w:val="pt-BR"/>
        </w:rPr>
        <w:t xml:space="preserve">e a Comissão </w:t>
      </w:r>
      <w:r w:rsidRPr="00517045">
        <w:rPr>
          <w:rFonts w:ascii="Times New Roman" w:hAnsi="Times New Roman"/>
          <w:color w:val="000000" w:themeColor="text1"/>
          <w:lang w:val="pt-BR"/>
        </w:rPr>
        <w:t>Interamericana</w:t>
      </w:r>
      <w:r w:rsidR="00C00490" w:rsidRPr="00517045">
        <w:rPr>
          <w:rFonts w:ascii="Times New Roman" w:hAnsi="Times New Roman"/>
          <w:color w:val="000000" w:themeColor="text1"/>
          <w:lang w:val="pt-BR"/>
        </w:rPr>
        <w:t>s</w:t>
      </w:r>
      <w:r w:rsidRPr="00517045">
        <w:rPr>
          <w:rFonts w:ascii="Times New Roman" w:hAnsi="Times New Roman"/>
          <w:color w:val="000000" w:themeColor="text1"/>
          <w:lang w:val="pt-BR"/>
        </w:rPr>
        <w:t xml:space="preserve"> e tem sido mais abertas a reconhecer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tais normas </w:t>
      </w:r>
      <w:r w:rsidR="00EE27A2">
        <w:rPr>
          <w:rFonts w:ascii="Times New Roman" w:hAnsi="Times New Roman"/>
          <w:color w:val="000000" w:themeColor="text1"/>
          <w:lang w:val="pt-BR"/>
        </w:rPr>
        <w:t xml:space="preserve">[...] </w:t>
      </w:r>
      <w:r w:rsidRPr="00517045">
        <w:rPr>
          <w:rFonts w:ascii="Times New Roman" w:hAnsi="Times New Roman"/>
          <w:color w:val="000000" w:themeColor="text1"/>
          <w:lang w:val="pt-BR"/>
        </w:rPr>
        <w:t xml:space="preserve">não foram reconhecidas como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Assim, o sistema Interamericano de Direitos Humanos não provê suporte para a noção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w:t>
      </w:r>
      <w:r w:rsidRPr="00517045">
        <w:rPr>
          <w:rStyle w:val="FootnoteReference"/>
          <w:rFonts w:ascii="Times New Roman" w:hAnsi="Times New Roman"/>
          <w:color w:val="000000" w:themeColor="text1"/>
          <w:lang w:val="en-GB"/>
        </w:rPr>
        <w:footnoteReference w:id="31"/>
      </w:r>
      <w:r w:rsidRPr="00517045">
        <w:rPr>
          <w:rFonts w:ascii="Times New Roman" w:hAnsi="Times New Roman"/>
          <w:color w:val="000000" w:themeColor="text1"/>
          <w:lang w:val="pt-BR"/>
        </w:rPr>
        <w:t xml:space="preserve"> Entretanto, </w:t>
      </w:r>
      <w:r w:rsidR="00D825AC" w:rsidRPr="00517045">
        <w:rPr>
          <w:rFonts w:ascii="Times New Roman" w:hAnsi="Times New Roman"/>
          <w:color w:val="000000" w:themeColor="text1"/>
          <w:lang w:val="pt-BR"/>
        </w:rPr>
        <w:t>pode-se conjecturar se as razões as quais levaram a CDI a abraçar o “resoluto universalismo”</w:t>
      </w:r>
      <w:r w:rsidR="00D825AC" w:rsidRPr="00517045">
        <w:rPr>
          <w:rStyle w:val="FootnoteReference"/>
          <w:rFonts w:ascii="Times New Roman" w:hAnsi="Times New Roman"/>
          <w:color w:val="000000" w:themeColor="text1"/>
        </w:rPr>
        <w:footnoteReference w:id="32"/>
      </w:r>
      <w:r w:rsidR="00D825AC" w:rsidRPr="00517045">
        <w:rPr>
          <w:rFonts w:ascii="Times New Roman" w:hAnsi="Times New Roman"/>
          <w:color w:val="000000" w:themeColor="text1"/>
          <w:lang w:val="pt-BR"/>
        </w:rPr>
        <w:t xml:space="preserve"> são as mesmas as quais guiam os órgãos americanos, ou se a CtIDH preferiu aderir ao aspecto universalista de peremptoriedade por outras razões de política judicial. </w:t>
      </w:r>
    </w:p>
    <w:p w14:paraId="63224A96" w14:textId="23474C84" w:rsidR="00D825AC" w:rsidRPr="00517045" w:rsidRDefault="00D825AC">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De início, duas querelas podem ser levantadas em relação à afirmação do Relator Especial sobre a CtIDH. Em primeiro lugar, embora seja verdade que o sistema tem sido aberto a reconhecer certas normas como peremptórias, pode-se lançar dúvidas se as regras reconhecidas como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pela Corte são universalmente aceitas</w:t>
      </w:r>
      <w:r w:rsidR="00EE27A2">
        <w:rPr>
          <w:rFonts w:ascii="Times New Roman" w:hAnsi="Times New Roman"/>
          <w:color w:val="000000" w:themeColor="text1"/>
          <w:lang w:val="pt-BR"/>
        </w:rPr>
        <w:t xml:space="preserve"> como tais</w:t>
      </w:r>
      <w:r w:rsidRPr="00517045">
        <w:rPr>
          <w:rFonts w:ascii="Times New Roman" w:hAnsi="Times New Roman"/>
          <w:color w:val="000000" w:themeColor="text1"/>
          <w:lang w:val="pt-BR"/>
        </w:rPr>
        <w:t xml:space="preserve">. A Corte pode muito bem reconhecer uma norma de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como, por exemplo, o princípio de “</w:t>
      </w:r>
      <w:r w:rsidRPr="00517045">
        <w:rPr>
          <w:rFonts w:ascii="Times New Roman" w:hAnsi="Times New Roman"/>
          <w:i/>
          <w:iCs/>
          <w:color w:val="000000" w:themeColor="text1"/>
          <w:lang w:val="pt-BR"/>
        </w:rPr>
        <w:t>non-refoulement</w:t>
      </w:r>
      <w:r w:rsidRPr="00517045">
        <w:rPr>
          <w:rFonts w:ascii="Times New Roman" w:hAnsi="Times New Roman"/>
          <w:color w:val="000000" w:themeColor="text1"/>
          <w:lang w:val="pt-BR"/>
        </w:rPr>
        <w:t xml:space="preserve"> indireto”</w:t>
      </w:r>
      <w:r w:rsidRPr="00517045">
        <w:rPr>
          <w:rStyle w:val="FootnoteReference"/>
          <w:rFonts w:ascii="Times New Roman" w:hAnsi="Times New Roman"/>
          <w:color w:val="000000" w:themeColor="text1"/>
          <w:lang w:val="pt-BR"/>
        </w:rPr>
        <w:t xml:space="preserve"> </w:t>
      </w:r>
      <w:r w:rsidRPr="00517045">
        <w:rPr>
          <w:rStyle w:val="FootnoteReference"/>
          <w:rFonts w:ascii="Times New Roman" w:hAnsi="Times New Roman"/>
          <w:color w:val="000000" w:themeColor="text1"/>
          <w:lang w:val="en-GB"/>
        </w:rPr>
        <w:footnoteReference w:id="33"/>
      </w:r>
      <w:r w:rsidRPr="00517045">
        <w:rPr>
          <w:rFonts w:ascii="Times New Roman" w:hAnsi="Times New Roman"/>
          <w:color w:val="000000" w:themeColor="text1"/>
          <w:lang w:val="pt-BR"/>
        </w:rPr>
        <w:t xml:space="preserve">– o qual ainda não se trata de um consenso na comunidade internacional. A Corte também pode identificar, interpretar e aplicar uma bem estabelecida norma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enquanto promove uma interpretação distinta desta regra. Uma leitura possível de tais abordagens poderia ser a de que a Corte está, na verdade, tratando de diferentes regras, talvez de caráter regional. Nenhuma orientação sobre estas questões altamente teóricas podem ser encontradas nos trabalhos da CDI. O Relator Especial parece </w:t>
      </w:r>
      <w:r w:rsidR="00C00490" w:rsidRPr="00517045">
        <w:rPr>
          <w:rFonts w:ascii="Times New Roman" w:hAnsi="Times New Roman"/>
          <w:color w:val="000000" w:themeColor="text1"/>
          <w:lang w:val="pt-BR"/>
        </w:rPr>
        <w:t>evita-las</w:t>
      </w:r>
      <w:r w:rsidRPr="00517045">
        <w:rPr>
          <w:rFonts w:ascii="Times New Roman" w:hAnsi="Times New Roman"/>
          <w:color w:val="000000" w:themeColor="text1"/>
          <w:lang w:val="pt-BR"/>
        </w:rPr>
        <w:t xml:space="preserve">, seja não examinando a prática da CtIDH, seja insistindo na ausência de referências ao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xml:space="preserve">regional pela Corte. </w:t>
      </w:r>
    </w:p>
    <w:p w14:paraId="7FAE005F" w14:textId="536FE5E5" w:rsidR="00D825AC" w:rsidRPr="00517045" w:rsidRDefault="00D825AC">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Essas questões conduzem a um segundo problema: é possível se basear exclusivamente na </w:t>
      </w:r>
      <w:r w:rsidR="000C5D3A" w:rsidRPr="00517045">
        <w:rPr>
          <w:rFonts w:ascii="Times New Roman" w:hAnsi="Times New Roman"/>
          <w:color w:val="000000" w:themeColor="text1"/>
          <w:lang w:val="pt-BR"/>
        </w:rPr>
        <w:t xml:space="preserve">inexistência </w:t>
      </w:r>
      <w:r w:rsidRPr="00517045">
        <w:rPr>
          <w:rFonts w:ascii="Times New Roman" w:hAnsi="Times New Roman"/>
          <w:color w:val="000000" w:themeColor="text1"/>
          <w:lang w:val="pt-BR"/>
        </w:rPr>
        <w:t xml:space="preserve">de </w:t>
      </w:r>
      <w:r w:rsidR="00717ABD">
        <w:rPr>
          <w:rFonts w:ascii="Times New Roman" w:hAnsi="Times New Roman"/>
          <w:color w:val="000000" w:themeColor="text1"/>
          <w:lang w:val="pt-BR"/>
        </w:rPr>
        <w:t xml:space="preserve">declaração de </w:t>
      </w:r>
      <w:r w:rsidRPr="00517045">
        <w:rPr>
          <w:rFonts w:ascii="Times New Roman" w:hAnsi="Times New Roman"/>
          <w:color w:val="000000" w:themeColor="text1"/>
          <w:lang w:val="pt-BR"/>
        </w:rPr>
        <w:t>normas</w:t>
      </w:r>
      <w:r w:rsidR="000C5D3A" w:rsidRPr="00517045">
        <w:rPr>
          <w:rFonts w:ascii="Times New Roman" w:hAnsi="Times New Roman"/>
          <w:color w:val="000000" w:themeColor="text1"/>
          <w:lang w:val="pt-BR"/>
        </w:rPr>
        <w:t xml:space="preserve"> regionais</w:t>
      </w:r>
      <w:r w:rsidRPr="00517045">
        <w:rPr>
          <w:rFonts w:ascii="Times New Roman" w:hAnsi="Times New Roman"/>
          <w:color w:val="000000" w:themeColor="text1"/>
          <w:lang w:val="pt-BR"/>
        </w:rPr>
        <w:t xml:space="preserve">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por um certo grupo de Estados</w:t>
      </w:r>
      <w:r w:rsidR="00524F42" w:rsidRPr="00517045">
        <w:rPr>
          <w:rFonts w:ascii="Times New Roman" w:hAnsi="Times New Roman"/>
          <w:color w:val="000000" w:themeColor="text1"/>
          <w:lang w:val="pt-BR"/>
        </w:rPr>
        <w:t xml:space="preserve"> ou um dado órgão judicial para atestar a existência ou não de tais normas? Se o critério final para determinar a existência de um </w:t>
      </w:r>
      <w:r w:rsidR="00524F42" w:rsidRPr="00517045">
        <w:rPr>
          <w:rFonts w:ascii="Times New Roman" w:hAnsi="Times New Roman"/>
          <w:i/>
          <w:iCs/>
          <w:color w:val="000000" w:themeColor="text1"/>
          <w:lang w:val="pt-BR"/>
        </w:rPr>
        <w:t>jus cogens</w:t>
      </w:r>
      <w:r w:rsidR="00524F42" w:rsidRPr="00517045">
        <w:rPr>
          <w:rFonts w:ascii="Times New Roman" w:hAnsi="Times New Roman"/>
          <w:color w:val="000000" w:themeColor="text1"/>
          <w:lang w:val="pt-BR"/>
        </w:rPr>
        <w:t xml:space="preserve"> regional é a aberta admissão pela Corte de que a norma por ela aplicada tem a natureza de </w:t>
      </w:r>
      <w:r w:rsidR="00524F42" w:rsidRPr="00517045">
        <w:rPr>
          <w:rFonts w:ascii="Times New Roman" w:hAnsi="Times New Roman"/>
          <w:i/>
          <w:iCs/>
          <w:color w:val="000000" w:themeColor="text1"/>
          <w:lang w:val="pt-BR"/>
        </w:rPr>
        <w:t>jus cogens</w:t>
      </w:r>
      <w:r w:rsidR="00524F42" w:rsidRPr="00517045">
        <w:rPr>
          <w:rFonts w:ascii="Times New Roman" w:hAnsi="Times New Roman"/>
          <w:color w:val="000000" w:themeColor="text1"/>
          <w:lang w:val="pt-BR"/>
        </w:rPr>
        <w:t xml:space="preserve"> regional, a categoria está destinada à inexistência. Nessa toada, a busca do Relator Especial por exemplos de prática regional está fadada ao fracasso. </w:t>
      </w:r>
    </w:p>
    <w:p w14:paraId="187A63F6" w14:textId="2768A8F7" w:rsidR="00AD68F1" w:rsidRPr="00517045" w:rsidRDefault="00524F42">
      <w:pPr>
        <w:pStyle w:val="Texto"/>
        <w:rPr>
          <w:rFonts w:ascii="Times New Roman" w:hAnsi="Times New Roman"/>
          <w:color w:val="000000" w:themeColor="text1"/>
          <w:lang w:val="pt-BR"/>
        </w:rPr>
      </w:pPr>
      <w:r w:rsidRPr="00517045">
        <w:rPr>
          <w:rFonts w:ascii="Times New Roman" w:hAnsi="Times New Roman"/>
          <w:color w:val="000000" w:themeColor="text1"/>
          <w:lang w:val="pt-BR"/>
        </w:rPr>
        <w:t>A relação entre regionalismo</w:t>
      </w:r>
      <w:r w:rsidRPr="00517045">
        <w:rPr>
          <w:rStyle w:val="FootnoteReference"/>
          <w:rFonts w:ascii="Times New Roman" w:hAnsi="Times New Roman"/>
          <w:color w:val="000000" w:themeColor="text1"/>
          <w:lang w:val="en-GB"/>
        </w:rPr>
        <w:footnoteReference w:id="34"/>
      </w:r>
      <w:r w:rsidRPr="00517045">
        <w:rPr>
          <w:rFonts w:ascii="Times New Roman" w:hAnsi="Times New Roman"/>
          <w:color w:val="000000" w:themeColor="text1"/>
          <w:lang w:val="pt-BR"/>
        </w:rPr>
        <w:t xml:space="preserve"> e peremptoriedade é particularmente controversa se vista pelas lentes da prática judicial da CtIDH. Como veremos adiante, a Corte abraça um universalismo resoluto e, por diferentes razões, nomina</w:t>
      </w:r>
      <w:r w:rsidR="000C5D3A" w:rsidRPr="00517045">
        <w:rPr>
          <w:rFonts w:ascii="Times New Roman" w:hAnsi="Times New Roman"/>
          <w:color w:val="000000" w:themeColor="text1"/>
          <w:lang w:val="pt-BR"/>
        </w:rPr>
        <w:t xml:space="preserve"> como </w:t>
      </w:r>
      <w:r w:rsidR="000C5D3A"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uma determinada regra a qual precisa</w:t>
      </w:r>
      <w:r w:rsidR="000C5D3A" w:rsidRPr="00517045">
        <w:rPr>
          <w:rFonts w:ascii="Times New Roman" w:hAnsi="Times New Roman"/>
          <w:color w:val="000000" w:themeColor="text1"/>
          <w:lang w:val="pt-BR"/>
        </w:rPr>
        <w:t>, na sua visão,</w:t>
      </w:r>
      <w:r w:rsidRPr="00517045">
        <w:rPr>
          <w:rFonts w:ascii="Times New Roman" w:hAnsi="Times New Roman"/>
          <w:color w:val="000000" w:themeColor="text1"/>
          <w:lang w:val="pt-BR"/>
        </w:rPr>
        <w:t xml:space="preserve"> ganhar particular importância no interior do sistema. Na contramão, o Relator Especial e a CDI se mostram satisfeitos com o fato de que o Sistema Interamericano não cria dificuldades ao seu projeto universalista sobre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se filiam ao silêncio da Corte sobre normas peremptórias regionais. Contudo, a dificuldade última para reconciliar o que se encontra entre essas duas posições </w:t>
      </w:r>
      <w:r w:rsidR="00AD68F1" w:rsidRPr="00517045">
        <w:rPr>
          <w:rFonts w:ascii="Times New Roman" w:hAnsi="Times New Roman"/>
          <w:color w:val="000000" w:themeColor="text1"/>
          <w:lang w:val="pt-BR"/>
        </w:rPr>
        <w:t>é algo que o projeto da CDI parece somente postergar, e nós gostaríamos de sublinhá-lo aqui: a frágil harmonia entre peremptoriedade, regionalismo e universalismo</w:t>
      </w:r>
      <w:r w:rsidR="000C5D3A" w:rsidRPr="00517045">
        <w:rPr>
          <w:rFonts w:ascii="Times New Roman" w:hAnsi="Times New Roman"/>
          <w:color w:val="000000" w:themeColor="text1"/>
          <w:lang w:val="pt-BR"/>
        </w:rPr>
        <w:t>, a qual se</w:t>
      </w:r>
      <w:r w:rsidR="00AD68F1" w:rsidRPr="00517045">
        <w:rPr>
          <w:rFonts w:ascii="Times New Roman" w:hAnsi="Times New Roman"/>
          <w:color w:val="000000" w:themeColor="text1"/>
          <w:lang w:val="pt-BR"/>
        </w:rPr>
        <w:t xml:space="preserve"> encontra sob </w:t>
      </w:r>
      <w:r w:rsidR="00453B29">
        <w:rPr>
          <w:rFonts w:ascii="Times New Roman" w:hAnsi="Times New Roman"/>
          <w:color w:val="000000" w:themeColor="text1"/>
          <w:lang w:val="pt-BR"/>
        </w:rPr>
        <w:t xml:space="preserve">permanente </w:t>
      </w:r>
      <w:r w:rsidR="00AD68F1" w:rsidRPr="00517045">
        <w:rPr>
          <w:rFonts w:ascii="Times New Roman" w:hAnsi="Times New Roman"/>
          <w:color w:val="000000" w:themeColor="text1"/>
          <w:lang w:val="pt-BR"/>
        </w:rPr>
        <w:t xml:space="preserve">tensão. A consistência do projeto universalista da CDI sobre </w:t>
      </w:r>
      <w:r w:rsidR="00AD68F1" w:rsidRPr="00517045">
        <w:rPr>
          <w:rFonts w:ascii="Times New Roman" w:hAnsi="Times New Roman"/>
          <w:i/>
          <w:iCs/>
          <w:color w:val="000000" w:themeColor="text1"/>
          <w:lang w:val="pt-BR"/>
        </w:rPr>
        <w:t>jus cogens</w:t>
      </w:r>
      <w:r w:rsidR="00AD68F1" w:rsidRPr="00517045">
        <w:rPr>
          <w:rFonts w:ascii="Times New Roman" w:hAnsi="Times New Roman"/>
          <w:color w:val="000000" w:themeColor="text1"/>
          <w:lang w:val="pt-BR"/>
        </w:rPr>
        <w:t xml:space="preserve"> resta sobre o fato de que os Estados não são afeitos a reconhecer o</w:t>
      </w:r>
      <w:r w:rsidR="00AD68F1" w:rsidRPr="00517045">
        <w:rPr>
          <w:rFonts w:ascii="Times New Roman" w:hAnsi="Times New Roman"/>
          <w:i/>
          <w:iCs/>
          <w:color w:val="000000" w:themeColor="text1"/>
          <w:lang w:val="pt-BR"/>
        </w:rPr>
        <w:t xml:space="preserve"> jus cogens </w:t>
      </w:r>
      <w:r w:rsidR="00AD68F1" w:rsidRPr="00517045">
        <w:rPr>
          <w:rFonts w:ascii="Times New Roman" w:hAnsi="Times New Roman"/>
          <w:color w:val="000000" w:themeColor="text1"/>
          <w:lang w:val="pt-BR"/>
        </w:rPr>
        <w:t xml:space="preserve">regional, </w:t>
      </w:r>
      <w:r w:rsidR="000C5D3A" w:rsidRPr="00517045">
        <w:rPr>
          <w:rFonts w:ascii="Times New Roman" w:hAnsi="Times New Roman"/>
          <w:color w:val="000000" w:themeColor="text1"/>
          <w:lang w:val="pt-BR"/>
        </w:rPr>
        <w:t xml:space="preserve">e </w:t>
      </w:r>
      <w:r w:rsidR="00AD68F1" w:rsidRPr="00517045">
        <w:rPr>
          <w:rFonts w:ascii="Times New Roman" w:hAnsi="Times New Roman"/>
          <w:color w:val="000000" w:themeColor="text1"/>
          <w:lang w:val="pt-BR"/>
        </w:rPr>
        <w:t>nem mesmo as cortes internacionais querem fazer uso dele. Entretanto, a tensão entre esses três conceitos tem o potencial de ma</w:t>
      </w:r>
      <w:r w:rsidR="00453B29">
        <w:rPr>
          <w:rFonts w:ascii="Times New Roman" w:hAnsi="Times New Roman"/>
          <w:color w:val="000000" w:themeColor="text1"/>
          <w:lang w:val="pt-BR"/>
        </w:rPr>
        <w:t>cular</w:t>
      </w:r>
      <w:r w:rsidR="00AD68F1" w:rsidRPr="00517045">
        <w:rPr>
          <w:rFonts w:ascii="Times New Roman" w:hAnsi="Times New Roman"/>
          <w:color w:val="000000" w:themeColor="text1"/>
          <w:lang w:val="pt-BR"/>
        </w:rPr>
        <w:t xml:space="preserve"> qualquer projeto jurídico coerente. Algumas rugas já podem ser percebidas n</w:t>
      </w:r>
      <w:r w:rsidR="000C5D3A" w:rsidRPr="00517045">
        <w:rPr>
          <w:rFonts w:ascii="Times New Roman" w:hAnsi="Times New Roman"/>
          <w:color w:val="000000" w:themeColor="text1"/>
          <w:lang w:val="pt-BR"/>
        </w:rPr>
        <w:t>a</w:t>
      </w:r>
      <w:r w:rsidR="00AD68F1" w:rsidRPr="00517045">
        <w:rPr>
          <w:rFonts w:ascii="Times New Roman" w:hAnsi="Times New Roman"/>
          <w:color w:val="000000" w:themeColor="text1"/>
          <w:lang w:val="pt-BR"/>
        </w:rPr>
        <w:t xml:space="preserve"> </w:t>
      </w:r>
      <w:r w:rsidR="000C5D3A" w:rsidRPr="00517045">
        <w:rPr>
          <w:rFonts w:ascii="Times New Roman" w:hAnsi="Times New Roman"/>
          <w:color w:val="000000" w:themeColor="text1"/>
          <w:lang w:val="pt-BR"/>
        </w:rPr>
        <w:t xml:space="preserve">face </w:t>
      </w:r>
      <w:r w:rsidR="00AD68F1" w:rsidRPr="00517045">
        <w:rPr>
          <w:rFonts w:ascii="Times New Roman" w:hAnsi="Times New Roman"/>
          <w:color w:val="000000" w:themeColor="text1"/>
          <w:lang w:val="pt-BR"/>
        </w:rPr>
        <w:t xml:space="preserve">da Corte de São José. </w:t>
      </w:r>
    </w:p>
    <w:p w14:paraId="7CBFA151" w14:textId="7D92AF4C" w:rsidR="00AD68F1" w:rsidRPr="00517045" w:rsidRDefault="00AD68F1">
      <w:pPr>
        <w:pStyle w:val="Texto"/>
        <w:rPr>
          <w:rFonts w:ascii="Times New Roman" w:hAnsi="Times New Roman"/>
          <w:color w:val="000000" w:themeColor="text1"/>
          <w:lang w:val="pt-BR"/>
        </w:rPr>
      </w:pPr>
      <w:r w:rsidRPr="00517045">
        <w:rPr>
          <w:rFonts w:ascii="Times New Roman" w:hAnsi="Times New Roman"/>
          <w:color w:val="000000" w:themeColor="text1"/>
          <w:lang w:val="pt-BR"/>
        </w:rPr>
        <w:t>Por um lado, a abordagem universalista adotada pel</w:t>
      </w:r>
      <w:r w:rsidR="000C5D3A"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CDI associa apenas as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com regras que necessariamente transmitem os valores da comunidade internacional como um todo. Qualquer ameaça à universalidade </w:t>
      </w:r>
      <w:r w:rsidR="000C5D3A" w:rsidRPr="00517045">
        <w:rPr>
          <w:rFonts w:ascii="Times New Roman" w:hAnsi="Times New Roman"/>
          <w:color w:val="000000" w:themeColor="text1"/>
          <w:lang w:val="pt-BR"/>
        </w:rPr>
        <w:t xml:space="preserve">de tais </w:t>
      </w:r>
      <w:r w:rsidRPr="00517045">
        <w:rPr>
          <w:rFonts w:ascii="Times New Roman" w:hAnsi="Times New Roman"/>
          <w:color w:val="000000" w:themeColor="text1"/>
          <w:lang w:val="pt-BR"/>
        </w:rPr>
        <w:t xml:space="preserve">valores minaria sua peremptoriedade. Assim, a solução óbvia é descartar qualquer tipo de excepcionalidade (expressa aqui pelo regionalismo) e enfatizar a exigência de universalidade das regras peremptórias. No outro extremo do espectro, entretanto, existem órgãos regionais que, por argumentos históricos, por necessidades especiais ou outras razões, aspiram a dar a certas regras um caráter superior. Tais regras ainda não </w:t>
      </w:r>
      <w:r w:rsidR="000C5D3A" w:rsidRPr="00517045">
        <w:rPr>
          <w:rFonts w:ascii="Times New Roman" w:hAnsi="Times New Roman"/>
          <w:color w:val="000000" w:themeColor="text1"/>
          <w:lang w:val="pt-BR"/>
        </w:rPr>
        <w:t xml:space="preserve">possuem </w:t>
      </w:r>
      <w:r w:rsidRPr="00517045">
        <w:rPr>
          <w:rFonts w:ascii="Times New Roman" w:hAnsi="Times New Roman"/>
          <w:color w:val="000000" w:themeColor="text1"/>
          <w:lang w:val="pt-BR"/>
        </w:rPr>
        <w:t xml:space="preserve">o alcance universal, mas a necessidade de dar-lhes peremptoriedade permanece. </w:t>
      </w:r>
      <w:r w:rsidR="000C5D3A" w:rsidRPr="00517045">
        <w:rPr>
          <w:rFonts w:ascii="Times New Roman" w:hAnsi="Times New Roman"/>
          <w:color w:val="000000" w:themeColor="text1"/>
          <w:lang w:val="pt-BR"/>
        </w:rPr>
        <w:t>Em suma,</w:t>
      </w:r>
      <w:r w:rsidRPr="00517045">
        <w:rPr>
          <w:rFonts w:ascii="Times New Roman" w:hAnsi="Times New Roman"/>
          <w:color w:val="000000" w:themeColor="text1"/>
          <w:lang w:val="pt-BR"/>
        </w:rPr>
        <w:t xml:space="preserve"> há uma demanda dos órgãos regionais para utilizar a peremptoriedade em sua prática. </w:t>
      </w:r>
      <w:r w:rsidR="000C5D3A" w:rsidRPr="00517045">
        <w:rPr>
          <w:rFonts w:ascii="Times New Roman" w:hAnsi="Times New Roman"/>
          <w:color w:val="000000" w:themeColor="text1"/>
          <w:lang w:val="pt-BR"/>
        </w:rPr>
        <w:t>Por consequência</w:t>
      </w:r>
      <w:r w:rsidRPr="00517045">
        <w:rPr>
          <w:rFonts w:ascii="Times New Roman" w:hAnsi="Times New Roman"/>
          <w:color w:val="000000" w:themeColor="text1"/>
          <w:lang w:val="pt-BR"/>
        </w:rPr>
        <w:t>, a peremptoriedade não se torna apenas uma exigência do projeto universalista, mas uma ferramenta para as aspirações regionais.</w:t>
      </w:r>
    </w:p>
    <w:p w14:paraId="29E308DF" w14:textId="38281347" w:rsidR="00AD68F1" w:rsidRPr="00517045" w:rsidRDefault="00AD68F1">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Em toda a sua jurisprudência, a CtIDH já reconheceu pelo menos oito regras diferentes como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w:t>
      </w:r>
      <w:r w:rsidR="00E80D93">
        <w:rPr>
          <w:rStyle w:val="FootnoteReference"/>
          <w:rFonts w:ascii="Times New Roman" w:hAnsi="Times New Roman"/>
          <w:color w:val="000000" w:themeColor="text1"/>
          <w:lang w:val="pt-BR"/>
        </w:rPr>
        <w:footnoteReference w:id="35"/>
      </w:r>
      <w:r w:rsidRPr="00517045">
        <w:rPr>
          <w:rFonts w:ascii="Times New Roman" w:hAnsi="Times New Roman"/>
          <w:color w:val="000000" w:themeColor="text1"/>
          <w:lang w:val="pt-BR"/>
        </w:rPr>
        <w:t xml:space="preserve">  No entanto, em raras ocasiões, estes reconhecimentos foram acompanhados de efeitos específicos. No caso </w:t>
      </w:r>
      <w:r w:rsidRPr="00517045">
        <w:rPr>
          <w:rFonts w:ascii="Times New Roman" w:hAnsi="Times New Roman"/>
          <w:i/>
          <w:iCs/>
          <w:color w:val="000000" w:themeColor="text1"/>
          <w:lang w:val="pt-BR"/>
        </w:rPr>
        <w:t>Aloeboetoe et al. v. Suriname</w:t>
      </w:r>
      <w:r w:rsidRPr="00517045">
        <w:rPr>
          <w:rFonts w:ascii="Times New Roman" w:hAnsi="Times New Roman"/>
          <w:color w:val="000000" w:themeColor="text1"/>
          <w:lang w:val="pt-BR"/>
        </w:rPr>
        <w:t xml:space="preserve">, a Corte considerou que um tratado </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seria nulo e sem efeito porque contradiz as normas do </w:t>
      </w:r>
      <w:r w:rsidRPr="00517045">
        <w:rPr>
          <w:rFonts w:ascii="Times New Roman" w:hAnsi="Times New Roman"/>
          <w:i/>
          <w:iCs/>
          <w:color w:val="000000" w:themeColor="text1"/>
          <w:lang w:val="pt-BR"/>
        </w:rPr>
        <w:t>jus cogens superveniens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w:t>
      </w:r>
      <w:r w:rsidRPr="00517045">
        <w:rPr>
          <w:rStyle w:val="FootnoteReference"/>
          <w:rFonts w:ascii="Times New Roman" w:hAnsi="Times New Roman"/>
          <w:color w:val="000000" w:themeColor="text1"/>
          <w:lang w:val="en-GB"/>
        </w:rPr>
        <w:footnoteReference w:id="36"/>
      </w:r>
      <w:r w:rsidRPr="00517045">
        <w:rPr>
          <w:rFonts w:ascii="Times New Roman" w:hAnsi="Times New Roman"/>
          <w:color w:val="000000" w:themeColor="text1"/>
          <w:lang w:val="pt-BR"/>
        </w:rPr>
        <w:t xml:space="preserve"> Esta foi a única ocasião em que a Corte estipulou efeitos específicos de acordo com o artigo 64 da Convenção de Viena. Na maioria dos casos, a declaração do caráter peremptório de uma regra teve efeito puramente retórico, com o objetivo de reforçar a importância da </w:t>
      </w:r>
      <w:r w:rsidR="006E1D9F" w:rsidRPr="00517045">
        <w:rPr>
          <w:rFonts w:ascii="Times New Roman" w:hAnsi="Times New Roman"/>
          <w:color w:val="000000" w:themeColor="text1"/>
          <w:lang w:val="pt-BR"/>
        </w:rPr>
        <w:t xml:space="preserve">norma </w:t>
      </w:r>
      <w:r w:rsidRPr="00517045">
        <w:rPr>
          <w:rFonts w:ascii="Times New Roman" w:hAnsi="Times New Roman"/>
          <w:color w:val="000000" w:themeColor="text1"/>
          <w:lang w:val="pt-BR"/>
        </w:rPr>
        <w:t xml:space="preserve">no contexto específico em que ela foi aplicada. </w:t>
      </w:r>
      <w:r w:rsidR="006E1D9F" w:rsidRPr="00517045">
        <w:rPr>
          <w:rFonts w:ascii="Times New Roman" w:hAnsi="Times New Roman"/>
          <w:color w:val="000000" w:themeColor="text1"/>
          <w:lang w:val="pt-BR"/>
        </w:rPr>
        <w:t xml:space="preserve">O recurso à declaração </w:t>
      </w:r>
      <w:r w:rsidRPr="00517045">
        <w:rPr>
          <w:rFonts w:ascii="Times New Roman" w:hAnsi="Times New Roman"/>
          <w:color w:val="000000" w:themeColor="text1"/>
          <w:lang w:val="pt-BR"/>
        </w:rPr>
        <w:t>foi utilizad</w:t>
      </w:r>
      <w:r w:rsidR="006E1D9F"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 especialmente para reforçar o dever de respeitar as obrigações internacionais quando estas </w:t>
      </w:r>
      <w:r w:rsidR="006E1D9F" w:rsidRPr="00517045">
        <w:rPr>
          <w:rFonts w:ascii="Times New Roman" w:hAnsi="Times New Roman"/>
          <w:color w:val="000000" w:themeColor="text1"/>
          <w:lang w:val="pt-BR"/>
        </w:rPr>
        <w:t xml:space="preserve">correm o risco de </w:t>
      </w:r>
      <w:r w:rsidRPr="00517045">
        <w:rPr>
          <w:rFonts w:ascii="Times New Roman" w:hAnsi="Times New Roman"/>
          <w:color w:val="000000" w:themeColor="text1"/>
          <w:lang w:val="pt-BR"/>
        </w:rPr>
        <w:t xml:space="preserve">entrar em conflito com as obrigações domésticas. Alternativamente, o recurso ao caráter peremptório de uma regra pela CtIDH serve para afirmar o caráter hierarquicamente superior da </w:t>
      </w:r>
      <w:r w:rsidR="006E1D9F" w:rsidRPr="00517045">
        <w:rPr>
          <w:rFonts w:ascii="Times New Roman" w:hAnsi="Times New Roman"/>
          <w:color w:val="000000" w:themeColor="text1"/>
          <w:lang w:val="pt-BR"/>
        </w:rPr>
        <w:t xml:space="preserve">mesma </w:t>
      </w:r>
      <w:r w:rsidRPr="00517045">
        <w:rPr>
          <w:rFonts w:ascii="Times New Roman" w:hAnsi="Times New Roman"/>
          <w:color w:val="000000" w:themeColor="text1"/>
          <w:lang w:val="pt-BR"/>
        </w:rPr>
        <w:t xml:space="preserve">em relação às ordens jurídicas domésticas. </w:t>
      </w:r>
    </w:p>
    <w:p w14:paraId="68C52DF5" w14:textId="5C7510D0" w:rsidR="008D4F9E" w:rsidRPr="00517045" w:rsidRDefault="008D4F9E">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Por exemplo, em </w:t>
      </w:r>
      <w:r w:rsidRPr="00517045">
        <w:rPr>
          <w:rFonts w:ascii="Times New Roman" w:hAnsi="Times New Roman"/>
          <w:i/>
          <w:iCs/>
          <w:color w:val="000000" w:themeColor="text1"/>
          <w:lang w:val="pt-BR"/>
        </w:rPr>
        <w:t>Yatama v. Nicarágua</w:t>
      </w:r>
      <w:r w:rsidRPr="00517045">
        <w:rPr>
          <w:rFonts w:ascii="Times New Roman" w:hAnsi="Times New Roman"/>
          <w:color w:val="000000" w:themeColor="text1"/>
          <w:lang w:val="pt-BR"/>
        </w:rPr>
        <w:t xml:space="preserve">, a CtIDH observou que </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no estágio atual da evolução do direito internacional, o princípio fundamental da igualdade e da não discriminação adentrou o reino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 Consequentemente, os Estados são obrigados a não introduzir </w:t>
      </w:r>
      <w:r w:rsidR="006E1D9F" w:rsidRPr="00517045">
        <w:rPr>
          <w:rFonts w:ascii="Times New Roman" w:hAnsi="Times New Roman"/>
          <w:color w:val="000000" w:themeColor="text1"/>
          <w:lang w:val="pt-BR"/>
        </w:rPr>
        <w:t xml:space="preserve">legislações </w:t>
      </w:r>
      <w:r w:rsidRPr="00517045">
        <w:rPr>
          <w:rFonts w:ascii="Times New Roman" w:hAnsi="Times New Roman"/>
          <w:color w:val="000000" w:themeColor="text1"/>
          <w:lang w:val="pt-BR"/>
        </w:rPr>
        <w:t>discriminatóri</w:t>
      </w:r>
      <w:r w:rsidR="006E1D9F" w:rsidRPr="00517045">
        <w:rPr>
          <w:rFonts w:ascii="Times New Roman" w:hAnsi="Times New Roman"/>
          <w:color w:val="000000" w:themeColor="text1"/>
          <w:lang w:val="pt-BR"/>
        </w:rPr>
        <w:t>as</w:t>
      </w:r>
      <w:r w:rsidRPr="00517045">
        <w:rPr>
          <w:rFonts w:ascii="Times New Roman" w:hAnsi="Times New Roman"/>
          <w:color w:val="000000" w:themeColor="text1"/>
          <w:lang w:val="pt-BR"/>
        </w:rPr>
        <w:t xml:space="preserve"> em </w:t>
      </w:r>
      <w:r w:rsidR="006E1D9F" w:rsidRPr="00517045">
        <w:rPr>
          <w:rFonts w:ascii="Times New Roman" w:hAnsi="Times New Roman"/>
          <w:color w:val="000000" w:themeColor="text1"/>
          <w:lang w:val="pt-BR"/>
        </w:rPr>
        <w:t>seu Direito</w:t>
      </w:r>
      <w:r w:rsidRPr="00517045">
        <w:rPr>
          <w:rFonts w:ascii="Times New Roman" w:hAnsi="Times New Roman"/>
          <w:color w:val="000000" w:themeColor="text1"/>
          <w:lang w:val="pt-BR"/>
        </w:rPr>
        <w:t xml:space="preserve">, a </w:t>
      </w:r>
      <w:r w:rsidR="006E1D9F" w:rsidRPr="00517045">
        <w:rPr>
          <w:rFonts w:ascii="Times New Roman" w:hAnsi="Times New Roman"/>
          <w:color w:val="000000" w:themeColor="text1"/>
          <w:lang w:val="pt-BR"/>
        </w:rPr>
        <w:t xml:space="preserve">revogar legislações </w:t>
      </w:r>
      <w:r w:rsidRPr="00517045">
        <w:rPr>
          <w:rFonts w:ascii="Times New Roman" w:hAnsi="Times New Roman"/>
          <w:color w:val="000000" w:themeColor="text1"/>
          <w:lang w:val="pt-BR"/>
        </w:rPr>
        <w:t>de natureza discriminatória, a combater práticas dessa natureza e a estabelecer normas e outras medidas que reconheçam e garantam a igualdade efetiva perante a lei de cada indivíduo</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w:t>
      </w:r>
      <w:r w:rsidRPr="00517045">
        <w:rPr>
          <w:rStyle w:val="FootnoteReference"/>
          <w:rFonts w:ascii="Times New Roman" w:hAnsi="Times New Roman"/>
          <w:color w:val="000000" w:themeColor="text1"/>
        </w:rPr>
        <w:footnoteReference w:id="37"/>
      </w:r>
      <w:r w:rsidRPr="00517045">
        <w:rPr>
          <w:rFonts w:ascii="Times New Roman" w:hAnsi="Times New Roman"/>
          <w:color w:val="000000" w:themeColor="text1"/>
          <w:lang w:val="pt-BR"/>
        </w:rPr>
        <w:t xml:space="preserve"> É difícil entender por que estas obrigações derivam da peremptoriedade da regra e não da necessidade de respeitar as obrigações internacionais. Exemplos no mesmo sentido abundam na jurisprudência d</w:t>
      </w:r>
      <w:r w:rsidR="008102A7"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w:t>
      </w:r>
      <w:r w:rsidR="008102A7" w:rsidRPr="00517045">
        <w:rPr>
          <w:rFonts w:ascii="Times New Roman" w:hAnsi="Times New Roman"/>
          <w:color w:val="000000" w:themeColor="text1"/>
          <w:lang w:val="pt-BR"/>
        </w:rPr>
        <w:t>Corte</w:t>
      </w:r>
      <w:r w:rsidRPr="00517045">
        <w:rPr>
          <w:rFonts w:ascii="Times New Roman" w:hAnsi="Times New Roman"/>
          <w:color w:val="000000" w:themeColor="text1"/>
          <w:lang w:val="pt-BR"/>
        </w:rPr>
        <w:t>.</w:t>
      </w:r>
      <w:r w:rsidRPr="00517045">
        <w:rPr>
          <w:rStyle w:val="FootnoteReference"/>
          <w:rFonts w:ascii="Times New Roman" w:hAnsi="Times New Roman"/>
          <w:color w:val="000000" w:themeColor="text1"/>
          <w:lang w:val="pt-BR"/>
        </w:rPr>
        <w:footnoteReference w:id="38"/>
      </w:r>
      <w:r w:rsidRPr="00517045">
        <w:rPr>
          <w:rFonts w:ascii="Times New Roman" w:hAnsi="Times New Roman"/>
          <w:color w:val="000000" w:themeColor="text1"/>
          <w:lang w:val="pt-BR"/>
        </w:rPr>
        <w:t xml:space="preserve"> Assim, o recurso às regras peremptórias parece reiterar a primazia da ordem interamericana sobre as ordens jurídicas nacionais, oferecendo uma ferramenta adicional à primeira com o objetivo de promover o </w:t>
      </w:r>
      <w:r w:rsidR="006E1D9F" w:rsidRPr="00517045">
        <w:rPr>
          <w:rFonts w:ascii="Times New Roman" w:hAnsi="Times New Roman"/>
          <w:color w:val="000000" w:themeColor="text1"/>
          <w:lang w:val="pt-BR"/>
        </w:rPr>
        <w:t xml:space="preserve">seu </w:t>
      </w:r>
      <w:r w:rsidRPr="00517045">
        <w:rPr>
          <w:rFonts w:ascii="Times New Roman" w:hAnsi="Times New Roman"/>
          <w:color w:val="000000" w:themeColor="text1"/>
          <w:lang w:val="pt-BR"/>
        </w:rPr>
        <w:t xml:space="preserve">cumprimento pela segunda. </w:t>
      </w:r>
    </w:p>
    <w:p w14:paraId="550649AD" w14:textId="3F04E1F0" w:rsidR="008102A7" w:rsidRPr="00517045" w:rsidRDefault="008102A7">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Uma segunda particularidade das regras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na jurisprudência da C</w:t>
      </w:r>
      <w:r w:rsidR="00453B29">
        <w:rPr>
          <w:rFonts w:ascii="Times New Roman" w:hAnsi="Times New Roman"/>
          <w:color w:val="000000" w:themeColor="text1"/>
          <w:lang w:val="pt-BR"/>
        </w:rPr>
        <w:t>t</w:t>
      </w:r>
      <w:r w:rsidRPr="00517045">
        <w:rPr>
          <w:rFonts w:ascii="Times New Roman" w:hAnsi="Times New Roman"/>
          <w:color w:val="000000" w:themeColor="text1"/>
          <w:lang w:val="pt-BR"/>
        </w:rPr>
        <w:t xml:space="preserve">IDH diz respeito a seu método de verificação. Não raramente, a Corte adotou uma abordagem abrangente com várias normas, deduzindo o caráter peremptório apenas </w:t>
      </w:r>
      <w:r w:rsidR="006E1D9F" w:rsidRPr="00517045">
        <w:rPr>
          <w:rFonts w:ascii="Times New Roman" w:hAnsi="Times New Roman"/>
          <w:color w:val="000000" w:themeColor="text1"/>
          <w:lang w:val="pt-BR"/>
        </w:rPr>
        <w:t xml:space="preserve">a partir de  outras normas  as quais possuem o </w:t>
      </w:r>
      <w:r w:rsidRPr="00517045">
        <w:rPr>
          <w:rFonts w:ascii="Times New Roman" w:hAnsi="Times New Roman"/>
          <w:color w:val="000000" w:themeColor="text1"/>
          <w:lang w:val="pt-BR"/>
        </w:rPr>
        <w:t xml:space="preserve">mesmo caráter , uma abordagem que poderia ser descrita como </w:t>
      </w:r>
      <w:r w:rsidR="00453B29">
        <w:rPr>
          <w:rFonts w:ascii="Times New Roman" w:hAnsi="Times New Roman"/>
          <w:color w:val="000000" w:themeColor="text1"/>
          <w:lang w:val="pt-BR"/>
        </w:rPr>
        <w:t>“</w:t>
      </w:r>
      <w:r w:rsidRPr="00517045">
        <w:rPr>
          <w:rFonts w:ascii="Times New Roman" w:hAnsi="Times New Roman"/>
          <w:color w:val="000000" w:themeColor="text1"/>
          <w:lang w:val="pt-BR"/>
        </w:rPr>
        <w:t>efeito cascata</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Este exercício acabou ampliando o número de normas com tal efeito. Isto ocorreu com a declaração de </w:t>
      </w:r>
      <w:r w:rsidRPr="00517045">
        <w:rPr>
          <w:rFonts w:ascii="Times New Roman" w:hAnsi="Times New Roman"/>
          <w:i/>
          <w:iCs/>
          <w:color w:val="000000" w:themeColor="text1"/>
          <w:lang w:val="pt-BR"/>
        </w:rPr>
        <w:t>non-refoulement</w:t>
      </w:r>
      <w:r w:rsidRPr="00517045">
        <w:rPr>
          <w:rFonts w:ascii="Times New Roman" w:hAnsi="Times New Roman"/>
          <w:color w:val="000000" w:themeColor="text1"/>
          <w:lang w:val="pt-BR"/>
        </w:rPr>
        <w:t xml:space="preserve"> e a proibição de desaparecimentos forçados como regras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Em essência, a lógica da Corte seria que </w:t>
      </w:r>
      <w:r w:rsidR="00453B29">
        <w:rPr>
          <w:rFonts w:ascii="Times New Roman" w:hAnsi="Times New Roman"/>
          <w:color w:val="000000" w:themeColor="text1"/>
          <w:lang w:val="pt-BR"/>
        </w:rPr>
        <w:t>“</w:t>
      </w:r>
      <w:r w:rsidRPr="00517045">
        <w:rPr>
          <w:rFonts w:ascii="Times New Roman" w:hAnsi="Times New Roman"/>
          <w:color w:val="000000" w:themeColor="text1"/>
          <w:lang w:val="pt-BR"/>
        </w:rPr>
        <w:t>como [</w:t>
      </w:r>
      <w:r w:rsidR="006E1D9F"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 </w:t>
      </w:r>
      <w:r w:rsidR="006E1D9F" w:rsidRPr="00517045">
        <w:rPr>
          <w:rFonts w:ascii="Times New Roman" w:hAnsi="Times New Roman"/>
          <w:i/>
          <w:iCs/>
          <w:color w:val="000000" w:themeColor="text1"/>
          <w:lang w:val="pt-BR"/>
        </w:rPr>
        <w:t>non-refoulement</w:t>
      </w:r>
      <w:r w:rsidRPr="00517045">
        <w:rPr>
          <w:rFonts w:ascii="Times New Roman" w:hAnsi="Times New Roman"/>
          <w:color w:val="000000" w:themeColor="text1"/>
          <w:lang w:val="pt-BR"/>
        </w:rPr>
        <w:t xml:space="preserve">] é uma obrigação derivada da proibição da tortura, o princípio </w:t>
      </w:r>
      <w:r w:rsidR="006E1D9F" w:rsidRPr="00517045">
        <w:rPr>
          <w:rFonts w:ascii="Times New Roman" w:hAnsi="Times New Roman"/>
          <w:color w:val="000000" w:themeColor="text1"/>
          <w:lang w:val="pt-BR"/>
        </w:rPr>
        <w:t xml:space="preserve">de </w:t>
      </w:r>
      <w:r w:rsidR="006E1D9F" w:rsidRPr="00517045">
        <w:rPr>
          <w:rFonts w:ascii="Times New Roman" w:hAnsi="Times New Roman"/>
          <w:i/>
          <w:iCs/>
          <w:color w:val="000000" w:themeColor="text1"/>
          <w:lang w:val="pt-BR"/>
        </w:rPr>
        <w:t>non-refoulement</w:t>
      </w:r>
      <w:r w:rsidR="006E1D9F" w:rsidRPr="00517045">
        <w:rPr>
          <w:rFonts w:ascii="Times New Roman" w:hAnsi="Times New Roman"/>
          <w:color w:val="000000" w:themeColor="text1"/>
          <w:lang w:val="pt-BR"/>
        </w:rPr>
        <w:t xml:space="preserve">  </w:t>
      </w:r>
      <w:r w:rsidRPr="00517045">
        <w:rPr>
          <w:rFonts w:ascii="Times New Roman" w:hAnsi="Times New Roman"/>
          <w:color w:val="000000" w:themeColor="text1"/>
          <w:lang w:val="pt-BR"/>
        </w:rPr>
        <w:t xml:space="preserve">nesta área é absoluto e também se torna uma norma peremptória do direito internacional consuetudinário; em outras palavras,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w:t>
      </w:r>
      <w:r w:rsidRPr="00517045">
        <w:rPr>
          <w:rStyle w:val="FootnoteReference"/>
          <w:rFonts w:ascii="Times New Roman" w:hAnsi="Times New Roman"/>
          <w:color w:val="000000" w:themeColor="text1"/>
          <w:lang w:val="en-GB"/>
        </w:rPr>
        <w:footnoteReference w:id="39"/>
      </w:r>
      <w:r w:rsidRPr="00517045">
        <w:rPr>
          <w:rFonts w:ascii="Times New Roman" w:hAnsi="Times New Roman"/>
          <w:color w:val="000000" w:themeColor="text1"/>
          <w:lang w:val="pt-BR"/>
        </w:rPr>
        <w:t>.</w:t>
      </w:r>
    </w:p>
    <w:p w14:paraId="069B7A85" w14:textId="77777777" w:rsidR="00404AA3" w:rsidRDefault="00404AA3" w:rsidP="00206256">
      <w:pPr>
        <w:pStyle w:val="Texto"/>
        <w:ind w:firstLine="0"/>
        <w:rPr>
          <w:rFonts w:ascii="Times New Roman" w:hAnsi="Times New Roman"/>
          <w:color w:val="000000" w:themeColor="text1"/>
          <w:lang w:val="pt-BR"/>
        </w:rPr>
      </w:pPr>
    </w:p>
    <w:p w14:paraId="60D51E36" w14:textId="15B7F358" w:rsidR="00231AEE" w:rsidRPr="00517045" w:rsidRDefault="00404AA3" w:rsidP="00517045">
      <w:pPr>
        <w:pStyle w:val="Texto"/>
        <w:ind w:firstLine="0"/>
        <w:rPr>
          <w:rFonts w:ascii="Times New Roman" w:hAnsi="Times New Roman"/>
          <w:b/>
          <w:bCs/>
          <w:color w:val="000000" w:themeColor="text1"/>
          <w:lang w:val="pt-BR"/>
        </w:rPr>
      </w:pPr>
      <w:r>
        <w:rPr>
          <w:rFonts w:ascii="Times New Roman" w:hAnsi="Times New Roman"/>
          <w:color w:val="000000" w:themeColor="text1"/>
          <w:lang w:val="pt-BR"/>
        </w:rPr>
        <w:tab/>
      </w:r>
      <w:r>
        <w:rPr>
          <w:rFonts w:ascii="Times New Roman" w:hAnsi="Times New Roman"/>
          <w:b/>
          <w:bCs/>
          <w:color w:val="000000" w:themeColor="text1"/>
          <w:lang w:val="pt-BR"/>
        </w:rPr>
        <w:t xml:space="preserve">3.2. </w:t>
      </w:r>
      <w:r w:rsidR="008102A7" w:rsidRPr="00517045">
        <w:rPr>
          <w:rFonts w:ascii="Times New Roman" w:hAnsi="Times New Roman"/>
          <w:b/>
          <w:bCs/>
          <w:color w:val="000000" w:themeColor="text1"/>
          <w:lang w:val="pt-BR"/>
        </w:rPr>
        <w:t>A tendência à universalidade da Corte Interamericana de Direitos Humanos</w:t>
      </w:r>
    </w:p>
    <w:p w14:paraId="719170DC" w14:textId="616AADF6" w:rsidR="00BB3FBA" w:rsidRPr="00517045" w:rsidRDefault="00BB3FBA">
      <w:pPr>
        <w:pStyle w:val="Texto"/>
        <w:rPr>
          <w:rFonts w:ascii="Times New Roman" w:hAnsi="Times New Roman"/>
          <w:color w:val="000000" w:themeColor="text1"/>
          <w:lang w:val="pt-BR"/>
        </w:rPr>
      </w:pPr>
    </w:p>
    <w:p w14:paraId="553C8CE9" w14:textId="2EB22771" w:rsidR="008102A7" w:rsidRPr="00517045" w:rsidRDefault="008102A7">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 Corte Interamericana usa as normas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para fins específicos e é particularmente propensa a elevar certas normas (ou regras a elas relacionadas) à peremptoriedade. O particularismo da Corte parece afastar-se do que seria uma abordagem </w:t>
      </w:r>
      <w:r w:rsidR="00453B29">
        <w:rPr>
          <w:rFonts w:ascii="Times New Roman" w:hAnsi="Times New Roman"/>
          <w:color w:val="000000" w:themeColor="text1"/>
          <w:lang w:val="pt-BR"/>
        </w:rPr>
        <w:t>“</w:t>
      </w:r>
      <w:r w:rsidRPr="00517045">
        <w:rPr>
          <w:rFonts w:ascii="Times New Roman" w:hAnsi="Times New Roman"/>
          <w:color w:val="000000" w:themeColor="text1"/>
          <w:lang w:val="pt-BR"/>
        </w:rPr>
        <w:t>tradicional</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ou pelo menos da abordagem adotada pelo Relator Especial d</w:t>
      </w:r>
      <w:r w:rsidR="006E1D9F"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w:t>
      </w:r>
      <w:r w:rsidR="006E1D9F" w:rsidRPr="00517045">
        <w:rPr>
          <w:rFonts w:ascii="Times New Roman" w:hAnsi="Times New Roman"/>
          <w:color w:val="000000" w:themeColor="text1"/>
          <w:lang w:val="pt-BR"/>
        </w:rPr>
        <w:t>CDI</w:t>
      </w:r>
      <w:r w:rsidRPr="00517045">
        <w:rPr>
          <w:rFonts w:ascii="Times New Roman" w:hAnsi="Times New Roman"/>
          <w:color w:val="000000" w:themeColor="text1"/>
          <w:lang w:val="pt-BR"/>
        </w:rPr>
        <w:t xml:space="preserve">, que coloca ênfase em sua dimensão universal. Isto parece ir contra a ideia de que a prática da CtIDH descarta completamente a </w:t>
      </w:r>
      <w:r w:rsidR="006E1D9F" w:rsidRPr="00517045">
        <w:rPr>
          <w:rFonts w:ascii="Times New Roman" w:hAnsi="Times New Roman"/>
          <w:color w:val="000000" w:themeColor="text1"/>
          <w:lang w:val="pt-BR"/>
        </w:rPr>
        <w:t xml:space="preserve">hipótese </w:t>
      </w:r>
      <w:r w:rsidRPr="00517045">
        <w:rPr>
          <w:rFonts w:ascii="Times New Roman" w:hAnsi="Times New Roman"/>
          <w:color w:val="000000" w:themeColor="text1"/>
          <w:lang w:val="pt-BR"/>
        </w:rPr>
        <w:t>de</w:t>
      </w:r>
      <w:r w:rsidR="006E1D9F" w:rsidRPr="00517045">
        <w:rPr>
          <w:rFonts w:ascii="Times New Roman" w:hAnsi="Times New Roman"/>
          <w:color w:val="000000" w:themeColor="text1"/>
          <w:lang w:val="pt-BR"/>
        </w:rPr>
        <w:t xml:space="preserve"> um</w:t>
      </w:r>
      <w:r w:rsidRPr="00517045">
        <w:rPr>
          <w:rFonts w:ascii="Times New Roman" w:hAnsi="Times New Roman"/>
          <w:color w:val="000000" w:themeColor="text1"/>
          <w:lang w:val="pt-BR"/>
        </w:rPr>
        <w:t xml:space="preserv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w:t>
      </w:r>
    </w:p>
    <w:p w14:paraId="20B2BE17" w14:textId="0275A4D9" w:rsidR="0036086E" w:rsidRPr="00517045" w:rsidRDefault="008102A7">
      <w:pPr>
        <w:pStyle w:val="Texto"/>
        <w:rPr>
          <w:rFonts w:ascii="Times New Roman" w:hAnsi="Times New Roman"/>
          <w:color w:val="000000" w:themeColor="text1"/>
          <w:lang w:val="pt-BR"/>
        </w:rPr>
      </w:pPr>
      <w:r w:rsidRPr="00517045">
        <w:rPr>
          <w:rFonts w:ascii="Times New Roman" w:hAnsi="Times New Roman"/>
          <w:color w:val="000000" w:themeColor="text1"/>
          <w:lang w:val="pt-BR"/>
        </w:rPr>
        <w:t>Há pelo menos duas razões de política judicial que se pode esboçar para explicar por que a Corte Interamericana é tão propensa a identificar as regras d</w:t>
      </w:r>
      <w:r w:rsidR="006E1D9F" w:rsidRPr="00517045">
        <w:rPr>
          <w:rFonts w:ascii="Times New Roman" w:hAnsi="Times New Roman"/>
          <w:color w:val="000000" w:themeColor="text1"/>
          <w:lang w:val="pt-BR"/>
        </w:rPr>
        <w:t>e</w:t>
      </w:r>
      <w:r w:rsidRPr="00517045">
        <w:rPr>
          <w:rFonts w:ascii="Times New Roman" w:hAnsi="Times New Roman"/>
          <w:color w:val="000000" w:themeColor="text1"/>
          <w:lang w:val="pt-BR"/>
        </w:rPr>
        <w:t xml:space="preserv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 primeira tem a ver com sua missão e a percepção de seu papel como guardiã e promotora dos direitos humanos no continente americano.</w:t>
      </w:r>
      <w:r w:rsidR="0036086E" w:rsidRPr="00517045">
        <w:rPr>
          <w:rStyle w:val="FootnoteReference"/>
          <w:rFonts w:ascii="Times New Roman" w:hAnsi="Times New Roman"/>
          <w:color w:val="000000" w:themeColor="text1"/>
          <w:lang w:val="en-GB"/>
        </w:rPr>
        <w:footnoteReference w:id="40"/>
      </w:r>
      <w:r w:rsidR="006E1D9F" w:rsidRPr="00517045">
        <w:rPr>
          <w:rFonts w:ascii="Times New Roman" w:hAnsi="Times New Roman"/>
          <w:color w:val="000000" w:themeColor="text1"/>
          <w:lang w:val="pt-BR"/>
        </w:rPr>
        <w:t xml:space="preserve"> </w:t>
      </w:r>
      <w:r w:rsidRPr="00517045">
        <w:rPr>
          <w:rFonts w:ascii="Times New Roman" w:hAnsi="Times New Roman"/>
          <w:color w:val="000000" w:themeColor="text1"/>
          <w:lang w:val="pt-BR"/>
        </w:rPr>
        <w:t>Assim, o reconhecimento de uma regra hierarquicamente superior, na lógica da Corte, serv</w:t>
      </w:r>
      <w:r w:rsidR="0036086E" w:rsidRPr="00517045">
        <w:rPr>
          <w:rFonts w:ascii="Times New Roman" w:hAnsi="Times New Roman"/>
          <w:color w:val="000000" w:themeColor="text1"/>
          <w:lang w:val="pt-BR"/>
        </w:rPr>
        <w:t>iria</w:t>
      </w:r>
      <w:r w:rsidRPr="00517045">
        <w:rPr>
          <w:rFonts w:ascii="Times New Roman" w:hAnsi="Times New Roman"/>
          <w:color w:val="000000" w:themeColor="text1"/>
          <w:lang w:val="pt-BR"/>
        </w:rPr>
        <w:t xml:space="preserve"> para garantir maior proteção às vítimas de graves violações dos direitos humanos. A segunda razão pela qual a Corte recorre ao argumento da </w:t>
      </w:r>
      <w:r w:rsidR="0036086E" w:rsidRPr="00517045">
        <w:rPr>
          <w:rFonts w:ascii="Times New Roman" w:hAnsi="Times New Roman"/>
          <w:color w:val="000000" w:themeColor="text1"/>
          <w:lang w:val="pt-BR"/>
        </w:rPr>
        <w:t>peremptoriedade</w:t>
      </w:r>
      <w:r w:rsidRPr="00517045">
        <w:rPr>
          <w:rFonts w:ascii="Times New Roman" w:hAnsi="Times New Roman"/>
          <w:color w:val="000000" w:themeColor="text1"/>
          <w:lang w:val="pt-BR"/>
        </w:rPr>
        <w:t xml:space="preserve"> parece estar relacionada com a resistência geral ao direito internacional e à própria Corte no continente americano. Os juízes e agentes públicos nacionais não estão particularmente abertos a ordens jurídicas externas e </w:t>
      </w:r>
      <w:r w:rsidR="006E1D9F"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literatura recente tem apontado casos de resistência à Corte.</w:t>
      </w:r>
      <w:r w:rsidR="0036086E" w:rsidRPr="00517045">
        <w:rPr>
          <w:rStyle w:val="FootnoteReference"/>
          <w:rFonts w:ascii="Times New Roman" w:hAnsi="Times New Roman"/>
          <w:color w:val="000000" w:themeColor="text1"/>
          <w:lang w:val="en-GB"/>
        </w:rPr>
        <w:footnoteReference w:id="41"/>
      </w:r>
      <w:r w:rsidR="0036086E" w:rsidRPr="00517045">
        <w:rPr>
          <w:rFonts w:ascii="Times New Roman" w:hAnsi="Times New Roman"/>
          <w:color w:val="000000" w:themeColor="text1"/>
          <w:lang w:val="pt-BR"/>
        </w:rPr>
        <w:t xml:space="preserve">Assim, </w:t>
      </w:r>
      <w:r w:rsidR="006E1D9F" w:rsidRPr="00517045">
        <w:rPr>
          <w:rFonts w:ascii="Times New Roman" w:hAnsi="Times New Roman"/>
          <w:color w:val="000000" w:themeColor="text1"/>
          <w:lang w:val="pt-BR"/>
        </w:rPr>
        <w:t xml:space="preserve">o tribunal </w:t>
      </w:r>
      <w:r w:rsidR="0036086E" w:rsidRPr="00517045">
        <w:rPr>
          <w:rFonts w:ascii="Times New Roman" w:hAnsi="Times New Roman"/>
          <w:color w:val="000000" w:themeColor="text1"/>
          <w:lang w:val="pt-BR"/>
        </w:rPr>
        <w:t xml:space="preserve">reage refinando o discurso jurídico e recorrendo à peremptoriedade da regra em questão. Isto pode ser verificado, a título de ilustração, quando a Corte decidiu declarar não apenas que a proibição de crimes contra a humanidade era uma regra de </w:t>
      </w:r>
      <w:r w:rsidR="0036086E" w:rsidRPr="00517045">
        <w:rPr>
          <w:rFonts w:ascii="Times New Roman" w:hAnsi="Times New Roman"/>
          <w:i/>
          <w:iCs/>
          <w:color w:val="000000" w:themeColor="text1"/>
          <w:lang w:val="pt-BR"/>
        </w:rPr>
        <w:t>jus cogens</w:t>
      </w:r>
      <w:r w:rsidR="0036086E" w:rsidRPr="00517045">
        <w:rPr>
          <w:rFonts w:ascii="Times New Roman" w:hAnsi="Times New Roman"/>
          <w:color w:val="000000" w:themeColor="text1"/>
          <w:lang w:val="pt-BR"/>
        </w:rPr>
        <w:t xml:space="preserve">, mas também as </w:t>
      </w:r>
      <w:r w:rsidR="00453B29">
        <w:rPr>
          <w:rFonts w:ascii="Times New Roman" w:hAnsi="Times New Roman"/>
          <w:color w:val="000000" w:themeColor="text1"/>
          <w:lang w:val="pt-BR"/>
        </w:rPr>
        <w:t>“</w:t>
      </w:r>
      <w:r w:rsidR="0036086E" w:rsidRPr="00517045">
        <w:rPr>
          <w:rFonts w:ascii="Times New Roman" w:hAnsi="Times New Roman"/>
          <w:color w:val="000000" w:themeColor="text1"/>
          <w:lang w:val="pt-BR"/>
        </w:rPr>
        <w:t>obrigações associadas de processar, investigar e punir tais crimes</w:t>
      </w:r>
      <w:r w:rsidR="00453B29">
        <w:rPr>
          <w:rFonts w:ascii="Times New Roman" w:hAnsi="Times New Roman"/>
          <w:color w:val="000000" w:themeColor="text1"/>
          <w:lang w:val="pt-BR"/>
        </w:rPr>
        <w:t>”</w:t>
      </w:r>
      <w:r w:rsidR="0036086E" w:rsidRPr="00517045">
        <w:rPr>
          <w:rFonts w:ascii="Times New Roman" w:hAnsi="Times New Roman"/>
          <w:color w:val="000000" w:themeColor="text1"/>
          <w:lang w:val="pt-BR"/>
        </w:rPr>
        <w:t>.</w:t>
      </w:r>
      <w:r w:rsidR="0036086E" w:rsidRPr="00517045">
        <w:rPr>
          <w:rStyle w:val="FootnoteReference"/>
          <w:rFonts w:ascii="Times New Roman" w:hAnsi="Times New Roman"/>
          <w:color w:val="000000" w:themeColor="text1"/>
          <w:lang w:val="pt-BR"/>
        </w:rPr>
        <w:footnoteReference w:id="42"/>
      </w:r>
      <w:r w:rsidR="0036086E" w:rsidRPr="00517045">
        <w:rPr>
          <w:rFonts w:ascii="Times New Roman" w:hAnsi="Times New Roman"/>
          <w:color w:val="000000" w:themeColor="text1"/>
          <w:lang w:val="pt-BR"/>
        </w:rPr>
        <w:t xml:space="preserve">  Nestes casos, e dada a resistência </w:t>
      </w:r>
      <w:r w:rsidR="006E1D9F" w:rsidRPr="00517045">
        <w:rPr>
          <w:rFonts w:ascii="Times New Roman" w:hAnsi="Times New Roman"/>
          <w:color w:val="000000" w:themeColor="text1"/>
          <w:lang w:val="pt-BR"/>
        </w:rPr>
        <w:t xml:space="preserve">antecedente </w:t>
      </w:r>
      <w:r w:rsidR="0036086E" w:rsidRPr="00517045">
        <w:rPr>
          <w:rFonts w:ascii="Times New Roman" w:hAnsi="Times New Roman"/>
          <w:color w:val="000000" w:themeColor="text1"/>
          <w:lang w:val="pt-BR"/>
        </w:rPr>
        <w:t xml:space="preserve">da legislação nacional devido às leis de anistia, a ferramenta que a Corte parece utilizar para aumentar a </w:t>
      </w:r>
      <w:r w:rsidR="006E1D9F" w:rsidRPr="00517045">
        <w:rPr>
          <w:rFonts w:ascii="Times New Roman" w:hAnsi="Times New Roman"/>
          <w:color w:val="000000" w:themeColor="text1"/>
          <w:lang w:val="pt-BR"/>
        </w:rPr>
        <w:t xml:space="preserve">efetividade </w:t>
      </w:r>
      <w:r w:rsidR="0036086E" w:rsidRPr="00517045">
        <w:rPr>
          <w:rFonts w:ascii="Times New Roman" w:hAnsi="Times New Roman"/>
          <w:color w:val="000000" w:themeColor="text1"/>
          <w:lang w:val="pt-BR"/>
        </w:rPr>
        <w:t>de sua decisão é ampliar o escopo da regra d</w:t>
      </w:r>
      <w:r w:rsidR="006E1D9F" w:rsidRPr="00517045">
        <w:rPr>
          <w:rFonts w:ascii="Times New Roman" w:hAnsi="Times New Roman"/>
          <w:color w:val="000000" w:themeColor="text1"/>
          <w:lang w:val="pt-BR"/>
        </w:rPr>
        <w:t>e</w:t>
      </w:r>
      <w:r w:rsidR="0036086E" w:rsidRPr="00517045">
        <w:rPr>
          <w:rFonts w:ascii="Times New Roman" w:hAnsi="Times New Roman"/>
          <w:color w:val="000000" w:themeColor="text1"/>
          <w:lang w:val="pt-BR"/>
        </w:rPr>
        <w:t xml:space="preserve"> </w:t>
      </w:r>
      <w:r w:rsidR="0036086E" w:rsidRPr="00517045">
        <w:rPr>
          <w:rFonts w:ascii="Times New Roman" w:hAnsi="Times New Roman"/>
          <w:i/>
          <w:iCs/>
          <w:color w:val="000000" w:themeColor="text1"/>
          <w:lang w:val="pt-BR"/>
        </w:rPr>
        <w:t>jus cogens</w:t>
      </w:r>
      <w:r w:rsidR="0036086E" w:rsidRPr="00517045">
        <w:rPr>
          <w:rFonts w:ascii="Times New Roman" w:hAnsi="Times New Roman"/>
          <w:color w:val="000000" w:themeColor="text1"/>
          <w:lang w:val="pt-BR"/>
        </w:rPr>
        <w:t xml:space="preserve">. Em outras palavras, a Corte recorre à peremptoriedade em nome de uma necessidade regional, que pode ser descrita como uma situação factual ou jurídica particular aos membros da Convenção Americana que leva a Corte a adotar uma estratégia jurídica específica. Como mostrado acima, a Corte sentiu a necessidade de </w:t>
      </w:r>
      <w:r w:rsidR="00453B29">
        <w:rPr>
          <w:rFonts w:ascii="Times New Roman" w:hAnsi="Times New Roman"/>
          <w:color w:val="000000" w:themeColor="text1"/>
          <w:lang w:val="pt-BR"/>
        </w:rPr>
        <w:t>“</w:t>
      </w:r>
      <w:r w:rsidR="0036086E" w:rsidRPr="00517045">
        <w:rPr>
          <w:rFonts w:ascii="Times New Roman" w:hAnsi="Times New Roman"/>
          <w:color w:val="000000" w:themeColor="text1"/>
          <w:lang w:val="pt-BR"/>
        </w:rPr>
        <w:t>promover</w:t>
      </w:r>
      <w:r w:rsidR="00453B29">
        <w:rPr>
          <w:rFonts w:ascii="Times New Roman" w:hAnsi="Times New Roman"/>
          <w:color w:val="000000" w:themeColor="text1"/>
          <w:lang w:val="pt-BR"/>
        </w:rPr>
        <w:t>”</w:t>
      </w:r>
      <w:r w:rsidR="0036086E" w:rsidRPr="00517045">
        <w:rPr>
          <w:rFonts w:ascii="Times New Roman" w:hAnsi="Times New Roman"/>
          <w:color w:val="000000" w:themeColor="text1"/>
          <w:lang w:val="pt-BR"/>
        </w:rPr>
        <w:t xml:space="preserve"> certas categorias de regras não reconhecidas universalmente como </w:t>
      </w:r>
      <w:r w:rsidR="0036086E" w:rsidRPr="00517045">
        <w:rPr>
          <w:rFonts w:ascii="Times New Roman" w:hAnsi="Times New Roman"/>
          <w:i/>
          <w:iCs/>
          <w:color w:val="000000" w:themeColor="text1"/>
          <w:lang w:val="pt-BR"/>
        </w:rPr>
        <w:t>jus cogens</w:t>
      </w:r>
      <w:r w:rsidR="0036086E" w:rsidRPr="00517045">
        <w:rPr>
          <w:rFonts w:ascii="Times New Roman" w:hAnsi="Times New Roman"/>
          <w:color w:val="000000" w:themeColor="text1"/>
          <w:lang w:val="pt-BR"/>
        </w:rPr>
        <w:t xml:space="preserve">, a fim de aumentar sua </w:t>
      </w:r>
      <w:r w:rsidR="00DD6532" w:rsidRPr="00517045">
        <w:rPr>
          <w:rFonts w:ascii="Times New Roman" w:hAnsi="Times New Roman"/>
          <w:color w:val="000000" w:themeColor="text1"/>
          <w:lang w:val="pt-BR"/>
        </w:rPr>
        <w:t xml:space="preserve">eficácia </w:t>
      </w:r>
      <w:r w:rsidR="0036086E" w:rsidRPr="00517045">
        <w:rPr>
          <w:rFonts w:ascii="Times New Roman" w:hAnsi="Times New Roman"/>
          <w:color w:val="000000" w:themeColor="text1"/>
          <w:lang w:val="pt-BR"/>
        </w:rPr>
        <w:t xml:space="preserve">em relação às ordens jurídicas internas. Seja para reforçar seu papel de protetora dos direitos humanos, seja para aumentar o respeito e a eficácia de suas decisões nas ordens jurídicas internas, o uso discursivo das regras do </w:t>
      </w:r>
      <w:r w:rsidR="0036086E" w:rsidRPr="00517045">
        <w:rPr>
          <w:rFonts w:ascii="Times New Roman" w:hAnsi="Times New Roman"/>
          <w:i/>
          <w:iCs/>
          <w:color w:val="000000" w:themeColor="text1"/>
          <w:lang w:val="pt-BR"/>
        </w:rPr>
        <w:t>jus cogens</w:t>
      </w:r>
      <w:r w:rsidR="0036086E" w:rsidRPr="00517045">
        <w:rPr>
          <w:rFonts w:ascii="Times New Roman" w:hAnsi="Times New Roman"/>
          <w:color w:val="000000" w:themeColor="text1"/>
          <w:lang w:val="pt-BR"/>
        </w:rPr>
        <w:t xml:space="preserve"> é uma realidade na jurisprudência da Corte Interamericana e se baseia em uma dinâmica regional </w:t>
      </w:r>
      <w:r w:rsidR="00453B29">
        <w:rPr>
          <w:rFonts w:ascii="Times New Roman" w:hAnsi="Times New Roman"/>
          <w:color w:val="000000" w:themeColor="text1"/>
          <w:lang w:val="pt-BR"/>
        </w:rPr>
        <w:t>–</w:t>
      </w:r>
      <w:r w:rsidR="0036086E" w:rsidRPr="00517045">
        <w:rPr>
          <w:rFonts w:ascii="Times New Roman" w:hAnsi="Times New Roman"/>
          <w:color w:val="000000" w:themeColor="text1"/>
          <w:lang w:val="pt-BR"/>
        </w:rPr>
        <w:t xml:space="preserve"> não universal </w:t>
      </w:r>
      <w:r w:rsidR="00453B29">
        <w:rPr>
          <w:rFonts w:ascii="Times New Roman" w:hAnsi="Times New Roman"/>
          <w:color w:val="000000" w:themeColor="text1"/>
          <w:lang w:val="pt-BR"/>
        </w:rPr>
        <w:t xml:space="preserve">– </w:t>
      </w:r>
      <w:r w:rsidR="0036086E" w:rsidRPr="00517045">
        <w:rPr>
          <w:rFonts w:ascii="Times New Roman" w:hAnsi="Times New Roman"/>
          <w:color w:val="000000" w:themeColor="text1"/>
          <w:lang w:val="pt-BR"/>
        </w:rPr>
        <w:t>destinada a aumentar a eficácia da Convenção Americana.</w:t>
      </w:r>
    </w:p>
    <w:p w14:paraId="4BB7E040" w14:textId="0560F4F9" w:rsidR="0036086E" w:rsidRPr="00517045" w:rsidRDefault="0036086E">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Em um pronunciamento recente, a Corte encontrou uma oportunidade para elaborar e esclarecer algumas questões sobre sua abordagem </w:t>
      </w:r>
      <w:r w:rsidR="00DD6532" w:rsidRPr="00517045">
        <w:rPr>
          <w:rFonts w:ascii="Times New Roman" w:hAnsi="Times New Roman"/>
          <w:color w:val="000000" w:themeColor="text1"/>
          <w:lang w:val="pt-BR"/>
        </w:rPr>
        <w:t>quanto a</w:t>
      </w:r>
      <w:r w:rsidRPr="00517045">
        <w:rPr>
          <w:rFonts w:ascii="Times New Roman" w:hAnsi="Times New Roman"/>
          <w:color w:val="000000" w:themeColor="text1"/>
          <w:lang w:val="pt-BR"/>
        </w:rPr>
        <w:t xml:space="preserve"> estas regras. Na Opinião Consultiva 26 de 2020, solicitada pela Colômbia, a Corte foi </w:t>
      </w:r>
      <w:r w:rsidR="00DD6532" w:rsidRPr="00517045">
        <w:rPr>
          <w:rFonts w:ascii="Times New Roman" w:hAnsi="Times New Roman"/>
          <w:color w:val="000000" w:themeColor="text1"/>
          <w:lang w:val="pt-BR"/>
        </w:rPr>
        <w:t xml:space="preserve">convocada </w:t>
      </w:r>
      <w:r w:rsidRPr="00517045">
        <w:rPr>
          <w:rFonts w:ascii="Times New Roman" w:hAnsi="Times New Roman"/>
          <w:color w:val="000000" w:themeColor="text1"/>
          <w:lang w:val="pt-BR"/>
        </w:rPr>
        <w:t xml:space="preserve">a expressar sua </w:t>
      </w:r>
      <w:r w:rsidR="00DD6532" w:rsidRPr="00517045">
        <w:rPr>
          <w:rFonts w:ascii="Times New Roman" w:hAnsi="Times New Roman"/>
          <w:color w:val="000000" w:themeColor="text1"/>
          <w:lang w:val="pt-BR"/>
        </w:rPr>
        <w:t xml:space="preserve">visão </w:t>
      </w:r>
      <w:r w:rsidRPr="00517045">
        <w:rPr>
          <w:rFonts w:ascii="Times New Roman" w:hAnsi="Times New Roman"/>
          <w:color w:val="000000" w:themeColor="text1"/>
          <w:lang w:val="pt-BR"/>
        </w:rPr>
        <w:t xml:space="preserve">sobre as obrigações dos Estados que se retiraram da Convenção Americana e da Carta da OEA. Entre as obrigações </w:t>
      </w:r>
      <w:r w:rsidR="00453B29">
        <w:rPr>
          <w:rFonts w:ascii="Times New Roman" w:hAnsi="Times New Roman"/>
          <w:color w:val="000000" w:themeColor="text1"/>
          <w:lang w:val="pt-BR"/>
        </w:rPr>
        <w:t>remanescentes</w:t>
      </w:r>
      <w:r w:rsidRPr="00517045">
        <w:rPr>
          <w:rFonts w:ascii="Times New Roman" w:hAnsi="Times New Roman"/>
          <w:color w:val="000000" w:themeColor="text1"/>
          <w:lang w:val="pt-BR"/>
        </w:rPr>
        <w:t xml:space="preserve">, a Corte foi categórica ao apontar que </w:t>
      </w:r>
      <w:r w:rsidR="00453B29">
        <w:rPr>
          <w:rFonts w:ascii="Times New Roman" w:hAnsi="Times New Roman"/>
          <w:color w:val="000000" w:themeColor="text1"/>
          <w:lang w:val="pt-BR"/>
        </w:rPr>
        <w:t>“</w:t>
      </w:r>
      <w:r w:rsidRPr="00517045">
        <w:rPr>
          <w:rFonts w:ascii="Times New Roman" w:hAnsi="Times New Roman"/>
          <w:color w:val="000000" w:themeColor="text1"/>
          <w:lang w:val="pt-BR"/>
        </w:rPr>
        <w:t>algumas obrigações estipuladas pela Convenção Americana coincidem com aquelas referentes às normas consuetudinárias do direito internacional</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w:t>
      </w:r>
      <w:r w:rsidRPr="00517045">
        <w:rPr>
          <w:rStyle w:val="FootnoteReference"/>
          <w:rFonts w:ascii="Times New Roman" w:hAnsi="Times New Roman"/>
          <w:color w:val="000000" w:themeColor="text1"/>
          <w:lang w:val="en-GB"/>
        </w:rPr>
        <w:footnoteReference w:id="43"/>
      </w:r>
      <w:r w:rsidRPr="00517045">
        <w:rPr>
          <w:rFonts w:ascii="Times New Roman" w:hAnsi="Times New Roman"/>
          <w:color w:val="000000" w:themeColor="text1"/>
          <w:lang w:val="pt-BR"/>
        </w:rPr>
        <w:t xml:space="preserve"> O mesmo se aplica </w:t>
      </w:r>
      <w:r w:rsidR="00DD6532" w:rsidRPr="00517045">
        <w:rPr>
          <w:rFonts w:ascii="Times New Roman" w:hAnsi="Times New Roman"/>
          <w:color w:val="000000" w:themeColor="text1"/>
          <w:lang w:val="pt-BR"/>
        </w:rPr>
        <w:t>“</w:t>
      </w:r>
      <w:r w:rsidRPr="00517045">
        <w:rPr>
          <w:rFonts w:ascii="Times New Roman" w:hAnsi="Times New Roman"/>
          <w:color w:val="000000" w:themeColor="text1"/>
          <w:lang w:val="pt-BR"/>
        </w:rPr>
        <w:t xml:space="preserve">aos princípios gerais do direito e às normas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Em uma ode ao universalismo, a Corte f</w:t>
      </w:r>
      <w:r w:rsidR="00DD6532" w:rsidRPr="00517045">
        <w:rPr>
          <w:rFonts w:ascii="Times New Roman" w:hAnsi="Times New Roman"/>
          <w:color w:val="000000" w:themeColor="text1"/>
          <w:lang w:val="pt-BR"/>
        </w:rPr>
        <w:t>e</w:t>
      </w:r>
      <w:r w:rsidRPr="00517045">
        <w:rPr>
          <w:rFonts w:ascii="Times New Roman" w:hAnsi="Times New Roman"/>
          <w:color w:val="000000" w:themeColor="text1"/>
          <w:lang w:val="pt-BR"/>
        </w:rPr>
        <w:t xml:space="preserve">z uma declaração particularmente alinhada com os pontos de vista do Relator Especial e da CDI quando declarou que </w:t>
      </w:r>
      <w:r w:rsidR="00453B29">
        <w:rPr>
          <w:rFonts w:ascii="Times New Roman" w:hAnsi="Times New Roman"/>
          <w:color w:val="000000" w:themeColor="text1"/>
          <w:lang w:val="pt-BR"/>
        </w:rPr>
        <w:t>“</w:t>
      </w:r>
      <w:r w:rsidR="00DD6532" w:rsidRPr="00517045">
        <w:rPr>
          <w:rFonts w:ascii="Times New Roman" w:hAnsi="Times New Roman"/>
          <w:color w:val="000000" w:themeColor="text1"/>
          <w:lang w:val="pt-BR"/>
        </w:rPr>
        <w:t>o</w:t>
      </w:r>
      <w:r w:rsidRPr="00517045">
        <w:rPr>
          <w:rFonts w:ascii="Times New Roman" w:hAnsi="Times New Roman"/>
          <w:color w:val="000000" w:themeColor="text1"/>
          <w:lang w:val="pt-BR"/>
        </w:rPr>
        <w:t xml:space="preserv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é apresentado como a expressão legal da comunidade internacional como um todo, baseada em valores universais e superiores, que incorporam padrões básicos que garantem valores humanos essenciais ou fundamentais relacionados à vida, dignidade humana, paz e segurança</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w:t>
      </w:r>
      <w:r w:rsidRPr="00517045">
        <w:rPr>
          <w:rStyle w:val="FootnoteReference"/>
          <w:rFonts w:ascii="Times New Roman" w:hAnsi="Times New Roman"/>
          <w:color w:val="000000" w:themeColor="text1"/>
          <w:lang w:val="en-GB"/>
        </w:rPr>
        <w:footnoteReference w:id="44"/>
      </w:r>
      <w:r w:rsidRPr="00517045">
        <w:rPr>
          <w:rFonts w:ascii="Times New Roman" w:hAnsi="Times New Roman"/>
          <w:color w:val="000000" w:themeColor="text1"/>
          <w:lang w:val="pt-BR"/>
        </w:rPr>
        <w:t xml:space="preserve">  </w:t>
      </w:r>
    </w:p>
    <w:p w14:paraId="338C039C" w14:textId="7E457359" w:rsidR="0036086E" w:rsidRPr="00517045" w:rsidRDefault="0036086E">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Estas duas passagens parecem revelar uma certa atitude ambígua da CtIDH. Embora reafirmando que as regras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expressam valores da comunidade geral como um todo, no fi</w:t>
      </w:r>
      <w:r w:rsidR="00453B29">
        <w:rPr>
          <w:rFonts w:ascii="Times New Roman" w:hAnsi="Times New Roman"/>
          <w:color w:val="000000" w:themeColor="text1"/>
          <w:lang w:val="pt-BR"/>
        </w:rPr>
        <w:t>m</w:t>
      </w:r>
      <w:r w:rsidRPr="00517045">
        <w:rPr>
          <w:rFonts w:ascii="Times New Roman" w:hAnsi="Times New Roman"/>
          <w:color w:val="000000" w:themeColor="text1"/>
          <w:lang w:val="pt-BR"/>
        </w:rPr>
        <w:t xml:space="preserve"> do dia a Corte se coloca como guardiã de um tratado regional cujas obrigações </w:t>
      </w:r>
      <w:r w:rsidR="00EE27A2">
        <w:rPr>
          <w:rFonts w:ascii="Times New Roman" w:hAnsi="Times New Roman"/>
          <w:color w:val="000000" w:themeColor="text1"/>
          <w:lang w:val="pt-BR"/>
        </w:rPr>
        <w:t xml:space="preserve">tão somente </w:t>
      </w:r>
      <w:r w:rsidR="00453B29">
        <w:rPr>
          <w:rFonts w:ascii="Times New Roman" w:hAnsi="Times New Roman"/>
          <w:color w:val="000000" w:themeColor="text1"/>
          <w:lang w:val="pt-BR"/>
        </w:rPr>
        <w:t>“</w:t>
      </w:r>
      <w:r w:rsidRPr="00517045">
        <w:rPr>
          <w:rFonts w:ascii="Times New Roman" w:hAnsi="Times New Roman"/>
          <w:color w:val="000000" w:themeColor="text1"/>
          <w:lang w:val="pt-BR"/>
        </w:rPr>
        <w:t>coincidem</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com as normas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 Corte não o reconhece expressamente, mas parece justificar sua abordagem expansiva </w:t>
      </w:r>
      <w:r w:rsidR="00DD6532" w:rsidRPr="00517045">
        <w:rPr>
          <w:rFonts w:ascii="Times New Roman" w:hAnsi="Times New Roman"/>
          <w:color w:val="000000" w:themeColor="text1"/>
          <w:lang w:val="pt-BR"/>
        </w:rPr>
        <w:t xml:space="preserve">diante do </w:t>
      </w:r>
      <w:r w:rsidRPr="00517045">
        <w:rPr>
          <w:rFonts w:ascii="Times New Roman" w:hAnsi="Times New Roman"/>
          <w:color w:val="000000" w:themeColor="text1"/>
          <w:lang w:val="pt-BR"/>
        </w:rPr>
        <w:t xml:space="preserv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justamente por ser a intérprete da Convenção. O que é interessante notar, no entanto, é que a Corte tem a última palavra para determinar quais situações podem exigir a declaração de uma determinada regra como possuindo um caráter peremptório.  A Corte define (1) quando uma regra atingiu tal caráter; (2) os métodos específicos para identificar as regras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no continente americano (incluindo a abordagem acima mencionada baseada no </w:t>
      </w:r>
      <w:r w:rsidR="00453B29">
        <w:rPr>
          <w:rFonts w:ascii="Times New Roman" w:hAnsi="Times New Roman"/>
          <w:color w:val="000000" w:themeColor="text1"/>
          <w:lang w:val="pt-BR"/>
        </w:rPr>
        <w:t>“</w:t>
      </w:r>
      <w:r w:rsidRPr="00517045">
        <w:rPr>
          <w:rFonts w:ascii="Times New Roman" w:hAnsi="Times New Roman"/>
          <w:color w:val="000000" w:themeColor="text1"/>
          <w:lang w:val="pt-BR"/>
        </w:rPr>
        <w:t>efeito em cascata</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e; (3) define quais situações são particularmente importantes para recorrer a essas normas. Assim, dentro do sistema, é a Corte que tem a última palavra sobre normas peremptórias, </w:t>
      </w:r>
      <w:r w:rsidR="00DD6532" w:rsidRPr="00517045">
        <w:rPr>
          <w:rFonts w:ascii="Times New Roman" w:hAnsi="Times New Roman"/>
          <w:color w:val="000000" w:themeColor="text1"/>
          <w:lang w:val="pt-BR"/>
        </w:rPr>
        <w:t xml:space="preserve">e </w:t>
      </w:r>
      <w:r w:rsidRPr="00517045">
        <w:rPr>
          <w:rFonts w:ascii="Times New Roman" w:hAnsi="Times New Roman"/>
          <w:color w:val="000000" w:themeColor="text1"/>
          <w:lang w:val="pt-BR"/>
        </w:rPr>
        <w:t>parece</w:t>
      </w:r>
      <w:r w:rsidR="00DD6532" w:rsidRPr="00517045">
        <w:rPr>
          <w:rFonts w:ascii="Times New Roman" w:hAnsi="Times New Roman"/>
          <w:color w:val="000000" w:themeColor="text1"/>
          <w:lang w:val="pt-BR"/>
        </w:rPr>
        <w:t xml:space="preserve"> ser</w:t>
      </w:r>
      <w:r w:rsidRPr="00517045">
        <w:rPr>
          <w:rFonts w:ascii="Times New Roman" w:hAnsi="Times New Roman"/>
          <w:color w:val="000000" w:themeColor="text1"/>
          <w:lang w:val="pt-BR"/>
        </w:rPr>
        <w:t xml:space="preserve"> conveniente que a </w:t>
      </w:r>
      <w:r w:rsidR="00DD6532" w:rsidRPr="00517045">
        <w:rPr>
          <w:rFonts w:ascii="Times New Roman" w:hAnsi="Times New Roman"/>
          <w:color w:val="000000" w:themeColor="text1"/>
          <w:lang w:val="pt-BR"/>
        </w:rPr>
        <w:t xml:space="preserve">ela </w:t>
      </w:r>
      <w:r w:rsidRPr="00517045">
        <w:rPr>
          <w:rFonts w:ascii="Times New Roman" w:hAnsi="Times New Roman"/>
          <w:color w:val="000000" w:themeColor="text1"/>
          <w:lang w:val="pt-BR"/>
        </w:rPr>
        <w:t>adira a um discurso universalista</w:t>
      </w:r>
      <w:r w:rsidR="00DD6532" w:rsidRPr="00517045">
        <w:rPr>
          <w:rFonts w:ascii="Times New Roman" w:hAnsi="Times New Roman"/>
          <w:color w:val="000000" w:themeColor="text1"/>
          <w:lang w:val="pt-BR"/>
        </w:rPr>
        <w:t xml:space="preserve">, o qual </w:t>
      </w:r>
      <w:r w:rsidRPr="00517045">
        <w:rPr>
          <w:rFonts w:ascii="Times New Roman" w:hAnsi="Times New Roman"/>
          <w:color w:val="000000" w:themeColor="text1"/>
          <w:lang w:val="pt-BR"/>
        </w:rPr>
        <w:t xml:space="preserve">serve para legitimar seu papel exclusivo de identificador e intérprete das regras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w:t>
      </w:r>
    </w:p>
    <w:p w14:paraId="67C97146" w14:textId="390BC7A8" w:rsidR="0036086E" w:rsidRPr="00517045" w:rsidRDefault="0036086E">
      <w:pPr>
        <w:pStyle w:val="Texto"/>
        <w:rPr>
          <w:rFonts w:ascii="Times New Roman" w:hAnsi="Times New Roman"/>
          <w:color w:val="000000" w:themeColor="text1"/>
          <w:lang w:val="pt-BR"/>
        </w:rPr>
      </w:pPr>
      <w:r w:rsidRPr="00517045">
        <w:rPr>
          <w:rFonts w:ascii="Times New Roman" w:hAnsi="Times New Roman"/>
          <w:color w:val="000000" w:themeColor="text1"/>
          <w:lang w:val="pt-BR"/>
        </w:rPr>
        <w:t>Outra explicação possível p</w:t>
      </w:r>
      <w:r w:rsidR="00DD6532" w:rsidRPr="00517045">
        <w:rPr>
          <w:rFonts w:ascii="Times New Roman" w:hAnsi="Times New Roman"/>
          <w:color w:val="000000" w:themeColor="text1"/>
          <w:lang w:val="pt-BR"/>
        </w:rPr>
        <w:t xml:space="preserve">ara a </w:t>
      </w:r>
      <w:r w:rsidRPr="00517045">
        <w:rPr>
          <w:rFonts w:ascii="Times New Roman" w:hAnsi="Times New Roman"/>
          <w:color w:val="000000" w:themeColor="text1"/>
          <w:lang w:val="pt-BR"/>
        </w:rPr>
        <w:t xml:space="preserve">adesão resoluta ao universalismo pela CtIDH é que, ao recorrer ao universalismo, a Corte reforça sua própria jurisprudência sobre a identificação e interpretação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Ao abraçar a ideia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como regras gerais representando valores universais e, ao mesmo tempo, sendo um</w:t>
      </w:r>
      <w:r w:rsidR="00DD6532"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 </w:t>
      </w:r>
      <w:r w:rsidR="00DD6532" w:rsidRPr="00517045">
        <w:rPr>
          <w:rFonts w:ascii="Times New Roman" w:hAnsi="Times New Roman"/>
          <w:color w:val="000000" w:themeColor="text1"/>
          <w:lang w:val="pt-BR"/>
        </w:rPr>
        <w:t xml:space="preserve">das cortes permanentes mais profícuas na identificação </w:t>
      </w:r>
      <w:r w:rsidRPr="00517045">
        <w:rPr>
          <w:rFonts w:ascii="Times New Roman" w:hAnsi="Times New Roman"/>
          <w:color w:val="000000" w:themeColor="text1"/>
          <w:lang w:val="pt-BR"/>
        </w:rPr>
        <w:t xml:space="preserve">dessas regras, a consequência inevitável do raciocínio da Corte é reforçar suas próprias conclusões anteriores sobre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 algo </w:t>
      </w:r>
      <w:r w:rsidR="00DD6532" w:rsidRPr="00517045">
        <w:rPr>
          <w:rFonts w:ascii="Times New Roman" w:hAnsi="Times New Roman"/>
          <w:color w:val="000000" w:themeColor="text1"/>
          <w:lang w:val="pt-BR"/>
        </w:rPr>
        <w:t xml:space="preserve">presente no </w:t>
      </w:r>
      <w:r w:rsidRPr="00517045">
        <w:rPr>
          <w:rFonts w:ascii="Times New Roman" w:hAnsi="Times New Roman"/>
          <w:color w:val="000000" w:themeColor="text1"/>
          <w:lang w:val="pt-BR"/>
        </w:rPr>
        <w:t xml:space="preserve">parágrafo </w:t>
      </w:r>
      <w:r w:rsidR="00DD6532" w:rsidRPr="00517045">
        <w:rPr>
          <w:rFonts w:ascii="Times New Roman" w:hAnsi="Times New Roman"/>
          <w:color w:val="000000" w:themeColor="text1"/>
          <w:lang w:val="pt-BR"/>
        </w:rPr>
        <w:t xml:space="preserve">106 </w:t>
      </w:r>
      <w:r w:rsidRPr="00517045">
        <w:rPr>
          <w:rFonts w:ascii="Times New Roman" w:hAnsi="Times New Roman"/>
          <w:color w:val="000000" w:themeColor="text1"/>
          <w:lang w:val="pt-BR"/>
        </w:rPr>
        <w:t>da Opinião</w:t>
      </w:r>
      <w:r w:rsidR="00DD6532" w:rsidRPr="00517045">
        <w:rPr>
          <w:rFonts w:ascii="Times New Roman" w:hAnsi="Times New Roman"/>
          <w:color w:val="000000" w:themeColor="text1"/>
          <w:lang w:val="pt-BR"/>
        </w:rPr>
        <w:t xml:space="preserve"> 26/20</w:t>
      </w:r>
      <w:r w:rsidRPr="00517045">
        <w:rPr>
          <w:rFonts w:ascii="Times New Roman" w:hAnsi="Times New Roman"/>
          <w:color w:val="000000" w:themeColor="text1"/>
          <w:lang w:val="pt-BR"/>
        </w:rPr>
        <w:t>.</w:t>
      </w:r>
      <w:r w:rsidRPr="00517045">
        <w:rPr>
          <w:rStyle w:val="FootnoteReference"/>
          <w:rFonts w:ascii="Times New Roman" w:hAnsi="Times New Roman"/>
          <w:color w:val="000000" w:themeColor="text1"/>
          <w:lang w:val="en-GB"/>
        </w:rPr>
        <w:footnoteReference w:id="45"/>
      </w:r>
      <w:r w:rsidRPr="00517045">
        <w:rPr>
          <w:rFonts w:ascii="Times New Roman" w:hAnsi="Times New Roman"/>
          <w:color w:val="000000" w:themeColor="text1"/>
          <w:lang w:val="pt-BR"/>
        </w:rPr>
        <w:t xml:space="preserve">  Em outras palavras, a Corte abraça a id</w:t>
      </w:r>
      <w:r w:rsidR="00DD6532" w:rsidRPr="00517045">
        <w:rPr>
          <w:rFonts w:ascii="Times New Roman" w:hAnsi="Times New Roman"/>
          <w:color w:val="000000" w:themeColor="text1"/>
          <w:lang w:val="pt-BR"/>
        </w:rPr>
        <w:t>e</w:t>
      </w:r>
      <w:r w:rsidRPr="00517045">
        <w:rPr>
          <w:rFonts w:ascii="Times New Roman" w:hAnsi="Times New Roman"/>
          <w:color w:val="000000" w:themeColor="text1"/>
          <w:lang w:val="pt-BR"/>
        </w:rPr>
        <w:t xml:space="preserve">ia de que certas regras </w:t>
      </w:r>
      <w:r w:rsidR="00453B29">
        <w:rPr>
          <w:rFonts w:ascii="Times New Roman" w:hAnsi="Times New Roman"/>
          <w:color w:val="000000" w:themeColor="text1"/>
          <w:lang w:val="pt-BR"/>
        </w:rPr>
        <w:t>possuem</w:t>
      </w:r>
      <w:r w:rsidRPr="00517045">
        <w:rPr>
          <w:rFonts w:ascii="Times New Roman" w:hAnsi="Times New Roman"/>
          <w:color w:val="000000" w:themeColor="text1"/>
          <w:lang w:val="pt-BR"/>
        </w:rPr>
        <w:t xml:space="preserve"> </w:t>
      </w:r>
      <w:r w:rsidR="00453B29">
        <w:rPr>
          <w:rFonts w:ascii="Times New Roman" w:hAnsi="Times New Roman"/>
          <w:color w:val="000000" w:themeColor="text1"/>
          <w:lang w:val="pt-BR"/>
        </w:rPr>
        <w:t>“</w:t>
      </w:r>
      <w:r w:rsidRPr="00517045">
        <w:rPr>
          <w:rFonts w:ascii="Times New Roman" w:hAnsi="Times New Roman"/>
          <w:color w:val="000000" w:themeColor="text1"/>
          <w:lang w:val="pt-BR"/>
        </w:rPr>
        <w:t>valores universais e superiores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mas se coloca como um dos intérpretes autênticos desses valores. Isto não </w:t>
      </w:r>
      <w:r w:rsidR="00453B29">
        <w:rPr>
          <w:rFonts w:ascii="Times New Roman" w:hAnsi="Times New Roman"/>
          <w:color w:val="000000" w:themeColor="text1"/>
          <w:lang w:val="pt-BR"/>
        </w:rPr>
        <w:t xml:space="preserve"> ocorre </w:t>
      </w:r>
      <w:r w:rsidRPr="00517045">
        <w:rPr>
          <w:rFonts w:ascii="Times New Roman" w:hAnsi="Times New Roman"/>
          <w:color w:val="000000" w:themeColor="text1"/>
          <w:lang w:val="pt-BR"/>
        </w:rPr>
        <w:t>sem dificuldades.</w:t>
      </w:r>
    </w:p>
    <w:p w14:paraId="154776F5" w14:textId="77777777" w:rsidR="00FD30F3" w:rsidRPr="00517045" w:rsidRDefault="00FD30F3">
      <w:pPr>
        <w:pStyle w:val="Texto"/>
        <w:rPr>
          <w:rFonts w:ascii="Times New Roman" w:hAnsi="Times New Roman"/>
          <w:color w:val="000000" w:themeColor="text1"/>
          <w:lang w:val="pt-BR"/>
        </w:rPr>
      </w:pPr>
    </w:p>
    <w:p w14:paraId="292F1EA6" w14:textId="49F0BF5D" w:rsidR="00DE228D" w:rsidRPr="00517045" w:rsidRDefault="00404AA3" w:rsidP="00517045">
      <w:pPr>
        <w:spacing w:line="360" w:lineRule="auto"/>
        <w:jc w:val="both"/>
        <w:rPr>
          <w:b/>
          <w:bCs/>
          <w:color w:val="000000" w:themeColor="text1"/>
          <w:lang w:val="pt-BR"/>
        </w:rPr>
      </w:pPr>
      <w:r>
        <w:rPr>
          <w:b/>
          <w:bCs/>
          <w:color w:val="000000" w:themeColor="text1"/>
          <w:lang w:val="pt-BR"/>
        </w:rPr>
        <w:tab/>
        <w:t xml:space="preserve">3.3. </w:t>
      </w:r>
      <w:r w:rsidR="00C97D02" w:rsidRPr="00517045">
        <w:rPr>
          <w:b/>
          <w:bCs/>
          <w:color w:val="000000" w:themeColor="text1"/>
          <w:lang w:val="pt-BR"/>
        </w:rPr>
        <w:t xml:space="preserve"> </w:t>
      </w:r>
      <w:r w:rsidR="0036086E" w:rsidRPr="00517045">
        <w:rPr>
          <w:b/>
          <w:bCs/>
          <w:color w:val="000000" w:themeColor="text1"/>
          <w:lang w:val="pt-BR"/>
        </w:rPr>
        <w:t xml:space="preserve">Dificuldades no uso do </w:t>
      </w:r>
      <w:r w:rsidR="0036086E" w:rsidRPr="00517045">
        <w:rPr>
          <w:b/>
          <w:bCs/>
          <w:i/>
          <w:iCs/>
          <w:color w:val="000000" w:themeColor="text1"/>
          <w:lang w:val="pt-BR"/>
        </w:rPr>
        <w:t xml:space="preserve">Jus Cogens </w:t>
      </w:r>
      <w:r w:rsidR="0036086E" w:rsidRPr="00517045">
        <w:rPr>
          <w:b/>
          <w:bCs/>
          <w:color w:val="000000" w:themeColor="text1"/>
          <w:lang w:val="pt-BR"/>
        </w:rPr>
        <w:t>pela Corte Interamericana de Direitos Humanos</w:t>
      </w:r>
    </w:p>
    <w:p w14:paraId="2203E622" w14:textId="77777777" w:rsidR="00A56134" w:rsidRPr="00517045" w:rsidRDefault="00A56134" w:rsidP="00122D89">
      <w:pPr>
        <w:pStyle w:val="Texto"/>
        <w:rPr>
          <w:rFonts w:ascii="Times New Roman" w:hAnsi="Times New Roman"/>
          <w:color w:val="000000" w:themeColor="text1"/>
          <w:lang w:val="pt-BR"/>
        </w:rPr>
      </w:pPr>
    </w:p>
    <w:p w14:paraId="24590643" w14:textId="55047949" w:rsidR="0036086E" w:rsidRPr="00517045" w:rsidRDefault="0036086E">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Não é fácil conciliar a retórica universalista da Corte sobre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sua prática efetiva</w:t>
      </w:r>
      <w:r w:rsidR="00A56134" w:rsidRPr="00517045">
        <w:rPr>
          <w:rFonts w:ascii="Times New Roman" w:hAnsi="Times New Roman"/>
          <w:color w:val="000000" w:themeColor="text1"/>
          <w:lang w:val="pt-BR"/>
        </w:rPr>
        <w:t>,</w:t>
      </w:r>
      <w:r w:rsidRPr="00517045">
        <w:rPr>
          <w:rFonts w:ascii="Times New Roman" w:hAnsi="Times New Roman"/>
          <w:color w:val="000000" w:themeColor="text1"/>
          <w:lang w:val="pt-BR"/>
        </w:rPr>
        <w:t xml:space="preserve"> a qual enfatiza elementos regionais ou sua autoridade regional. Uma tentativa de reconciliação pode criar pelo menos dois problemas </w:t>
      </w:r>
      <w:r w:rsidR="00DD6532" w:rsidRPr="00517045">
        <w:rPr>
          <w:rFonts w:ascii="Times New Roman" w:hAnsi="Times New Roman"/>
          <w:color w:val="000000" w:themeColor="text1"/>
          <w:lang w:val="pt-BR"/>
        </w:rPr>
        <w:t xml:space="preserve">sobre </w:t>
      </w:r>
      <w:r w:rsidR="00A56134" w:rsidRPr="00517045">
        <w:rPr>
          <w:rFonts w:ascii="Times New Roman" w:hAnsi="Times New Roman"/>
          <w:color w:val="000000" w:themeColor="text1"/>
          <w:lang w:val="pt-BR"/>
        </w:rPr>
        <w:t>os quais</w:t>
      </w:r>
      <w:r w:rsidRPr="00517045">
        <w:rPr>
          <w:rFonts w:ascii="Times New Roman" w:hAnsi="Times New Roman"/>
          <w:color w:val="000000" w:themeColor="text1"/>
          <w:lang w:val="pt-BR"/>
        </w:rPr>
        <w:t xml:space="preserve"> </w:t>
      </w:r>
      <w:r w:rsidR="00DD6532" w:rsidRPr="00517045">
        <w:rPr>
          <w:rFonts w:ascii="Times New Roman" w:hAnsi="Times New Roman"/>
          <w:color w:val="000000" w:themeColor="text1"/>
          <w:lang w:val="pt-BR"/>
        </w:rPr>
        <w:t>cabe</w:t>
      </w:r>
      <w:r w:rsidRPr="00517045">
        <w:rPr>
          <w:rFonts w:ascii="Times New Roman" w:hAnsi="Times New Roman"/>
          <w:color w:val="000000" w:themeColor="text1"/>
          <w:lang w:val="pt-BR"/>
        </w:rPr>
        <w:t xml:space="preserve"> </w:t>
      </w:r>
      <w:r w:rsidR="00DD6532" w:rsidRPr="00517045">
        <w:rPr>
          <w:rFonts w:ascii="Times New Roman" w:hAnsi="Times New Roman"/>
          <w:color w:val="000000" w:themeColor="text1"/>
          <w:lang w:val="pt-BR"/>
        </w:rPr>
        <w:t>investigação</w:t>
      </w:r>
      <w:r w:rsidRPr="00517045">
        <w:rPr>
          <w:rFonts w:ascii="Times New Roman" w:hAnsi="Times New Roman"/>
          <w:color w:val="000000" w:themeColor="text1"/>
          <w:lang w:val="pt-BR"/>
        </w:rPr>
        <w:t xml:space="preserve">. O primeiro é a potencial não correspondência entre o projeto universalista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e as decisões da CIDH </w:t>
      </w:r>
      <w:r w:rsidR="00A56134" w:rsidRPr="00517045">
        <w:rPr>
          <w:rFonts w:ascii="Times New Roman" w:hAnsi="Times New Roman"/>
          <w:color w:val="000000" w:themeColor="text1"/>
          <w:lang w:val="pt-BR"/>
        </w:rPr>
        <w:t xml:space="preserve">sobre </w:t>
      </w:r>
      <w:r w:rsidR="00A56134" w:rsidRPr="00517045">
        <w:rPr>
          <w:rFonts w:ascii="Times New Roman" w:hAnsi="Times New Roman"/>
          <w:i/>
          <w:iCs/>
          <w:color w:val="000000" w:themeColor="text1"/>
          <w:lang w:val="pt-BR"/>
        </w:rPr>
        <w:t>jus</w:t>
      </w:r>
      <w:r w:rsidRPr="00517045">
        <w:rPr>
          <w:rFonts w:ascii="Times New Roman" w:hAnsi="Times New Roman"/>
          <w:i/>
          <w:iCs/>
          <w:color w:val="000000" w:themeColor="text1"/>
          <w:lang w:val="pt-BR"/>
        </w:rPr>
        <w:t xml:space="preserve"> cogens</w:t>
      </w:r>
      <w:r w:rsidRPr="00517045">
        <w:rPr>
          <w:rFonts w:ascii="Times New Roman" w:hAnsi="Times New Roman"/>
          <w:color w:val="000000" w:themeColor="text1"/>
          <w:lang w:val="pt-BR"/>
        </w:rPr>
        <w:t>. O segundo diz respeito à relação entre as regras regionais e universais d</w:t>
      </w:r>
      <w:r w:rsidR="00DD6532" w:rsidRPr="00517045">
        <w:rPr>
          <w:rFonts w:ascii="Times New Roman" w:hAnsi="Times New Roman"/>
          <w:color w:val="000000" w:themeColor="text1"/>
          <w:lang w:val="pt-BR"/>
        </w:rPr>
        <w:t>e</w:t>
      </w:r>
      <w:r w:rsidRPr="00517045">
        <w:rPr>
          <w:rFonts w:ascii="Times New Roman" w:hAnsi="Times New Roman"/>
          <w:color w:val="000000" w:themeColor="text1"/>
          <w:lang w:val="pt-BR"/>
        </w:rPr>
        <w:t xml:space="preserv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w:t>
      </w:r>
    </w:p>
    <w:p w14:paraId="4605F9A6" w14:textId="0B2E340B" w:rsidR="00A56134" w:rsidRPr="00517045" w:rsidRDefault="00A56134">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O primeiro problema é particularmente bem ilustrado em uma recente Opinião Consultiva (OC-26/20) da Corte Interamericana. Nesse caso, a Corte oferece uma lista de oito regras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reconhecidas em sua jurisprudência.</w:t>
      </w:r>
      <w:r w:rsidRPr="00517045">
        <w:rPr>
          <w:rStyle w:val="FootnoteReference"/>
          <w:rFonts w:ascii="Times New Roman" w:hAnsi="Times New Roman"/>
          <w:color w:val="000000" w:themeColor="text1"/>
          <w:lang w:val="pt-BR"/>
        </w:rPr>
        <w:t xml:space="preserve"> </w:t>
      </w:r>
      <w:r w:rsidRPr="00517045">
        <w:rPr>
          <w:rStyle w:val="FootnoteReference"/>
          <w:rFonts w:ascii="Times New Roman" w:hAnsi="Times New Roman"/>
          <w:color w:val="000000" w:themeColor="text1"/>
          <w:lang w:val="en-GB"/>
        </w:rPr>
        <w:footnoteReference w:id="46"/>
      </w:r>
      <w:r w:rsidRPr="00517045">
        <w:rPr>
          <w:rFonts w:ascii="Times New Roman" w:hAnsi="Times New Roman"/>
          <w:color w:val="000000" w:themeColor="text1"/>
          <w:lang w:val="pt-BR"/>
        </w:rPr>
        <w:t xml:space="preserve">  Se comparada com a lista não exaustiva de normas peremptórias de direito internacional geral preparada pelo Relator Especial da CDI, algumas questões chamam a atenção. A primeira é o fato de que a lista da CtIDH é muito mais inclusiva do que a lista da CDI. Isto não é surpreendente, dadas as razões acima mencionadas. Além disso, mesmo quando </w:t>
      </w:r>
      <w:r w:rsidR="00DD6532" w:rsidRPr="00517045">
        <w:rPr>
          <w:rFonts w:ascii="Times New Roman" w:hAnsi="Times New Roman"/>
          <w:color w:val="000000" w:themeColor="text1"/>
          <w:lang w:val="pt-BR"/>
        </w:rPr>
        <w:t>ambas apresentam</w:t>
      </w:r>
      <w:r w:rsidRPr="00517045">
        <w:rPr>
          <w:rFonts w:ascii="Times New Roman" w:hAnsi="Times New Roman"/>
          <w:color w:val="000000" w:themeColor="text1"/>
          <w:lang w:val="pt-BR"/>
        </w:rPr>
        <w:t xml:space="preserve"> regras semelhantes, o conteúdo das regras da lista da CtIDH tende a ser um pouco mais expansivo, como a </w:t>
      </w:r>
      <w:r w:rsidR="00453B29">
        <w:rPr>
          <w:rFonts w:ascii="Times New Roman" w:hAnsi="Times New Roman"/>
          <w:color w:val="000000" w:themeColor="text1"/>
          <w:lang w:val="pt-BR"/>
        </w:rPr>
        <w:t>“</w:t>
      </w:r>
      <w:r w:rsidRPr="00517045">
        <w:rPr>
          <w:rFonts w:ascii="Times New Roman" w:hAnsi="Times New Roman"/>
          <w:color w:val="000000" w:themeColor="text1"/>
          <w:lang w:val="pt-BR"/>
        </w:rPr>
        <w:t>proibição da escravidão e qualquer outra prática similar</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ou a </w:t>
      </w:r>
      <w:r w:rsidR="00453B29">
        <w:rPr>
          <w:rFonts w:ascii="Times New Roman" w:hAnsi="Times New Roman"/>
          <w:color w:val="000000" w:themeColor="text1"/>
          <w:lang w:val="pt-BR"/>
        </w:rPr>
        <w:t>“</w:t>
      </w:r>
      <w:r w:rsidRPr="00517045">
        <w:rPr>
          <w:rFonts w:ascii="Times New Roman" w:hAnsi="Times New Roman"/>
          <w:color w:val="000000" w:themeColor="text1"/>
          <w:lang w:val="pt-BR"/>
        </w:rPr>
        <w:t>proibição de crimes contra a humanidade e a obrigação associada de processar, investigar e punir esses crimes</w:t>
      </w:r>
      <w:r w:rsidR="00453B29">
        <w:rPr>
          <w:rFonts w:ascii="Times New Roman" w:hAnsi="Times New Roman"/>
          <w:color w:val="000000" w:themeColor="text1"/>
          <w:lang w:val="pt-BR"/>
        </w:rPr>
        <w:t>”</w:t>
      </w:r>
      <w:r w:rsidRPr="00517045">
        <w:rPr>
          <w:rFonts w:ascii="Times New Roman" w:hAnsi="Times New Roman"/>
          <w:color w:val="000000" w:themeColor="text1"/>
          <w:lang w:val="pt-BR"/>
        </w:rPr>
        <w:t>.</w:t>
      </w:r>
    </w:p>
    <w:p w14:paraId="15EFA884" w14:textId="0C945F6A" w:rsidR="00A56134" w:rsidRPr="00517045" w:rsidRDefault="00EF31E0">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Curiosamente, o Relator Especial trata como </w:t>
      </w:r>
      <w:r w:rsidR="00453B29">
        <w:rPr>
          <w:rFonts w:ascii="Times New Roman" w:hAnsi="Times New Roman"/>
          <w:color w:val="000000" w:themeColor="text1"/>
          <w:lang w:val="pt-BR"/>
        </w:rPr>
        <w:t>“</w:t>
      </w:r>
      <w:r w:rsidRPr="00517045">
        <w:rPr>
          <w:rFonts w:ascii="Times New Roman" w:hAnsi="Times New Roman"/>
          <w:color w:val="000000" w:themeColor="text1"/>
          <w:lang w:val="pt-BR"/>
        </w:rPr>
        <w:t>candidat</w:t>
      </w:r>
      <w:r w:rsidR="0002738D" w:rsidRPr="00517045">
        <w:rPr>
          <w:rFonts w:ascii="Times New Roman" w:hAnsi="Times New Roman"/>
          <w:color w:val="000000" w:themeColor="text1"/>
          <w:lang w:val="pt-BR"/>
        </w:rPr>
        <w:t>a</w:t>
      </w:r>
      <w:r w:rsidRPr="00517045">
        <w:rPr>
          <w:rFonts w:ascii="Times New Roman" w:hAnsi="Times New Roman"/>
          <w:color w:val="000000" w:themeColor="text1"/>
          <w:lang w:val="pt-BR"/>
        </w:rPr>
        <w:t xml:space="preserve">s a </w:t>
      </w:r>
      <w:r w:rsidRPr="00517045">
        <w:rPr>
          <w:rFonts w:ascii="Times New Roman" w:hAnsi="Times New Roman"/>
          <w:i/>
          <w:iCs/>
          <w:color w:val="000000" w:themeColor="text1"/>
          <w:lang w:val="pt-BR"/>
        </w:rPr>
        <w:t>jus cogens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pelo menos duas regras que a CtIDH reconhece como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a regra de </w:t>
      </w:r>
      <w:r w:rsidRPr="00517045">
        <w:rPr>
          <w:rFonts w:ascii="Times New Roman" w:hAnsi="Times New Roman"/>
          <w:i/>
          <w:iCs/>
          <w:color w:val="000000" w:themeColor="text1"/>
          <w:lang w:val="pt-BR"/>
        </w:rPr>
        <w:t>non-refoulement</w:t>
      </w:r>
      <w:r w:rsidRPr="00517045">
        <w:rPr>
          <w:rFonts w:ascii="Times New Roman" w:hAnsi="Times New Roman"/>
          <w:color w:val="000000" w:themeColor="text1"/>
          <w:lang w:val="pt-BR"/>
        </w:rPr>
        <w:t xml:space="preserve">, e a proibição aos desaparecimentos forçados. Entende-se que a lista da CtIDH é exemplar e que o </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relatório (e quaisquer possíveis conclusões e comentários adotados pela Comissão) pode servir de impulso para  </w:t>
      </w:r>
      <w:r w:rsidR="0002738D" w:rsidRPr="00517045">
        <w:rPr>
          <w:rFonts w:ascii="Times New Roman" w:hAnsi="Times New Roman"/>
          <w:color w:val="000000" w:themeColor="text1"/>
          <w:lang w:val="pt-BR"/>
        </w:rPr>
        <w:t xml:space="preserve">gerar </w:t>
      </w:r>
      <w:r w:rsidRPr="00517045">
        <w:rPr>
          <w:rFonts w:ascii="Times New Roman" w:hAnsi="Times New Roman"/>
          <w:color w:val="000000" w:themeColor="text1"/>
          <w:lang w:val="pt-BR"/>
        </w:rPr>
        <w:t xml:space="preserve">mais </w:t>
      </w:r>
      <w:r w:rsidR="0002738D" w:rsidRPr="00517045">
        <w:rPr>
          <w:rFonts w:ascii="Times New Roman" w:hAnsi="Times New Roman"/>
          <w:color w:val="000000" w:themeColor="text1"/>
          <w:lang w:val="pt-BR"/>
        </w:rPr>
        <w:t xml:space="preserve">evidências </w:t>
      </w:r>
      <w:r w:rsidRPr="00517045">
        <w:rPr>
          <w:rFonts w:ascii="Times New Roman" w:hAnsi="Times New Roman"/>
          <w:color w:val="000000" w:themeColor="text1"/>
          <w:lang w:val="pt-BR"/>
        </w:rPr>
        <w:t>de aceitação e reconhecimento pela comunidade internacional dos Estados como um todo do caráter peremptório de normas adicionais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Entretanto, esta declaração e o projeto da CDI em geral não resolve o obstáculo no qual uma das </w:t>
      </w:r>
      <w:r w:rsidR="00453B29">
        <w:rPr>
          <w:rFonts w:ascii="Times New Roman" w:hAnsi="Times New Roman"/>
          <w:color w:val="000000" w:themeColor="text1"/>
          <w:lang w:val="pt-BR"/>
        </w:rPr>
        <w:t>“</w:t>
      </w:r>
      <w:r w:rsidRPr="00517045">
        <w:rPr>
          <w:rFonts w:ascii="Times New Roman" w:hAnsi="Times New Roman"/>
          <w:color w:val="000000" w:themeColor="text1"/>
          <w:lang w:val="pt-BR"/>
        </w:rPr>
        <w:t>candidatas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foi tratada por um tribunal regional dentro de um regime convencional específico como tendo caráter peremptório. Os Estados partes desse tratado poderiam ter começado a tratá-lo de acordo.</w:t>
      </w:r>
    </w:p>
    <w:p w14:paraId="1AB3E826" w14:textId="6575ECCD" w:rsidR="00EF31E0" w:rsidRPr="00517045" w:rsidRDefault="00EF31E0">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A questão aqui não é dizer que estas </w:t>
      </w:r>
      <w:r w:rsidR="00453B29">
        <w:rPr>
          <w:rFonts w:ascii="Times New Roman" w:hAnsi="Times New Roman"/>
          <w:color w:val="000000" w:themeColor="text1"/>
          <w:lang w:val="pt-BR"/>
        </w:rPr>
        <w:t>“</w:t>
      </w:r>
      <w:r w:rsidRPr="00517045">
        <w:rPr>
          <w:rFonts w:ascii="Times New Roman" w:hAnsi="Times New Roman"/>
          <w:color w:val="000000" w:themeColor="text1"/>
          <w:lang w:val="pt-BR"/>
        </w:rPr>
        <w:t>candidatas</w:t>
      </w:r>
      <w:r w:rsidR="00453B29">
        <w:rPr>
          <w:rFonts w:ascii="Times New Roman" w:hAnsi="Times New Roman"/>
          <w:color w:val="000000" w:themeColor="text1"/>
          <w:lang w:val="pt-BR"/>
        </w:rPr>
        <w:t>”</w:t>
      </w:r>
      <w:r w:rsidRPr="00517045">
        <w:rPr>
          <w:rFonts w:ascii="Times New Roman" w:hAnsi="Times New Roman"/>
          <w:color w:val="000000" w:themeColor="text1"/>
          <w:lang w:val="pt-BR"/>
        </w:rPr>
        <w:t xml:space="preserve"> são necessariamente regras regionais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ou que nosso esforço visa compreender seu real </w:t>
      </w:r>
      <w:r w:rsidRPr="00517045">
        <w:rPr>
          <w:rFonts w:ascii="Times New Roman" w:hAnsi="Times New Roman"/>
          <w:i/>
          <w:iCs/>
          <w:color w:val="000000" w:themeColor="text1"/>
          <w:lang w:val="pt-BR"/>
        </w:rPr>
        <w:t>status</w:t>
      </w:r>
      <w:r w:rsidRPr="00517045">
        <w:rPr>
          <w:rFonts w:ascii="Times New Roman" w:hAnsi="Times New Roman"/>
          <w:color w:val="000000" w:themeColor="text1"/>
          <w:lang w:val="pt-BR"/>
        </w:rPr>
        <w:t xml:space="preserve"> jurídico. Poderíamos até perceber a diferença de opinião entre a CtIDH e a CDI como uma divergência de opinião entre progressistas e conservadores a nível </w:t>
      </w:r>
      <w:r w:rsidR="0002738D" w:rsidRPr="00517045">
        <w:rPr>
          <w:rFonts w:ascii="Times New Roman" w:hAnsi="Times New Roman"/>
          <w:color w:val="000000" w:themeColor="text1"/>
          <w:lang w:val="pt-BR"/>
        </w:rPr>
        <w:t>global</w:t>
      </w:r>
      <w:r w:rsidRPr="00517045">
        <w:rPr>
          <w:rFonts w:ascii="Times New Roman" w:hAnsi="Times New Roman"/>
          <w:color w:val="000000" w:themeColor="text1"/>
          <w:lang w:val="pt-BR"/>
        </w:rPr>
        <w:t xml:space="preserve">, em vez de uma </w:t>
      </w:r>
      <w:r w:rsidR="0002738D" w:rsidRPr="00517045">
        <w:rPr>
          <w:rFonts w:ascii="Times New Roman" w:hAnsi="Times New Roman"/>
          <w:color w:val="000000" w:themeColor="text1"/>
          <w:lang w:val="pt-BR"/>
        </w:rPr>
        <w:t xml:space="preserve">disputa </w:t>
      </w:r>
      <w:r w:rsidRPr="00517045">
        <w:rPr>
          <w:rFonts w:ascii="Times New Roman" w:hAnsi="Times New Roman"/>
          <w:color w:val="000000" w:themeColor="text1"/>
          <w:lang w:val="pt-BR"/>
        </w:rPr>
        <w:t>entre o nível universal e o nível regional. Não obstante, apenas argument</w:t>
      </w:r>
      <w:r w:rsidR="0002738D" w:rsidRPr="00517045">
        <w:rPr>
          <w:rFonts w:ascii="Times New Roman" w:hAnsi="Times New Roman"/>
          <w:color w:val="000000" w:themeColor="text1"/>
          <w:lang w:val="pt-BR"/>
        </w:rPr>
        <w:t>a-se</w:t>
      </w:r>
      <w:r w:rsidRPr="00517045">
        <w:rPr>
          <w:rFonts w:ascii="Times New Roman" w:hAnsi="Times New Roman"/>
          <w:color w:val="000000" w:themeColor="text1"/>
          <w:lang w:val="pt-BR"/>
        </w:rPr>
        <w:t xml:space="preserve"> que a categoria legal das regras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foi descartada do projeto da CDI muito </w:t>
      </w:r>
      <w:r w:rsidR="00453B29">
        <w:rPr>
          <w:rFonts w:ascii="Times New Roman" w:hAnsi="Times New Roman"/>
          <w:color w:val="000000" w:themeColor="text1"/>
          <w:lang w:val="pt-BR"/>
        </w:rPr>
        <w:t xml:space="preserve">precocemente </w:t>
      </w:r>
      <w:r w:rsidRPr="00517045">
        <w:rPr>
          <w:rFonts w:ascii="Times New Roman" w:hAnsi="Times New Roman"/>
          <w:color w:val="000000" w:themeColor="text1"/>
          <w:lang w:val="pt-BR"/>
        </w:rPr>
        <w:t>e poderia ter recebido mais atenção da Comissão. Além disso, como uma categoria</w:t>
      </w:r>
      <w:r w:rsidR="00453B29">
        <w:rPr>
          <w:rFonts w:ascii="Times New Roman" w:hAnsi="Times New Roman"/>
          <w:color w:val="000000" w:themeColor="text1"/>
          <w:lang w:val="pt-BR"/>
        </w:rPr>
        <w:t xml:space="preserve"> jurídica</w:t>
      </w:r>
      <w:r w:rsidRPr="00517045">
        <w:rPr>
          <w:rFonts w:ascii="Times New Roman" w:hAnsi="Times New Roman"/>
          <w:color w:val="000000" w:themeColor="text1"/>
          <w:lang w:val="pt-BR"/>
        </w:rPr>
        <w:t xml:space="preserve">,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w:t>
      </w:r>
      <w:r w:rsidR="0002738D" w:rsidRPr="00517045">
        <w:rPr>
          <w:rFonts w:ascii="Times New Roman" w:hAnsi="Times New Roman"/>
          <w:color w:val="000000" w:themeColor="text1"/>
          <w:lang w:val="pt-BR"/>
        </w:rPr>
        <w:t>l</w:t>
      </w:r>
      <w:r w:rsidRPr="00517045">
        <w:rPr>
          <w:rFonts w:ascii="Times New Roman" w:hAnsi="Times New Roman"/>
          <w:color w:val="000000" w:themeColor="text1"/>
          <w:lang w:val="pt-BR"/>
        </w:rPr>
        <w:t xml:space="preserve"> poderia pelo menos servir como um meio-termo acomodador, o qual abrigar</w:t>
      </w:r>
      <w:r w:rsidR="0002738D" w:rsidRPr="00517045">
        <w:rPr>
          <w:rFonts w:ascii="Times New Roman" w:hAnsi="Times New Roman"/>
          <w:color w:val="000000" w:themeColor="text1"/>
          <w:lang w:val="pt-BR"/>
        </w:rPr>
        <w:t>ia</w:t>
      </w:r>
      <w:r w:rsidRPr="00517045">
        <w:rPr>
          <w:rFonts w:ascii="Times New Roman" w:hAnsi="Times New Roman"/>
          <w:color w:val="000000" w:themeColor="text1"/>
          <w:lang w:val="pt-BR"/>
        </w:rPr>
        <w:t xml:space="preserve"> regras que apresentam algumas características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mas que ainda não se consolidaram como tal.</w:t>
      </w:r>
    </w:p>
    <w:p w14:paraId="0F908F36" w14:textId="63411EEF" w:rsidR="00453B29" w:rsidRPr="00453B29" w:rsidRDefault="00453B29" w:rsidP="00453B29">
      <w:pPr>
        <w:pStyle w:val="Texto"/>
        <w:rPr>
          <w:rFonts w:ascii="Times New Roman" w:hAnsi="Times New Roman"/>
          <w:color w:val="000000" w:themeColor="text1"/>
          <w:lang w:val="pt-BR"/>
        </w:rPr>
      </w:pPr>
      <w:r w:rsidRPr="00453B29">
        <w:rPr>
          <w:rFonts w:ascii="Times New Roman" w:hAnsi="Times New Roman"/>
          <w:color w:val="000000" w:themeColor="text1"/>
          <w:lang w:val="pt-BR"/>
        </w:rPr>
        <w:t>F</w:t>
      </w:r>
      <w:r w:rsidR="00EF31E0" w:rsidRPr="00453B29">
        <w:rPr>
          <w:rFonts w:ascii="Times New Roman" w:hAnsi="Times New Roman"/>
          <w:color w:val="000000" w:themeColor="text1"/>
          <w:lang w:val="pt-BR"/>
        </w:rPr>
        <w:t xml:space="preserve">ica-se com a impressão de que tanto a CDI quanto a CtIDH estão </w:t>
      </w:r>
      <w:r w:rsidRPr="00453B29">
        <w:rPr>
          <w:rFonts w:ascii="Times New Roman" w:hAnsi="Times New Roman"/>
          <w:color w:val="000000" w:themeColor="text1"/>
          <w:lang w:val="pt-BR"/>
        </w:rPr>
        <w:t xml:space="preserve">apontando </w:t>
      </w:r>
      <w:r w:rsidR="00EF31E0" w:rsidRPr="00453B29">
        <w:rPr>
          <w:rFonts w:ascii="Times New Roman" w:hAnsi="Times New Roman"/>
          <w:color w:val="000000" w:themeColor="text1"/>
          <w:lang w:val="pt-BR"/>
        </w:rPr>
        <w:t xml:space="preserve">em direções diferentes, enquanto ambas defendem um universalismo resoluto. As ansiedades dos Estados e da CDI sobre possíveis fraturas no projeto, ao admitir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regionais, são mais teóricas do que práticas. Entretanto, embora não se possa excluir que o reconhecimento de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regionais possa se mostrar coerente e harmonioso com um projeto universalista de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a Corte Interamericana não leva esta hipótese em consideração. Uma possível razão para este fato parece estar na mesma lógica pela qual a CtIDH recorre à peremptoriedade: a retórica do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universalista ressoa melhor junto ao público interno </w:t>
      </w:r>
      <w:r w:rsidR="009263FD" w:rsidRPr="00453B29">
        <w:rPr>
          <w:rFonts w:ascii="Times New Roman" w:hAnsi="Times New Roman"/>
          <w:color w:val="000000" w:themeColor="text1"/>
          <w:lang w:val="pt-BR"/>
        </w:rPr>
        <w:t>o qual ela</w:t>
      </w:r>
      <w:r w:rsidR="00EF31E0" w:rsidRPr="00453B29">
        <w:rPr>
          <w:rFonts w:ascii="Times New Roman" w:hAnsi="Times New Roman"/>
          <w:color w:val="000000" w:themeColor="text1"/>
          <w:lang w:val="pt-BR"/>
        </w:rPr>
        <w:t xml:space="preserve"> precisa convencer e</w:t>
      </w:r>
      <w:r w:rsidR="009263FD" w:rsidRPr="00453B29">
        <w:rPr>
          <w:rFonts w:ascii="Times New Roman" w:hAnsi="Times New Roman"/>
          <w:color w:val="000000" w:themeColor="text1"/>
          <w:lang w:val="pt-BR"/>
        </w:rPr>
        <w:t xml:space="preserve"> no qual ela deve</w:t>
      </w:r>
      <w:r w:rsidR="00EF31E0" w:rsidRPr="00453B29">
        <w:rPr>
          <w:rFonts w:ascii="Times New Roman" w:hAnsi="Times New Roman"/>
          <w:color w:val="000000" w:themeColor="text1"/>
          <w:lang w:val="pt-BR"/>
        </w:rPr>
        <w:t xml:space="preserve"> fazer-se</w:t>
      </w:r>
      <w:r w:rsidR="009263FD" w:rsidRPr="00453B29">
        <w:rPr>
          <w:rFonts w:ascii="Times New Roman" w:hAnsi="Times New Roman"/>
          <w:color w:val="000000" w:themeColor="text1"/>
          <w:lang w:val="pt-BR"/>
        </w:rPr>
        <w:t xml:space="preserve"> mais bem</w:t>
      </w:r>
      <w:r w:rsidR="00EF31E0" w:rsidRPr="00453B29">
        <w:rPr>
          <w:rFonts w:ascii="Times New Roman" w:hAnsi="Times New Roman"/>
          <w:color w:val="000000" w:themeColor="text1"/>
          <w:lang w:val="pt-BR"/>
        </w:rPr>
        <w:t xml:space="preserve"> respeit</w:t>
      </w:r>
      <w:r w:rsidR="009263FD" w:rsidRPr="00453B29">
        <w:rPr>
          <w:rFonts w:ascii="Times New Roman" w:hAnsi="Times New Roman"/>
          <w:color w:val="000000" w:themeColor="text1"/>
          <w:lang w:val="pt-BR"/>
        </w:rPr>
        <w:t>ada</w:t>
      </w:r>
      <w:r w:rsidR="00EF31E0" w:rsidRPr="00453B29">
        <w:rPr>
          <w:rFonts w:ascii="Times New Roman" w:hAnsi="Times New Roman"/>
          <w:color w:val="000000" w:themeColor="text1"/>
          <w:lang w:val="pt-BR"/>
        </w:rPr>
        <w:t xml:space="preserve">. De fato, talvez </w:t>
      </w:r>
      <w:r w:rsidR="009263FD" w:rsidRPr="00453B29">
        <w:rPr>
          <w:rFonts w:ascii="Times New Roman" w:hAnsi="Times New Roman"/>
          <w:color w:val="000000" w:themeColor="text1"/>
          <w:lang w:val="pt-BR"/>
        </w:rPr>
        <w:t>a</w:t>
      </w:r>
      <w:r w:rsidR="00EF31E0" w:rsidRPr="00453B29">
        <w:rPr>
          <w:rFonts w:ascii="Times New Roman" w:hAnsi="Times New Roman"/>
          <w:color w:val="000000" w:themeColor="text1"/>
          <w:lang w:val="pt-BR"/>
        </w:rPr>
        <w:t xml:space="preserve"> </w:t>
      </w:r>
      <w:r w:rsidR="009263FD" w:rsidRPr="00453B29">
        <w:rPr>
          <w:rFonts w:ascii="Times New Roman" w:hAnsi="Times New Roman"/>
          <w:color w:val="000000" w:themeColor="text1"/>
          <w:lang w:val="pt-BR"/>
        </w:rPr>
        <w:t>Corte</w:t>
      </w:r>
      <w:r w:rsidR="00EF31E0" w:rsidRPr="00453B29">
        <w:rPr>
          <w:rFonts w:ascii="Times New Roman" w:hAnsi="Times New Roman"/>
          <w:color w:val="000000" w:themeColor="text1"/>
          <w:lang w:val="pt-BR"/>
        </w:rPr>
        <w:t xml:space="preserve"> fizesse bem em seguir o caminho do universalismo, pois isso poderia contribuir para dar maior peso a suas decisões em termos da formação do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universa</w:t>
      </w:r>
      <w:r w:rsidR="009263FD" w:rsidRPr="00453B29">
        <w:rPr>
          <w:rFonts w:ascii="Times New Roman" w:hAnsi="Times New Roman"/>
          <w:color w:val="000000" w:themeColor="text1"/>
          <w:lang w:val="pt-BR"/>
        </w:rPr>
        <w:t>l.</w:t>
      </w:r>
      <w:r w:rsidR="00EF31E0" w:rsidRPr="00453B29">
        <w:rPr>
          <w:rFonts w:ascii="Times New Roman" w:hAnsi="Times New Roman"/>
          <w:color w:val="000000" w:themeColor="text1"/>
          <w:lang w:val="pt-BR"/>
        </w:rPr>
        <w:t xml:space="preserve"> No entanto, esta </w:t>
      </w:r>
      <w:r w:rsidR="00E374BD" w:rsidRPr="00453B29">
        <w:rPr>
          <w:rFonts w:ascii="Times New Roman" w:hAnsi="Times New Roman"/>
          <w:color w:val="000000" w:themeColor="text1"/>
          <w:lang w:val="pt-BR"/>
        </w:rPr>
        <w:t xml:space="preserve">ausência </w:t>
      </w:r>
      <w:r w:rsidR="00EF31E0" w:rsidRPr="00453B29">
        <w:rPr>
          <w:rFonts w:ascii="Times New Roman" w:hAnsi="Times New Roman"/>
          <w:color w:val="000000" w:themeColor="text1"/>
          <w:lang w:val="pt-BR"/>
        </w:rPr>
        <w:t>de recurso a</w:t>
      </w:r>
      <w:r w:rsidR="00E374BD" w:rsidRPr="00453B29">
        <w:rPr>
          <w:rFonts w:ascii="Times New Roman" w:hAnsi="Times New Roman"/>
          <w:color w:val="000000" w:themeColor="text1"/>
          <w:lang w:val="pt-BR"/>
        </w:rPr>
        <w:t>o</w:t>
      </w:r>
      <w:r w:rsidR="00EF31E0" w:rsidRPr="00453B29">
        <w:rPr>
          <w:rFonts w:ascii="Times New Roman" w:hAnsi="Times New Roman"/>
          <w:color w:val="000000" w:themeColor="text1"/>
          <w:lang w:val="pt-BR"/>
        </w:rPr>
        <w:t xml:space="preserve">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 xml:space="preserve"> regiona</w:t>
      </w:r>
      <w:r w:rsidR="00E374BD" w:rsidRPr="00453B29">
        <w:rPr>
          <w:rFonts w:ascii="Times New Roman" w:hAnsi="Times New Roman"/>
          <w:color w:val="000000" w:themeColor="text1"/>
          <w:lang w:val="pt-BR"/>
        </w:rPr>
        <w:t>l</w:t>
      </w:r>
      <w:r w:rsidR="00EF31E0" w:rsidRPr="00453B29">
        <w:rPr>
          <w:rFonts w:ascii="Times New Roman" w:hAnsi="Times New Roman"/>
          <w:color w:val="000000" w:themeColor="text1"/>
          <w:lang w:val="pt-BR"/>
        </w:rPr>
        <w:t xml:space="preserve"> poder</w:t>
      </w:r>
      <w:r w:rsidR="009263FD" w:rsidRPr="00453B29">
        <w:rPr>
          <w:rFonts w:ascii="Times New Roman" w:hAnsi="Times New Roman"/>
          <w:color w:val="000000" w:themeColor="text1"/>
          <w:lang w:val="pt-BR"/>
        </w:rPr>
        <w:t xml:space="preserve"> </w:t>
      </w:r>
      <w:r w:rsidR="00EF31E0" w:rsidRPr="00453B29">
        <w:rPr>
          <w:rFonts w:ascii="Times New Roman" w:hAnsi="Times New Roman"/>
          <w:color w:val="000000" w:themeColor="text1"/>
          <w:lang w:val="pt-BR"/>
        </w:rPr>
        <w:t xml:space="preserve">ser percebida como uma oportunidade perdida para </w:t>
      </w:r>
      <w:r w:rsidR="009263FD" w:rsidRPr="00453B29">
        <w:rPr>
          <w:rFonts w:ascii="Times New Roman" w:hAnsi="Times New Roman"/>
          <w:color w:val="000000" w:themeColor="text1"/>
          <w:lang w:val="pt-BR"/>
        </w:rPr>
        <w:t>a</w:t>
      </w:r>
      <w:r w:rsidR="00EF31E0" w:rsidRPr="00453B29">
        <w:rPr>
          <w:rFonts w:ascii="Times New Roman" w:hAnsi="Times New Roman"/>
          <w:color w:val="000000" w:themeColor="text1"/>
          <w:lang w:val="pt-BR"/>
        </w:rPr>
        <w:t xml:space="preserve"> </w:t>
      </w:r>
      <w:r w:rsidR="009263FD" w:rsidRPr="00453B29">
        <w:rPr>
          <w:rFonts w:ascii="Times New Roman" w:hAnsi="Times New Roman"/>
          <w:color w:val="000000" w:themeColor="text1"/>
          <w:lang w:val="pt-BR"/>
        </w:rPr>
        <w:t>Corte</w:t>
      </w:r>
      <w:r w:rsidR="00EF31E0" w:rsidRPr="00453B29">
        <w:rPr>
          <w:rFonts w:ascii="Times New Roman" w:hAnsi="Times New Roman"/>
          <w:color w:val="000000" w:themeColor="text1"/>
          <w:lang w:val="pt-BR"/>
        </w:rPr>
        <w:t xml:space="preserve">, que poderia ter suas </w:t>
      </w:r>
      <w:r w:rsidR="009263FD" w:rsidRPr="00453B29">
        <w:rPr>
          <w:rFonts w:ascii="Times New Roman" w:hAnsi="Times New Roman"/>
          <w:color w:val="000000" w:themeColor="text1"/>
          <w:lang w:val="pt-BR"/>
        </w:rPr>
        <w:t>normas</w:t>
      </w:r>
      <w:r w:rsidR="00EF31E0" w:rsidRPr="00453B29">
        <w:rPr>
          <w:rFonts w:ascii="Times New Roman" w:hAnsi="Times New Roman"/>
          <w:color w:val="000000" w:themeColor="text1"/>
          <w:lang w:val="pt-BR"/>
        </w:rPr>
        <w:t xml:space="preserve"> alocadas em uma categoria mais apropriada do que</w:t>
      </w:r>
      <w:r w:rsidR="009263FD" w:rsidRPr="00453B29">
        <w:rPr>
          <w:rFonts w:ascii="Times New Roman" w:hAnsi="Times New Roman"/>
          <w:color w:val="000000" w:themeColor="text1"/>
          <w:lang w:val="pt-BR"/>
        </w:rPr>
        <w:t xml:space="preserve"> a de</w:t>
      </w:r>
      <w:r w:rsidR="00EF31E0" w:rsidRPr="00453B29">
        <w:rPr>
          <w:rFonts w:ascii="Times New Roman" w:hAnsi="Times New Roman"/>
          <w:color w:val="000000" w:themeColor="text1"/>
          <w:lang w:val="pt-BR"/>
        </w:rPr>
        <w:t xml:space="preserve"> </w:t>
      </w:r>
      <w:r w:rsidRPr="00453B29">
        <w:rPr>
          <w:rFonts w:ascii="Times New Roman" w:hAnsi="Times New Roman"/>
          <w:color w:val="000000" w:themeColor="text1"/>
          <w:lang w:val="pt-BR"/>
        </w:rPr>
        <w:t>“</w:t>
      </w:r>
      <w:r w:rsidR="00EF31E0" w:rsidRPr="00453B29">
        <w:rPr>
          <w:rFonts w:ascii="Times New Roman" w:hAnsi="Times New Roman"/>
          <w:color w:val="000000" w:themeColor="text1"/>
          <w:lang w:val="pt-BR"/>
        </w:rPr>
        <w:t>candidat</w:t>
      </w:r>
      <w:r w:rsidR="009263FD" w:rsidRPr="00453B29">
        <w:rPr>
          <w:rFonts w:ascii="Times New Roman" w:hAnsi="Times New Roman"/>
          <w:color w:val="000000" w:themeColor="text1"/>
          <w:lang w:val="pt-BR"/>
        </w:rPr>
        <w:t>as</w:t>
      </w:r>
      <w:r w:rsidRPr="00453B29">
        <w:rPr>
          <w:rFonts w:ascii="Times New Roman" w:hAnsi="Times New Roman"/>
          <w:color w:val="000000" w:themeColor="text1"/>
          <w:lang w:val="pt-BR"/>
        </w:rPr>
        <w:t>”</w:t>
      </w:r>
      <w:r w:rsidR="00EF31E0" w:rsidRPr="00453B29">
        <w:rPr>
          <w:rFonts w:ascii="Times New Roman" w:hAnsi="Times New Roman"/>
          <w:color w:val="000000" w:themeColor="text1"/>
          <w:lang w:val="pt-BR"/>
        </w:rPr>
        <w:t xml:space="preserve"> a </w:t>
      </w:r>
      <w:r w:rsidR="00EF31E0" w:rsidRPr="00453B29">
        <w:rPr>
          <w:rFonts w:ascii="Times New Roman" w:hAnsi="Times New Roman"/>
          <w:i/>
          <w:iCs/>
          <w:color w:val="000000" w:themeColor="text1"/>
          <w:lang w:val="pt-BR"/>
        </w:rPr>
        <w:t>jus cogens</w:t>
      </w:r>
      <w:r w:rsidR="00EF31E0" w:rsidRPr="00453B29">
        <w:rPr>
          <w:rFonts w:ascii="Times New Roman" w:hAnsi="Times New Roman"/>
          <w:color w:val="000000" w:themeColor="text1"/>
          <w:lang w:val="pt-BR"/>
        </w:rPr>
        <w:t>.</w:t>
      </w:r>
    </w:p>
    <w:p w14:paraId="14A95B9C" w14:textId="60E2A45D" w:rsidR="009263FD" w:rsidRPr="00453B29" w:rsidRDefault="009263FD" w:rsidP="00453B29">
      <w:pPr>
        <w:pStyle w:val="Texto"/>
        <w:rPr>
          <w:rFonts w:ascii="Times New Roman" w:hAnsi="Times New Roman"/>
          <w:color w:val="000000" w:themeColor="text1"/>
          <w:lang w:val="pt-BR"/>
        </w:rPr>
      </w:pPr>
      <w:r w:rsidRPr="00453B29">
        <w:rPr>
          <w:rFonts w:ascii="Times New Roman" w:hAnsi="Times New Roman"/>
          <w:color w:val="000000" w:themeColor="text1"/>
          <w:lang w:val="pt-BR"/>
        </w:rPr>
        <w:t>A segunda questão que a prática da CtIDH pode oferecer se volta à relação potencial entre as regras regionais e universais d</w:t>
      </w:r>
      <w:r w:rsidR="00E374BD" w:rsidRPr="00453B29">
        <w:rPr>
          <w:rFonts w:ascii="Times New Roman" w:hAnsi="Times New Roman"/>
          <w:color w:val="000000" w:themeColor="text1"/>
          <w:lang w:val="pt-BR"/>
        </w:rPr>
        <w:t>e</w:t>
      </w:r>
      <w:r w:rsidRPr="00453B29">
        <w:rPr>
          <w:rFonts w:ascii="Times New Roman" w:hAnsi="Times New Roman"/>
          <w:color w:val="000000" w:themeColor="text1"/>
          <w:lang w:val="pt-BR"/>
        </w:rPr>
        <w:t xml:space="preserve"> </w:t>
      </w:r>
      <w:r w:rsidRPr="00453B29">
        <w:rPr>
          <w:rFonts w:ascii="Times New Roman" w:hAnsi="Times New Roman"/>
          <w:i/>
          <w:iCs/>
          <w:color w:val="000000" w:themeColor="text1"/>
          <w:lang w:val="pt-BR"/>
        </w:rPr>
        <w:t>jus cogens</w:t>
      </w:r>
      <w:r w:rsidRPr="00453B29">
        <w:rPr>
          <w:rFonts w:ascii="Times New Roman" w:hAnsi="Times New Roman"/>
          <w:color w:val="000000" w:themeColor="text1"/>
          <w:lang w:val="pt-BR"/>
        </w:rPr>
        <w:t xml:space="preserve">. Uma das resistências em aceitar regras regionais peremptórias é o conflito potencial com </w:t>
      </w:r>
      <w:r w:rsidR="00E374BD" w:rsidRPr="00453B29">
        <w:rPr>
          <w:rFonts w:ascii="Times New Roman" w:hAnsi="Times New Roman"/>
          <w:color w:val="000000" w:themeColor="text1"/>
          <w:lang w:val="pt-BR"/>
        </w:rPr>
        <w:t>suas contrapartes</w:t>
      </w:r>
      <w:r w:rsidRPr="00453B29">
        <w:rPr>
          <w:rFonts w:ascii="Times New Roman" w:hAnsi="Times New Roman"/>
          <w:color w:val="000000" w:themeColor="text1"/>
          <w:lang w:val="pt-BR"/>
        </w:rPr>
        <w:t xml:space="preserve"> universais.</w:t>
      </w:r>
      <w:r w:rsidR="008D7409" w:rsidRPr="00453B29">
        <w:rPr>
          <w:rStyle w:val="FootnoteReference"/>
          <w:rFonts w:ascii="Times New Roman" w:hAnsi="Times New Roman"/>
          <w:color w:val="000000" w:themeColor="text1"/>
          <w:lang w:val="pt-BR"/>
        </w:rPr>
        <w:t xml:space="preserve"> </w:t>
      </w:r>
      <w:r w:rsidR="008D7409" w:rsidRPr="00453B29">
        <w:rPr>
          <w:rStyle w:val="FootnoteReference"/>
          <w:rFonts w:ascii="Times New Roman" w:hAnsi="Times New Roman"/>
          <w:color w:val="000000" w:themeColor="text1"/>
          <w:lang w:val="en-GB"/>
        </w:rPr>
        <w:footnoteReference w:id="47"/>
      </w:r>
      <w:r w:rsidRPr="00453B29">
        <w:rPr>
          <w:rFonts w:ascii="Times New Roman" w:hAnsi="Times New Roman"/>
          <w:color w:val="000000" w:themeColor="text1"/>
          <w:lang w:val="pt-BR"/>
        </w:rPr>
        <w:t xml:space="preserve"> A questão </w:t>
      </w:r>
      <w:r w:rsidR="00E374BD" w:rsidRPr="00453B29">
        <w:rPr>
          <w:rFonts w:ascii="Times New Roman" w:hAnsi="Times New Roman"/>
          <w:color w:val="000000" w:themeColor="text1"/>
          <w:lang w:val="pt-BR"/>
        </w:rPr>
        <w:t xml:space="preserve">gira em torno de qual delas </w:t>
      </w:r>
      <w:r w:rsidRPr="00453B29">
        <w:rPr>
          <w:rFonts w:ascii="Times New Roman" w:hAnsi="Times New Roman"/>
          <w:color w:val="000000" w:themeColor="text1"/>
          <w:lang w:val="pt-BR"/>
        </w:rPr>
        <w:t xml:space="preserve">deve prevalecer em caso de conflito.  Para o bem de nossos propósitos nesta seção, suporemos hipoteticamente que a identificação de regras de </w:t>
      </w:r>
      <w:r w:rsidRPr="00453B29">
        <w:rPr>
          <w:rFonts w:ascii="Times New Roman" w:hAnsi="Times New Roman"/>
          <w:i/>
          <w:iCs/>
          <w:color w:val="000000" w:themeColor="text1"/>
          <w:lang w:val="pt-BR"/>
        </w:rPr>
        <w:t>jus cogens</w:t>
      </w:r>
      <w:r w:rsidRPr="00453B29">
        <w:rPr>
          <w:rFonts w:ascii="Times New Roman" w:hAnsi="Times New Roman"/>
          <w:color w:val="000000" w:themeColor="text1"/>
          <w:lang w:val="pt-BR"/>
        </w:rPr>
        <w:t xml:space="preserve"> na OC 26/20 da CtIDH corresponde ao </w:t>
      </w:r>
      <w:r w:rsidRPr="00453B29">
        <w:rPr>
          <w:rFonts w:ascii="Times New Roman" w:hAnsi="Times New Roman"/>
          <w:i/>
          <w:iCs/>
          <w:color w:val="000000" w:themeColor="text1"/>
          <w:lang w:val="pt-BR"/>
        </w:rPr>
        <w:t>jus cogens</w:t>
      </w:r>
      <w:r w:rsidRPr="00453B29">
        <w:rPr>
          <w:rFonts w:ascii="Times New Roman" w:hAnsi="Times New Roman"/>
          <w:color w:val="000000" w:themeColor="text1"/>
          <w:lang w:val="pt-BR"/>
        </w:rPr>
        <w:t xml:space="preserve"> regional: elas </w:t>
      </w:r>
      <w:r w:rsidR="00E374BD" w:rsidRPr="00453B29">
        <w:rPr>
          <w:rFonts w:ascii="Times New Roman" w:hAnsi="Times New Roman"/>
          <w:color w:val="000000" w:themeColor="text1"/>
          <w:lang w:val="pt-BR"/>
        </w:rPr>
        <w:t xml:space="preserve">formam-se a partir de </w:t>
      </w:r>
      <w:r w:rsidRPr="00453B29">
        <w:rPr>
          <w:rFonts w:ascii="Times New Roman" w:hAnsi="Times New Roman"/>
          <w:color w:val="000000" w:themeColor="text1"/>
          <w:lang w:val="pt-BR"/>
        </w:rPr>
        <w:t xml:space="preserve">valores compartilhados por todos os Estados partes da Convenção Americana de Direitos Humanos; foram devidamente identificadas pelo órgão judicial e têm particularidades que não correspondem ao consenso geral identificado no projeto do Relator Especial da CDI </w:t>
      </w:r>
      <w:r w:rsidR="00E374BD" w:rsidRPr="00453B29">
        <w:rPr>
          <w:rFonts w:ascii="Times New Roman" w:hAnsi="Times New Roman"/>
          <w:color w:val="000000" w:themeColor="text1"/>
          <w:lang w:val="pt-BR"/>
        </w:rPr>
        <w:t xml:space="preserve">em seu </w:t>
      </w:r>
      <w:r w:rsidRPr="00453B29">
        <w:rPr>
          <w:rFonts w:ascii="Times New Roman" w:hAnsi="Times New Roman"/>
          <w:color w:val="000000" w:themeColor="text1"/>
          <w:lang w:val="pt-BR"/>
        </w:rPr>
        <w:t xml:space="preserve">Quarto Relatório. Mesmo com esta suposição, a jurisprudência relacionada a estas oito regras é reveladora. Nenhum conflito </w:t>
      </w:r>
      <w:r w:rsidR="00E374BD" w:rsidRPr="00453B29">
        <w:rPr>
          <w:rFonts w:ascii="Times New Roman" w:hAnsi="Times New Roman"/>
          <w:color w:val="000000" w:themeColor="text1"/>
          <w:lang w:val="pt-BR"/>
        </w:rPr>
        <w:t xml:space="preserve">é </w:t>
      </w:r>
      <w:r w:rsidR="00F12A13">
        <w:rPr>
          <w:rFonts w:ascii="Times New Roman" w:hAnsi="Times New Roman"/>
          <w:color w:val="000000" w:themeColor="text1"/>
          <w:lang w:val="pt-BR"/>
        </w:rPr>
        <w:t>evidenciado</w:t>
      </w:r>
      <w:r w:rsidRPr="00453B29">
        <w:rPr>
          <w:rFonts w:ascii="Times New Roman" w:hAnsi="Times New Roman"/>
          <w:color w:val="000000" w:themeColor="text1"/>
          <w:lang w:val="pt-BR"/>
        </w:rPr>
        <w:t>. As particularidades regionais parecem detalhar as regras já existentes a nível universal,</w:t>
      </w:r>
      <w:r w:rsidR="00E374BD" w:rsidRPr="00453B29">
        <w:rPr>
          <w:rFonts w:ascii="Times New Roman" w:hAnsi="Times New Roman"/>
          <w:color w:val="000000" w:themeColor="text1"/>
          <w:lang w:val="pt-BR"/>
        </w:rPr>
        <w:t xml:space="preserve"> </w:t>
      </w:r>
      <w:r w:rsidRPr="00453B29">
        <w:rPr>
          <w:rFonts w:ascii="Times New Roman" w:hAnsi="Times New Roman"/>
          <w:color w:val="000000" w:themeColor="text1"/>
          <w:lang w:val="pt-BR"/>
        </w:rPr>
        <w:t xml:space="preserve">à luz das necessidades locais. Dito de outra forma, </w:t>
      </w:r>
      <w:r w:rsidR="00E374BD" w:rsidRPr="00453B29">
        <w:rPr>
          <w:rFonts w:ascii="Times New Roman" w:hAnsi="Times New Roman"/>
          <w:color w:val="000000" w:themeColor="text1"/>
          <w:lang w:val="pt-BR"/>
        </w:rPr>
        <w:t xml:space="preserve">as regras regionais </w:t>
      </w:r>
      <w:r w:rsidRPr="00453B29">
        <w:rPr>
          <w:rFonts w:ascii="Times New Roman" w:hAnsi="Times New Roman"/>
          <w:color w:val="000000" w:themeColor="text1"/>
          <w:lang w:val="pt-BR"/>
        </w:rPr>
        <w:t>não prejudica</w:t>
      </w:r>
      <w:r w:rsidR="00E374BD" w:rsidRPr="00453B29">
        <w:rPr>
          <w:rFonts w:ascii="Times New Roman" w:hAnsi="Times New Roman"/>
          <w:color w:val="000000" w:themeColor="text1"/>
          <w:lang w:val="pt-BR"/>
        </w:rPr>
        <w:t>m</w:t>
      </w:r>
      <w:r w:rsidRPr="00453B29">
        <w:rPr>
          <w:rFonts w:ascii="Times New Roman" w:hAnsi="Times New Roman"/>
          <w:color w:val="000000" w:themeColor="text1"/>
          <w:lang w:val="pt-BR"/>
        </w:rPr>
        <w:t xml:space="preserve"> as regras peremptórias universais; pelo contrário, parece</w:t>
      </w:r>
      <w:r w:rsidR="00E374BD" w:rsidRPr="00453B29">
        <w:rPr>
          <w:rFonts w:ascii="Times New Roman" w:hAnsi="Times New Roman"/>
          <w:color w:val="000000" w:themeColor="text1"/>
          <w:lang w:val="pt-BR"/>
        </w:rPr>
        <w:t xml:space="preserve">m </w:t>
      </w:r>
      <w:r w:rsidRPr="00453B29">
        <w:rPr>
          <w:rFonts w:ascii="Times New Roman" w:hAnsi="Times New Roman"/>
          <w:color w:val="000000" w:themeColor="text1"/>
          <w:lang w:val="pt-BR"/>
        </w:rPr>
        <w:t xml:space="preserve">enriquecê-las. A ausência de aparente conflito revela uma lógica crucial por trás do regionalismo: a liberdade de certos Estados de diferentes regiões para proteger valores específicos e usar a </w:t>
      </w:r>
      <w:r w:rsidR="008D7409" w:rsidRPr="00453B29">
        <w:rPr>
          <w:rFonts w:ascii="Times New Roman" w:hAnsi="Times New Roman"/>
          <w:color w:val="000000" w:themeColor="text1"/>
          <w:lang w:val="pt-BR"/>
        </w:rPr>
        <w:t>peremptoriedade</w:t>
      </w:r>
      <w:r w:rsidRPr="00453B29">
        <w:rPr>
          <w:rFonts w:ascii="Times New Roman" w:hAnsi="Times New Roman"/>
          <w:color w:val="000000" w:themeColor="text1"/>
          <w:lang w:val="pt-BR"/>
        </w:rPr>
        <w:t xml:space="preserve"> como um instrumento de proteção de tais valores. Além disso, a ausência de conflito insinua outra dimensão potencial da categoria jurídica do </w:t>
      </w:r>
      <w:r w:rsidRPr="00453B29">
        <w:rPr>
          <w:rFonts w:ascii="Times New Roman" w:hAnsi="Times New Roman"/>
          <w:i/>
          <w:iCs/>
          <w:color w:val="000000" w:themeColor="text1"/>
          <w:lang w:val="pt-BR"/>
        </w:rPr>
        <w:t xml:space="preserve">jus cogens </w:t>
      </w:r>
      <w:r w:rsidRPr="00453B29">
        <w:rPr>
          <w:rFonts w:ascii="Times New Roman" w:hAnsi="Times New Roman"/>
          <w:color w:val="000000" w:themeColor="text1"/>
          <w:lang w:val="pt-BR"/>
        </w:rPr>
        <w:t>regiona</w:t>
      </w:r>
      <w:r w:rsidR="008D7409" w:rsidRPr="00453B29">
        <w:rPr>
          <w:rFonts w:ascii="Times New Roman" w:hAnsi="Times New Roman"/>
          <w:color w:val="000000" w:themeColor="text1"/>
          <w:lang w:val="pt-BR"/>
        </w:rPr>
        <w:t>l</w:t>
      </w:r>
      <w:r w:rsidRPr="00453B29">
        <w:rPr>
          <w:rFonts w:ascii="Times New Roman" w:hAnsi="Times New Roman"/>
          <w:color w:val="000000" w:themeColor="text1"/>
          <w:lang w:val="pt-BR"/>
        </w:rPr>
        <w:t xml:space="preserve">: o fato de que </w:t>
      </w:r>
      <w:r w:rsidR="00E374BD" w:rsidRPr="00453B29">
        <w:rPr>
          <w:rFonts w:ascii="Times New Roman" w:hAnsi="Times New Roman"/>
          <w:color w:val="000000" w:themeColor="text1"/>
          <w:lang w:val="pt-BR"/>
        </w:rPr>
        <w:t xml:space="preserve">este </w:t>
      </w:r>
      <w:r w:rsidRPr="00453B29">
        <w:rPr>
          <w:rFonts w:ascii="Times New Roman" w:hAnsi="Times New Roman"/>
          <w:color w:val="000000" w:themeColor="text1"/>
          <w:lang w:val="pt-BR"/>
        </w:rPr>
        <w:t>pode constituir uma etapa intermediária para a formação d</w:t>
      </w:r>
      <w:r w:rsidR="00E374BD" w:rsidRPr="00453B29">
        <w:rPr>
          <w:rFonts w:ascii="Times New Roman" w:hAnsi="Times New Roman"/>
          <w:color w:val="000000" w:themeColor="text1"/>
          <w:lang w:val="pt-BR"/>
        </w:rPr>
        <w:t>o</w:t>
      </w:r>
      <w:r w:rsidRPr="00453B29">
        <w:rPr>
          <w:rFonts w:ascii="Times New Roman" w:hAnsi="Times New Roman"/>
          <w:color w:val="000000" w:themeColor="text1"/>
          <w:lang w:val="pt-BR"/>
        </w:rPr>
        <w:t xml:space="preserve"> </w:t>
      </w:r>
      <w:r w:rsidRPr="00453B29">
        <w:rPr>
          <w:rFonts w:ascii="Times New Roman" w:hAnsi="Times New Roman"/>
          <w:i/>
          <w:iCs/>
          <w:color w:val="000000" w:themeColor="text1"/>
          <w:lang w:val="pt-BR"/>
        </w:rPr>
        <w:t>jus cogens</w:t>
      </w:r>
      <w:r w:rsidRPr="00453B29">
        <w:rPr>
          <w:rFonts w:ascii="Times New Roman" w:hAnsi="Times New Roman"/>
          <w:color w:val="000000" w:themeColor="text1"/>
          <w:lang w:val="pt-BR"/>
        </w:rPr>
        <w:t xml:space="preserve"> universa</w:t>
      </w:r>
      <w:r w:rsidR="008D7409" w:rsidRPr="00453B29">
        <w:rPr>
          <w:rFonts w:ascii="Times New Roman" w:hAnsi="Times New Roman"/>
          <w:color w:val="000000" w:themeColor="text1"/>
          <w:lang w:val="pt-BR"/>
        </w:rPr>
        <w:t>l</w:t>
      </w:r>
      <w:r w:rsidRPr="00453B29">
        <w:rPr>
          <w:rFonts w:ascii="Times New Roman" w:hAnsi="Times New Roman"/>
          <w:color w:val="000000" w:themeColor="text1"/>
          <w:lang w:val="pt-BR"/>
        </w:rPr>
        <w:t>.</w:t>
      </w:r>
      <w:r w:rsidR="008D7409" w:rsidRPr="00453B29">
        <w:rPr>
          <w:rStyle w:val="FootnoteReference"/>
          <w:rFonts w:ascii="Times New Roman" w:hAnsi="Times New Roman"/>
          <w:color w:val="000000" w:themeColor="text1"/>
          <w:lang w:val="en-GB"/>
        </w:rPr>
        <w:footnoteReference w:id="48"/>
      </w:r>
    </w:p>
    <w:p w14:paraId="7AFF1B6F" w14:textId="77777777" w:rsidR="009263FD" w:rsidRPr="00517045" w:rsidRDefault="009263FD" w:rsidP="00517045">
      <w:pPr>
        <w:spacing w:line="360" w:lineRule="auto"/>
        <w:jc w:val="both"/>
        <w:rPr>
          <w:color w:val="000000" w:themeColor="text1"/>
          <w:lang w:val="pt-BR"/>
        </w:rPr>
      </w:pPr>
    </w:p>
    <w:p w14:paraId="23907CE1" w14:textId="433F22BF" w:rsidR="006A0104" w:rsidRPr="00517045" w:rsidRDefault="00404AA3" w:rsidP="00517045">
      <w:pPr>
        <w:spacing w:line="360" w:lineRule="auto"/>
        <w:jc w:val="both"/>
        <w:rPr>
          <w:b/>
          <w:bCs/>
          <w:color w:val="000000" w:themeColor="text1"/>
          <w:lang w:val="pt-BR"/>
        </w:rPr>
      </w:pPr>
      <w:r w:rsidRPr="00517045">
        <w:rPr>
          <w:b/>
          <w:bCs/>
          <w:color w:val="000000" w:themeColor="text1"/>
          <w:lang w:val="pt-BR"/>
        </w:rPr>
        <w:t xml:space="preserve">4. </w:t>
      </w:r>
      <w:r w:rsidR="006A0104" w:rsidRPr="00517045">
        <w:rPr>
          <w:b/>
          <w:bCs/>
          <w:color w:val="000000" w:themeColor="text1"/>
          <w:lang w:val="pt-BR"/>
        </w:rPr>
        <w:t xml:space="preserve"> </w:t>
      </w:r>
      <w:r w:rsidR="008D7409" w:rsidRPr="00517045">
        <w:rPr>
          <w:b/>
          <w:bCs/>
          <w:color w:val="000000" w:themeColor="text1"/>
          <w:lang w:val="pt-BR"/>
        </w:rPr>
        <w:t>Conclusão</w:t>
      </w:r>
    </w:p>
    <w:p w14:paraId="448DB25A" w14:textId="0AFFF72C" w:rsidR="008D7409" w:rsidRPr="00517045" w:rsidRDefault="008D7409" w:rsidP="00122D89">
      <w:pPr>
        <w:pStyle w:val="Texto"/>
        <w:rPr>
          <w:rFonts w:ascii="Times New Roman" w:hAnsi="Times New Roman"/>
          <w:i/>
          <w:iCs/>
          <w:color w:val="000000" w:themeColor="text1"/>
          <w:lang w:val="pt-BR"/>
        </w:rPr>
      </w:pPr>
    </w:p>
    <w:p w14:paraId="18BA099C" w14:textId="47CAA893" w:rsidR="008D7409" w:rsidRPr="00517045" w:rsidRDefault="008D740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O debate sobre as regras regionais peremptórias mostra que a ideia de universalidade está profundamente enraizada na própria noção de normas peremptórias, tal como são entendidas pelos Estados e pela CDI. Nos trabalhos recentes da </w:t>
      </w:r>
      <w:r w:rsidR="00E374BD" w:rsidRPr="00517045">
        <w:rPr>
          <w:rFonts w:ascii="Times New Roman" w:hAnsi="Times New Roman"/>
          <w:color w:val="000000" w:themeColor="text1"/>
          <w:lang w:val="pt-BR"/>
        </w:rPr>
        <w:t>Comissão</w:t>
      </w:r>
      <w:r w:rsidRPr="00517045">
        <w:rPr>
          <w:rFonts w:ascii="Times New Roman" w:hAnsi="Times New Roman"/>
          <w:color w:val="000000" w:themeColor="text1"/>
          <w:lang w:val="pt-BR"/>
        </w:rPr>
        <w:t xml:space="preserve">, seguindo a posição radical dos Estados a este respeito, esta ideia tem sido ainda mais acentuada. Estes trabalhos acrescentaram à visão comum que a universalidade é uma característica inerente ao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Isto sugere que mesmo assumindo sua possibilidade lógica, 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w:t>
      </w:r>
      <w:r w:rsidR="00E374BD" w:rsidRPr="00517045">
        <w:rPr>
          <w:rFonts w:ascii="Times New Roman" w:hAnsi="Times New Roman"/>
          <w:color w:val="000000" w:themeColor="text1"/>
          <w:lang w:val="pt-BR"/>
        </w:rPr>
        <w:t>l</w:t>
      </w:r>
      <w:r w:rsidRPr="00517045">
        <w:rPr>
          <w:rFonts w:ascii="Times New Roman" w:hAnsi="Times New Roman"/>
          <w:color w:val="000000" w:themeColor="text1"/>
          <w:lang w:val="pt-BR"/>
        </w:rPr>
        <w:t xml:space="preserve"> talvez se enquadrasse em uma categoria normativa diferente da das normas peremptórias do </w:t>
      </w:r>
      <w:r w:rsidR="00E374BD" w:rsidRPr="00517045">
        <w:rPr>
          <w:rFonts w:ascii="Times New Roman" w:hAnsi="Times New Roman"/>
          <w:color w:val="000000" w:themeColor="text1"/>
          <w:lang w:val="pt-BR"/>
        </w:rPr>
        <w:t>Di</w:t>
      </w:r>
      <w:r w:rsidRPr="00517045">
        <w:rPr>
          <w:rFonts w:ascii="Times New Roman" w:hAnsi="Times New Roman"/>
          <w:color w:val="000000" w:themeColor="text1"/>
          <w:lang w:val="pt-BR"/>
        </w:rPr>
        <w:t xml:space="preserve">reito </w:t>
      </w:r>
      <w:r w:rsidR="00E374BD" w:rsidRPr="00517045">
        <w:rPr>
          <w:rFonts w:ascii="Times New Roman" w:hAnsi="Times New Roman"/>
          <w:color w:val="000000" w:themeColor="text1"/>
          <w:lang w:val="pt-BR"/>
        </w:rPr>
        <w:t>I</w:t>
      </w:r>
      <w:r w:rsidRPr="00517045">
        <w:rPr>
          <w:rFonts w:ascii="Times New Roman" w:hAnsi="Times New Roman"/>
          <w:color w:val="000000" w:themeColor="text1"/>
          <w:lang w:val="pt-BR"/>
        </w:rPr>
        <w:t xml:space="preserve">nternacional e que, na perspectiva da CDI e dos Estados, não deveria ser levada em conta quando se trata de avaliar o conceito de peremptoriedade no direito internacional. Portanto, a história até agora confirma a impressão de que, pelo menos na percepção dos Estados e da CDI, o regionalismo e a peremptoriedade no direito internacional permanecem aparentemente incompatíveis quando se trata da primeira perspectiva regional que analisamos, a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w:t>
      </w:r>
      <w:r w:rsidR="00E374BD" w:rsidRPr="00517045">
        <w:rPr>
          <w:rFonts w:ascii="Times New Roman" w:hAnsi="Times New Roman"/>
          <w:color w:val="000000" w:themeColor="text1"/>
          <w:lang w:val="pt-BR"/>
        </w:rPr>
        <w:t>l.</w:t>
      </w:r>
    </w:p>
    <w:p w14:paraId="19ECCBC2" w14:textId="236615A4" w:rsidR="008D7409" w:rsidRPr="00517045" w:rsidRDefault="008D740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Por outro lado, a análise da segunda perspectiva - a das abordagens regionais do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 coloca em questão </w:t>
      </w:r>
      <w:r w:rsidR="00E374BD" w:rsidRPr="00517045">
        <w:rPr>
          <w:rFonts w:ascii="Times New Roman" w:hAnsi="Times New Roman"/>
          <w:color w:val="000000" w:themeColor="text1"/>
          <w:lang w:val="pt-BR"/>
        </w:rPr>
        <w:t xml:space="preserve">a </w:t>
      </w:r>
      <w:r w:rsidR="00F12A13">
        <w:rPr>
          <w:rFonts w:ascii="Times New Roman" w:hAnsi="Times New Roman"/>
          <w:color w:val="000000" w:themeColor="text1"/>
          <w:lang w:val="pt-BR"/>
        </w:rPr>
        <w:t>“</w:t>
      </w:r>
      <w:r w:rsidRPr="00517045">
        <w:rPr>
          <w:rFonts w:ascii="Times New Roman" w:hAnsi="Times New Roman"/>
          <w:color w:val="000000" w:themeColor="text1"/>
          <w:lang w:val="pt-BR"/>
        </w:rPr>
        <w:t>incompatibilidade de princípios</w:t>
      </w:r>
      <w:r w:rsidR="00F12A13">
        <w:rPr>
          <w:rFonts w:ascii="Times New Roman" w:hAnsi="Times New Roman"/>
          <w:color w:val="000000" w:themeColor="text1"/>
          <w:lang w:val="pt-BR"/>
        </w:rPr>
        <w:t>”</w:t>
      </w:r>
      <w:r w:rsidRPr="00517045">
        <w:rPr>
          <w:rFonts w:ascii="Times New Roman" w:hAnsi="Times New Roman"/>
          <w:color w:val="000000" w:themeColor="text1"/>
          <w:lang w:val="pt-BR"/>
        </w:rPr>
        <w:t xml:space="preserve"> entre peremptoriedade e regionalismo. É verdade que também o sistema interamericano defende uma noção universalista de peremptoriedade a qual, aparentemente, deixa pouco espaço para regras regionais. No entanto, a abordagem da Corte ao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é essencialmente motivada pelas necessidades locais.</w:t>
      </w:r>
    </w:p>
    <w:p w14:paraId="485F65BB" w14:textId="327214A9" w:rsidR="008D7409" w:rsidRPr="00517045" w:rsidRDefault="008D740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O paradoxo é exatamente este: mesmo que o </w:t>
      </w:r>
      <w:r w:rsidRPr="00517045">
        <w:rPr>
          <w:rFonts w:ascii="Times New Roman" w:hAnsi="Times New Roman"/>
          <w:i/>
          <w:iCs/>
          <w:color w:val="000000" w:themeColor="text1"/>
          <w:lang w:val="pt-BR"/>
        </w:rPr>
        <w:t xml:space="preserve">jus cogens </w:t>
      </w:r>
      <w:r w:rsidRPr="00517045">
        <w:rPr>
          <w:rFonts w:ascii="Times New Roman" w:hAnsi="Times New Roman"/>
          <w:color w:val="000000" w:themeColor="text1"/>
          <w:lang w:val="pt-BR"/>
        </w:rPr>
        <w:t xml:space="preserve">regional possa ser logicamente concebível e potencialmente útil, por diferentes razões a Corte parece não ter interesse em desenvolvê-lo. Como </w:t>
      </w:r>
      <w:r w:rsidR="00F12A13">
        <w:rPr>
          <w:rFonts w:ascii="Times New Roman" w:hAnsi="Times New Roman"/>
          <w:color w:val="000000" w:themeColor="text1"/>
          <w:lang w:val="pt-BR"/>
        </w:rPr>
        <w:t>de</w:t>
      </w:r>
      <w:r w:rsidRPr="00517045">
        <w:rPr>
          <w:rFonts w:ascii="Times New Roman" w:hAnsi="Times New Roman"/>
          <w:color w:val="000000" w:themeColor="text1"/>
          <w:lang w:val="pt-BR"/>
        </w:rPr>
        <w:t xml:space="preserve">mostrado, a Corte declara o caráter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de uma série de regras, mas o faz em um contexto específico</w:t>
      </w:r>
      <w:r w:rsidR="00447A06" w:rsidRPr="00517045">
        <w:rPr>
          <w:rFonts w:ascii="Times New Roman" w:hAnsi="Times New Roman"/>
          <w:color w:val="000000" w:themeColor="text1"/>
          <w:lang w:val="pt-BR"/>
        </w:rPr>
        <w:t xml:space="preserve"> e</w:t>
      </w:r>
      <w:r w:rsidRPr="00517045">
        <w:rPr>
          <w:rFonts w:ascii="Times New Roman" w:hAnsi="Times New Roman"/>
          <w:color w:val="000000" w:themeColor="text1"/>
          <w:lang w:val="pt-BR"/>
        </w:rPr>
        <w:t xml:space="preserve"> para propósito</w:t>
      </w:r>
      <w:r w:rsidR="00447A06" w:rsidRPr="00517045">
        <w:rPr>
          <w:rFonts w:ascii="Times New Roman" w:hAnsi="Times New Roman"/>
          <w:color w:val="000000" w:themeColor="text1"/>
          <w:lang w:val="pt-BR"/>
        </w:rPr>
        <w:t>s</w:t>
      </w:r>
      <w:r w:rsidRPr="00517045">
        <w:rPr>
          <w:rFonts w:ascii="Times New Roman" w:hAnsi="Times New Roman"/>
          <w:color w:val="000000" w:themeColor="text1"/>
          <w:lang w:val="pt-BR"/>
        </w:rPr>
        <w:t xml:space="preserve"> específico</w:t>
      </w:r>
      <w:r w:rsidR="00447A06" w:rsidRPr="00517045">
        <w:rPr>
          <w:rFonts w:ascii="Times New Roman" w:hAnsi="Times New Roman"/>
          <w:color w:val="000000" w:themeColor="text1"/>
          <w:lang w:val="pt-BR"/>
        </w:rPr>
        <w:t>s</w:t>
      </w:r>
      <w:r w:rsidRPr="00517045">
        <w:rPr>
          <w:rFonts w:ascii="Times New Roman" w:hAnsi="Times New Roman"/>
          <w:color w:val="000000" w:themeColor="text1"/>
          <w:lang w:val="pt-BR"/>
        </w:rPr>
        <w:t xml:space="preserve">. Talvez esses dois elementos (contexto e propósito) pudessem ser melhor ponderados no momento de identificar se os </w:t>
      </w:r>
      <w:r w:rsidR="00F12A13">
        <w:rPr>
          <w:rFonts w:ascii="Times New Roman" w:hAnsi="Times New Roman"/>
          <w:color w:val="000000" w:themeColor="text1"/>
          <w:lang w:val="pt-BR"/>
        </w:rPr>
        <w:t>“</w:t>
      </w:r>
      <w:r w:rsidRPr="00517045">
        <w:rPr>
          <w:rFonts w:ascii="Times New Roman" w:hAnsi="Times New Roman"/>
          <w:color w:val="000000" w:themeColor="text1"/>
          <w:lang w:val="pt-BR"/>
        </w:rPr>
        <w:t>valores universais e superiores</w:t>
      </w:r>
      <w:r w:rsidR="00F12A13">
        <w:rPr>
          <w:rFonts w:ascii="Times New Roman" w:hAnsi="Times New Roman"/>
          <w:color w:val="000000" w:themeColor="text1"/>
          <w:lang w:val="pt-BR"/>
        </w:rPr>
        <w:t>”</w:t>
      </w:r>
      <w:r w:rsidRPr="00517045">
        <w:rPr>
          <w:rFonts w:ascii="Times New Roman" w:hAnsi="Times New Roman"/>
          <w:color w:val="000000" w:themeColor="text1"/>
          <w:lang w:val="pt-BR"/>
        </w:rPr>
        <w:t xml:space="preserve"> são os da comunidade internacional como um todo ou da comunidade dos Estados americanos.</w:t>
      </w:r>
    </w:p>
    <w:p w14:paraId="1C82BF78" w14:textId="7B4CB687" w:rsidR="008D7409" w:rsidRPr="00517045" w:rsidRDefault="008D7409">
      <w:pPr>
        <w:pStyle w:val="Texto"/>
        <w:rPr>
          <w:rFonts w:ascii="Times New Roman" w:hAnsi="Times New Roman"/>
          <w:color w:val="000000" w:themeColor="text1"/>
          <w:lang w:val="pt-BR"/>
        </w:rPr>
      </w:pPr>
      <w:r w:rsidRPr="00517045">
        <w:rPr>
          <w:rFonts w:ascii="Times New Roman" w:hAnsi="Times New Roman"/>
          <w:color w:val="000000" w:themeColor="text1"/>
          <w:lang w:val="pt-BR"/>
        </w:rPr>
        <w:t xml:space="preserve">O que estas duas perspectivas regionais sobre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w:t>
      </w:r>
      <w:r w:rsidR="00F12A13">
        <w:rPr>
          <w:rFonts w:ascii="Times New Roman" w:hAnsi="Times New Roman"/>
          <w:color w:val="000000" w:themeColor="text1"/>
          <w:lang w:val="pt-BR"/>
        </w:rPr>
        <w:t>revelam,</w:t>
      </w:r>
      <w:r w:rsidRPr="00517045">
        <w:rPr>
          <w:rFonts w:ascii="Times New Roman" w:hAnsi="Times New Roman"/>
          <w:color w:val="000000" w:themeColor="text1"/>
          <w:lang w:val="pt-BR"/>
        </w:rPr>
        <w:t xml:space="preserve"> em última análise, é que, não obstante a desconfiança geral dos Estados e da CDI em relação à ideia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as abordagens regionais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podem colocar em </w:t>
      </w:r>
      <w:r w:rsidR="00447A06" w:rsidRPr="00517045">
        <w:rPr>
          <w:rFonts w:ascii="Times New Roman" w:hAnsi="Times New Roman"/>
          <w:color w:val="000000" w:themeColor="text1"/>
          <w:lang w:val="pt-BR"/>
        </w:rPr>
        <w:t xml:space="preserve">xeque </w:t>
      </w:r>
      <w:r w:rsidRPr="00517045">
        <w:rPr>
          <w:rFonts w:ascii="Times New Roman" w:hAnsi="Times New Roman"/>
          <w:color w:val="000000" w:themeColor="text1"/>
          <w:lang w:val="pt-BR"/>
        </w:rPr>
        <w:t xml:space="preserve">uma compreensão uniforme destas normas e também podem abrir o caminho para compreender adequadamente o significado da ideia de </w:t>
      </w:r>
      <w:r w:rsidRPr="00517045">
        <w:rPr>
          <w:rFonts w:ascii="Times New Roman" w:hAnsi="Times New Roman"/>
          <w:i/>
          <w:iCs/>
          <w:color w:val="000000" w:themeColor="text1"/>
          <w:lang w:val="pt-BR"/>
        </w:rPr>
        <w:t>jus cogens</w:t>
      </w:r>
      <w:r w:rsidRPr="00517045">
        <w:rPr>
          <w:rFonts w:ascii="Times New Roman" w:hAnsi="Times New Roman"/>
          <w:color w:val="000000" w:themeColor="text1"/>
          <w:lang w:val="pt-BR"/>
        </w:rPr>
        <w:t xml:space="preserve"> regional no direito internacional.</w:t>
      </w:r>
    </w:p>
    <w:p w14:paraId="1EEC491A" w14:textId="1E5A90B4" w:rsidR="00404AA3" w:rsidRPr="00517045" w:rsidRDefault="00404AA3">
      <w:pPr>
        <w:pStyle w:val="Texto"/>
        <w:rPr>
          <w:rFonts w:ascii="Times New Roman" w:hAnsi="Times New Roman"/>
          <w:color w:val="000000" w:themeColor="text1"/>
          <w:lang w:val="pt-BR"/>
        </w:rPr>
      </w:pPr>
    </w:p>
    <w:p w14:paraId="18E9784C" w14:textId="77777777" w:rsidR="00404AA3" w:rsidRPr="00517045" w:rsidRDefault="00404AA3" w:rsidP="00206256">
      <w:pPr>
        <w:jc w:val="both"/>
        <w:rPr>
          <w:color w:val="000000" w:themeColor="text1"/>
          <w:sz w:val="20"/>
          <w:szCs w:val="20"/>
          <w:lang w:val="en-US"/>
        </w:rPr>
      </w:pPr>
      <w:r w:rsidRPr="00517045">
        <w:rPr>
          <w:b/>
          <w:bCs/>
          <w:color w:val="000000" w:themeColor="text1"/>
          <w:sz w:val="20"/>
          <w:szCs w:val="20"/>
          <w:lang w:val="en-US"/>
        </w:rPr>
        <w:t xml:space="preserve">Abstract: </w:t>
      </w:r>
      <w:r w:rsidRPr="00517045">
        <w:rPr>
          <w:color w:val="000000" w:themeColor="text1"/>
          <w:sz w:val="20"/>
          <w:szCs w:val="20"/>
          <w:lang w:val="en-US"/>
        </w:rPr>
        <w:t xml:space="preserve">The idea of peremptory norms of international law has pervaded internationalist legal discourse for at least three decades. However, its universalist matrix has fragmented into regional approaches and understandings. In parallel, regional systems have come to recognize specific norms as part of </w:t>
      </w:r>
      <w:r w:rsidRPr="00517045">
        <w:rPr>
          <w:i/>
          <w:iCs/>
          <w:color w:val="000000" w:themeColor="text1"/>
          <w:sz w:val="20"/>
          <w:szCs w:val="20"/>
          <w:lang w:val="en-US"/>
        </w:rPr>
        <w:t xml:space="preserve">jus cogens </w:t>
      </w:r>
      <w:r w:rsidRPr="00517045">
        <w:rPr>
          <w:color w:val="000000" w:themeColor="text1"/>
          <w:sz w:val="20"/>
          <w:szCs w:val="20"/>
          <w:lang w:val="en-US"/>
        </w:rPr>
        <w:t>at the regional level, apparently breaking with the assumption of universality. In this article, the regionalization of j</w:t>
      </w:r>
      <w:r w:rsidRPr="00517045">
        <w:rPr>
          <w:i/>
          <w:iCs/>
          <w:color w:val="000000" w:themeColor="text1"/>
          <w:sz w:val="20"/>
          <w:szCs w:val="20"/>
          <w:lang w:val="en-US"/>
        </w:rPr>
        <w:t>us cogens</w:t>
      </w:r>
      <w:r w:rsidRPr="00517045">
        <w:rPr>
          <w:color w:val="000000" w:themeColor="text1"/>
          <w:sz w:val="20"/>
          <w:szCs w:val="20"/>
          <w:lang w:val="en-US"/>
        </w:rPr>
        <w:t xml:space="preserve"> is investigated from these two perspectives, grounded in the codification practice by the International Law Commission (ILC) and state practice. Its aim is to understand the intertwining between the concept of regionalism and the development of </w:t>
      </w:r>
      <w:r w:rsidRPr="00517045">
        <w:rPr>
          <w:i/>
          <w:iCs/>
          <w:color w:val="000000" w:themeColor="text1"/>
          <w:sz w:val="20"/>
          <w:szCs w:val="20"/>
          <w:lang w:val="en-US"/>
        </w:rPr>
        <w:t xml:space="preserve">jus cogens </w:t>
      </w:r>
      <w:r w:rsidRPr="00517045">
        <w:rPr>
          <w:color w:val="000000" w:themeColor="text1"/>
          <w:sz w:val="20"/>
          <w:szCs w:val="20"/>
          <w:lang w:val="en-US"/>
        </w:rPr>
        <w:t xml:space="preserve">norms as sources of international law. In addition, regional approaches on </w:t>
      </w:r>
      <w:r w:rsidRPr="00517045">
        <w:rPr>
          <w:i/>
          <w:iCs/>
          <w:color w:val="000000" w:themeColor="text1"/>
          <w:sz w:val="20"/>
          <w:szCs w:val="20"/>
          <w:lang w:val="en-US"/>
        </w:rPr>
        <w:t>jus cogens</w:t>
      </w:r>
      <w:r w:rsidRPr="00517045">
        <w:rPr>
          <w:color w:val="000000" w:themeColor="text1"/>
          <w:sz w:val="20"/>
          <w:szCs w:val="20"/>
          <w:lang w:val="en-US"/>
        </w:rPr>
        <w:t xml:space="preserve"> are analyzed by examining the use of peremptoriness by the Inter-American Court of Human Rights (IACtHR), highlighting the court's tendency towards universality and some difficulties presented by the notion of </w:t>
      </w:r>
      <w:r w:rsidRPr="00517045">
        <w:rPr>
          <w:i/>
          <w:iCs/>
          <w:color w:val="000000" w:themeColor="text1"/>
          <w:sz w:val="20"/>
          <w:szCs w:val="20"/>
          <w:lang w:val="en-US"/>
        </w:rPr>
        <w:t>jus cogens</w:t>
      </w:r>
      <w:r w:rsidRPr="00517045">
        <w:rPr>
          <w:color w:val="000000" w:themeColor="text1"/>
          <w:sz w:val="20"/>
          <w:szCs w:val="20"/>
          <w:lang w:val="en-US"/>
        </w:rPr>
        <w:t xml:space="preserve"> in the face of the IACtHR's judicial function. The study proves to be original due to the double conceptualization between regionalism and normative production of peremptory norms: either by the interpretative dialogue between universal </w:t>
      </w:r>
      <w:r w:rsidRPr="00517045">
        <w:rPr>
          <w:i/>
          <w:iCs/>
          <w:color w:val="000000" w:themeColor="text1"/>
          <w:sz w:val="20"/>
          <w:szCs w:val="20"/>
          <w:lang w:val="en-US"/>
        </w:rPr>
        <w:t>jus cogens</w:t>
      </w:r>
      <w:r w:rsidRPr="00517045">
        <w:rPr>
          <w:color w:val="000000" w:themeColor="text1"/>
          <w:sz w:val="20"/>
          <w:szCs w:val="20"/>
          <w:lang w:val="en-US"/>
        </w:rPr>
        <w:t xml:space="preserve"> norms and regional bodies, such as the Inter-American Court; or by the active role in the production of alleged regional peremptory norms of these same bodies. The paper concludes that although the idea of universality is deeply rooted in the very notion of peremptory norms, the interpretation of the idea of peremptoriness is essentially nuanced by local needs - especially in the Inter-American System.</w:t>
      </w:r>
    </w:p>
    <w:p w14:paraId="39DE3AE7" w14:textId="77777777" w:rsidR="00404AA3" w:rsidRPr="00517045" w:rsidRDefault="00404AA3" w:rsidP="00206256">
      <w:pPr>
        <w:jc w:val="both"/>
        <w:rPr>
          <w:color w:val="000000" w:themeColor="text1"/>
          <w:sz w:val="20"/>
          <w:szCs w:val="20"/>
          <w:lang w:val="en-US"/>
        </w:rPr>
      </w:pPr>
    </w:p>
    <w:p w14:paraId="556C3BDC" w14:textId="77777777" w:rsidR="00404AA3" w:rsidRPr="00517045" w:rsidRDefault="00404AA3" w:rsidP="00206256">
      <w:pPr>
        <w:jc w:val="both"/>
        <w:rPr>
          <w:color w:val="000000" w:themeColor="text1"/>
          <w:sz w:val="20"/>
          <w:szCs w:val="20"/>
          <w:lang w:val="en-US"/>
        </w:rPr>
      </w:pPr>
      <w:r w:rsidRPr="00517045">
        <w:rPr>
          <w:b/>
          <w:bCs/>
          <w:color w:val="000000" w:themeColor="text1"/>
          <w:sz w:val="20"/>
          <w:szCs w:val="20"/>
          <w:lang w:val="en-US"/>
        </w:rPr>
        <w:t>Keywords:</w:t>
      </w:r>
      <w:r w:rsidRPr="00517045">
        <w:rPr>
          <w:b/>
          <w:bCs/>
          <w:color w:val="000000" w:themeColor="text1"/>
          <w:sz w:val="28"/>
          <w:szCs w:val="28"/>
          <w:lang w:val="en-US"/>
        </w:rPr>
        <w:t xml:space="preserve"> </w:t>
      </w:r>
      <w:r w:rsidRPr="00517045">
        <w:rPr>
          <w:i/>
          <w:iCs/>
          <w:color w:val="000000" w:themeColor="text1"/>
          <w:sz w:val="20"/>
          <w:szCs w:val="20"/>
          <w:lang w:val="en-US"/>
        </w:rPr>
        <w:t>Jus Cogens</w:t>
      </w:r>
      <w:r w:rsidRPr="00517045">
        <w:rPr>
          <w:color w:val="000000" w:themeColor="text1"/>
          <w:sz w:val="20"/>
          <w:szCs w:val="20"/>
          <w:lang w:val="en-US"/>
        </w:rPr>
        <w:t>; regionalismo; universalism; Inter American Court of Human Rights</w:t>
      </w:r>
    </w:p>
    <w:p w14:paraId="6A794983" w14:textId="77777777" w:rsidR="00404AA3" w:rsidRPr="00517045" w:rsidRDefault="00404AA3" w:rsidP="00206256">
      <w:pPr>
        <w:jc w:val="both"/>
        <w:rPr>
          <w:color w:val="000000" w:themeColor="text1"/>
          <w:sz w:val="20"/>
          <w:szCs w:val="20"/>
          <w:lang w:val="en-US"/>
        </w:rPr>
      </w:pPr>
    </w:p>
    <w:p w14:paraId="7F92CBAD" w14:textId="77777777" w:rsidR="00404AA3" w:rsidRPr="00517045" w:rsidRDefault="00404AA3" w:rsidP="00206256">
      <w:pPr>
        <w:jc w:val="both"/>
        <w:rPr>
          <w:color w:val="000000" w:themeColor="text1"/>
          <w:sz w:val="20"/>
          <w:szCs w:val="20"/>
          <w:lang w:val="en-US"/>
        </w:rPr>
      </w:pPr>
    </w:p>
    <w:p w14:paraId="09CE7943" w14:textId="34606099" w:rsidR="002C2919" w:rsidRPr="00517045" w:rsidRDefault="00404AA3" w:rsidP="00517045">
      <w:pPr>
        <w:jc w:val="both"/>
        <w:rPr>
          <w:color w:val="000000" w:themeColor="text1"/>
          <w:sz w:val="20"/>
          <w:szCs w:val="20"/>
          <w:lang w:val="es-ES"/>
        </w:rPr>
      </w:pPr>
      <w:r w:rsidRPr="00517045">
        <w:rPr>
          <w:b/>
          <w:bCs/>
          <w:color w:val="000000" w:themeColor="text1"/>
          <w:lang w:val="es-ES"/>
        </w:rPr>
        <w:t xml:space="preserve">5. </w:t>
      </w:r>
      <w:r w:rsidR="002C2919" w:rsidRPr="00517045">
        <w:rPr>
          <w:b/>
          <w:bCs/>
          <w:color w:val="000000" w:themeColor="text1"/>
          <w:lang w:val="es-ES"/>
        </w:rPr>
        <w:t>Referências</w:t>
      </w:r>
    </w:p>
    <w:p w14:paraId="717D644E" w14:textId="727E0B94" w:rsidR="008D7409" w:rsidRPr="00517045" w:rsidRDefault="008D7409">
      <w:pPr>
        <w:pStyle w:val="Texto"/>
        <w:rPr>
          <w:rFonts w:ascii="Times New Roman" w:hAnsi="Times New Roman"/>
          <w:color w:val="000000" w:themeColor="text1"/>
          <w:lang w:val="es-ES"/>
        </w:rPr>
      </w:pPr>
    </w:p>
    <w:p w14:paraId="10411970"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es-ES" w:eastAsia="en-US"/>
        </w:rPr>
        <w:t xml:space="preserve">ABELLO-GALVIS, Ricardo. </w:t>
      </w:r>
      <w:r w:rsidRPr="00517045">
        <w:rPr>
          <w:i/>
          <w:iCs/>
          <w:color w:val="353535"/>
          <w:lang w:val="es-ES" w:eastAsia="en-US"/>
        </w:rPr>
        <w:t>La Jerarquía Normativa en la Corte Interamericana de Derechos Humanos: Evolución Jurisprudencial del</w:t>
      </w:r>
      <w:r w:rsidRPr="00517045">
        <w:rPr>
          <w:color w:val="353535"/>
          <w:lang w:val="es-ES" w:eastAsia="en-US"/>
        </w:rPr>
        <w:t xml:space="preserve"> Jus Cogens (1993-2012). </w:t>
      </w:r>
      <w:r w:rsidRPr="00517045">
        <w:rPr>
          <w:color w:val="353535"/>
          <w:lang w:val="pt-BR" w:eastAsia="en-US"/>
        </w:rPr>
        <w:t xml:space="preserve">Revista do Instituto Brasileiro de Direitos Humanos, vol. 12, n. 1, p.357-375, 2012. </w:t>
      </w:r>
    </w:p>
    <w:p w14:paraId="2C799F7A" w14:textId="77777777" w:rsidR="002C2919" w:rsidRPr="00517045" w:rsidRDefault="002C2919" w:rsidP="002C2919">
      <w:pPr>
        <w:suppressAutoHyphens w:val="0"/>
        <w:autoSpaceDE w:val="0"/>
        <w:autoSpaceDN w:val="0"/>
        <w:adjustRightInd w:val="0"/>
        <w:rPr>
          <w:color w:val="353535"/>
          <w:lang w:val="pt-BR" w:eastAsia="en-US"/>
        </w:rPr>
      </w:pPr>
    </w:p>
    <w:p w14:paraId="50E7D13A"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fr-FR" w:eastAsia="en-US"/>
        </w:rPr>
        <w:t xml:space="preserve">ABELLO-GALVIS, Ricardo. </w:t>
      </w:r>
      <w:r w:rsidRPr="00517045">
        <w:rPr>
          <w:i/>
          <w:iCs/>
          <w:color w:val="353535"/>
          <w:lang w:val="fr-FR" w:eastAsia="en-US"/>
        </w:rPr>
        <w:t>La jurisprudence de la Cour Interaméricaine des Droits de l’Homme et le</w:t>
      </w:r>
      <w:r w:rsidRPr="00517045">
        <w:rPr>
          <w:color w:val="353535"/>
          <w:lang w:val="fr-FR" w:eastAsia="en-US"/>
        </w:rPr>
        <w:t xml:space="preserve"> jus cogens (</w:t>
      </w:r>
      <w:r w:rsidRPr="00517045">
        <w:rPr>
          <w:i/>
          <w:iCs/>
          <w:color w:val="353535"/>
          <w:lang w:val="fr-FR" w:eastAsia="en-US"/>
        </w:rPr>
        <w:t>2013-fevrier 2016</w:t>
      </w:r>
      <w:r w:rsidRPr="00517045">
        <w:rPr>
          <w:color w:val="353535"/>
          <w:lang w:val="fr-FR" w:eastAsia="en-US"/>
        </w:rPr>
        <w:t xml:space="preserve">) In CRAWFORD, James et al. </w:t>
      </w:r>
      <w:r w:rsidRPr="00517045">
        <w:rPr>
          <w:color w:val="353535"/>
          <w:lang w:val="en-US" w:eastAsia="en-US"/>
        </w:rPr>
        <w:t xml:space="preserve">(eds) </w:t>
      </w:r>
      <w:r w:rsidRPr="00517045">
        <w:rPr>
          <w:i/>
          <w:iCs/>
          <w:color w:val="353535"/>
          <w:lang w:val="en-US" w:eastAsia="en-US"/>
        </w:rPr>
        <w:t>The International Legal Order: Current Needs and Possible Responses: Essays in Honour of Djamchid Momtaz</w:t>
      </w:r>
      <w:r w:rsidRPr="00517045">
        <w:rPr>
          <w:color w:val="353535"/>
          <w:lang w:val="en-US" w:eastAsia="en-US"/>
        </w:rPr>
        <w:t>. Haia: Brill, 2017.</w:t>
      </w:r>
    </w:p>
    <w:p w14:paraId="685289F7" w14:textId="77777777" w:rsidR="002C2919" w:rsidRPr="00517045" w:rsidRDefault="002C2919" w:rsidP="002C2919">
      <w:pPr>
        <w:suppressAutoHyphens w:val="0"/>
        <w:autoSpaceDE w:val="0"/>
        <w:autoSpaceDN w:val="0"/>
        <w:adjustRightInd w:val="0"/>
        <w:rPr>
          <w:color w:val="353535"/>
          <w:lang w:val="en-US" w:eastAsia="en-US"/>
        </w:rPr>
      </w:pPr>
    </w:p>
    <w:p w14:paraId="4183B826"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en-US" w:eastAsia="en-US"/>
        </w:rPr>
        <w:t xml:space="preserve">BURGORGUE-LARSEN, Laurence. </w:t>
      </w:r>
      <w:r w:rsidRPr="00517045">
        <w:rPr>
          <w:i/>
          <w:iCs/>
          <w:color w:val="353535"/>
          <w:lang w:val="en-US" w:eastAsia="en-US"/>
        </w:rPr>
        <w:t>“Decompartmentalization”: The key technique for interpreting regional human rights treaties</w:t>
      </w:r>
      <w:r w:rsidRPr="00517045">
        <w:rPr>
          <w:color w:val="353535"/>
          <w:lang w:val="en-US" w:eastAsia="en-US"/>
        </w:rPr>
        <w:t xml:space="preserve">. </w:t>
      </w:r>
      <w:r w:rsidRPr="00517045">
        <w:rPr>
          <w:color w:val="353535"/>
          <w:lang w:val="pt-BR" w:eastAsia="en-US"/>
        </w:rPr>
        <w:t>International Journal of Constitutional Law, vol. 16, n. 2,  2018.</w:t>
      </w:r>
    </w:p>
    <w:p w14:paraId="753C6776" w14:textId="77777777" w:rsidR="002C2919" w:rsidRPr="00517045" w:rsidRDefault="002C2919" w:rsidP="002C2919">
      <w:pPr>
        <w:suppressAutoHyphens w:val="0"/>
        <w:autoSpaceDE w:val="0"/>
        <w:autoSpaceDN w:val="0"/>
        <w:adjustRightInd w:val="0"/>
        <w:rPr>
          <w:color w:val="353535"/>
          <w:lang w:val="pt-BR" w:eastAsia="en-US"/>
        </w:rPr>
      </w:pPr>
    </w:p>
    <w:p w14:paraId="295A1C05"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COMISSÃO DE DIREITO INTERNACIONAL. Quarto Relatório sobre normas peremptórias de direito internacional geral (</w:t>
      </w:r>
      <w:r w:rsidRPr="00517045">
        <w:rPr>
          <w:i/>
          <w:iCs/>
          <w:color w:val="353535"/>
          <w:lang w:val="pt-BR" w:eastAsia="en-US"/>
        </w:rPr>
        <w:t>jus cogens</w:t>
      </w:r>
      <w:r w:rsidRPr="00517045">
        <w:rPr>
          <w:color w:val="353535"/>
          <w:lang w:val="pt-BR" w:eastAsia="en-US"/>
        </w:rPr>
        <w:t>) por Dire Tladi, Rapporteur Especial (A/CN.4/727).</w:t>
      </w:r>
    </w:p>
    <w:p w14:paraId="00F1B2ED" w14:textId="77777777" w:rsidR="002C2919" w:rsidRPr="00517045" w:rsidRDefault="002C2919" w:rsidP="002C2919">
      <w:pPr>
        <w:suppressAutoHyphens w:val="0"/>
        <w:autoSpaceDE w:val="0"/>
        <w:autoSpaceDN w:val="0"/>
        <w:adjustRightInd w:val="0"/>
        <w:rPr>
          <w:color w:val="353535"/>
          <w:lang w:val="pt-BR" w:eastAsia="en-US"/>
        </w:rPr>
      </w:pPr>
    </w:p>
    <w:p w14:paraId="5369F009"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 xml:space="preserve">COMISSÃO INTERAMERICANA DE DIREITOS HUMANOS. Caso </w:t>
      </w:r>
      <w:r w:rsidRPr="00517045">
        <w:rPr>
          <w:i/>
          <w:iCs/>
          <w:color w:val="353535"/>
          <w:lang w:val="pt-BR" w:eastAsia="en-US"/>
        </w:rPr>
        <w:t>Roach and Pinkerton v. United States</w:t>
      </w:r>
      <w:r w:rsidRPr="00517045">
        <w:rPr>
          <w:color w:val="353535"/>
          <w:lang w:val="pt-BR" w:eastAsia="en-US"/>
        </w:rPr>
        <w:t xml:space="preserve">, No. 9647, resolução No. 3/87, 22 de setembro de 1987. </w:t>
      </w:r>
    </w:p>
    <w:p w14:paraId="222A5D1E" w14:textId="77777777" w:rsidR="002C2919" w:rsidRPr="00517045" w:rsidRDefault="002C2919" w:rsidP="002C2919">
      <w:pPr>
        <w:suppressAutoHyphens w:val="0"/>
        <w:autoSpaceDE w:val="0"/>
        <w:autoSpaceDN w:val="0"/>
        <w:adjustRightInd w:val="0"/>
        <w:rPr>
          <w:color w:val="353535"/>
          <w:lang w:val="pt-BR" w:eastAsia="en-US"/>
        </w:rPr>
      </w:pPr>
    </w:p>
    <w:p w14:paraId="4E4310A7"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CONTESSE, Jorge. </w:t>
      </w:r>
      <w:r w:rsidRPr="00517045">
        <w:rPr>
          <w:i/>
          <w:iCs/>
          <w:color w:val="353535"/>
          <w:lang w:val="en-US" w:eastAsia="en-US"/>
        </w:rPr>
        <w:t>Resisting the Inter-American Human Rights System</w:t>
      </w:r>
      <w:r w:rsidRPr="00517045">
        <w:rPr>
          <w:color w:val="353535"/>
          <w:lang w:val="en-US" w:eastAsia="en-US"/>
        </w:rPr>
        <w:t>. Yale Journal of International Law, vol. 44, n. 1, 2019.</w:t>
      </w:r>
    </w:p>
    <w:p w14:paraId="7DE2BED1" w14:textId="77777777" w:rsidR="002C2919" w:rsidRPr="00517045" w:rsidRDefault="002C2919" w:rsidP="002C2919">
      <w:pPr>
        <w:suppressAutoHyphens w:val="0"/>
        <w:autoSpaceDE w:val="0"/>
        <w:autoSpaceDN w:val="0"/>
        <w:adjustRightInd w:val="0"/>
        <w:rPr>
          <w:color w:val="353535"/>
          <w:lang w:val="en-US" w:eastAsia="en-US"/>
        </w:rPr>
      </w:pPr>
    </w:p>
    <w:p w14:paraId="7EBF4432" w14:textId="77777777" w:rsidR="002C2919" w:rsidRPr="00517045" w:rsidRDefault="002C2919" w:rsidP="002C2919">
      <w:pPr>
        <w:suppressAutoHyphens w:val="0"/>
        <w:autoSpaceDE w:val="0"/>
        <w:autoSpaceDN w:val="0"/>
        <w:adjustRightInd w:val="0"/>
        <w:jc w:val="both"/>
        <w:rPr>
          <w:color w:val="353535"/>
          <w:lang w:val="en-US" w:eastAsia="en-US"/>
        </w:rPr>
      </w:pPr>
      <w:r w:rsidRPr="00517045">
        <w:rPr>
          <w:color w:val="353535"/>
          <w:lang w:val="en-US" w:eastAsia="en-US"/>
        </w:rPr>
        <w:t xml:space="preserve">COSTELLOE, Daniel. </w:t>
      </w:r>
      <w:r w:rsidRPr="00517045">
        <w:rPr>
          <w:i/>
          <w:iCs/>
          <w:color w:val="353535"/>
          <w:lang w:val="en-US" w:eastAsia="en-US"/>
        </w:rPr>
        <w:t>Legal Consequences of Peremptory Norms in International Law</w:t>
      </w:r>
      <w:r w:rsidRPr="00517045">
        <w:rPr>
          <w:color w:val="353535"/>
          <w:lang w:val="en-US" w:eastAsia="en-US"/>
        </w:rPr>
        <w:t>. New York: Cambridge University Press, 2017.</w:t>
      </w:r>
    </w:p>
    <w:p w14:paraId="0AA81E24" w14:textId="77777777" w:rsidR="002C2919" w:rsidRPr="00517045" w:rsidRDefault="002C2919" w:rsidP="002C2919">
      <w:pPr>
        <w:suppressAutoHyphens w:val="0"/>
        <w:autoSpaceDE w:val="0"/>
        <w:autoSpaceDN w:val="0"/>
        <w:adjustRightInd w:val="0"/>
        <w:jc w:val="both"/>
        <w:rPr>
          <w:color w:val="353535"/>
          <w:lang w:val="en-US" w:eastAsia="en-US"/>
        </w:rPr>
      </w:pPr>
    </w:p>
    <w:p w14:paraId="6E98F4D0" w14:textId="77777777" w:rsidR="002C2919" w:rsidRPr="00517045" w:rsidRDefault="002C2919" w:rsidP="002C2919">
      <w:pPr>
        <w:suppressAutoHyphens w:val="0"/>
        <w:autoSpaceDE w:val="0"/>
        <w:autoSpaceDN w:val="0"/>
        <w:adjustRightInd w:val="0"/>
        <w:jc w:val="both"/>
        <w:rPr>
          <w:color w:val="353535"/>
          <w:lang w:val="pt-BR" w:eastAsia="en-US"/>
        </w:rPr>
      </w:pPr>
      <w:r w:rsidRPr="00517045">
        <w:rPr>
          <w:color w:val="353535"/>
          <w:lang w:val="en-US" w:eastAsia="en-US"/>
        </w:rPr>
        <w:t xml:space="preserve">CRAWFORD, James. Universalism and Regionalism from the Perspective of the Work of the International Law Commission </w:t>
      </w:r>
      <w:proofErr w:type="gramStart"/>
      <w:r w:rsidRPr="00517045">
        <w:rPr>
          <w:color w:val="353535"/>
          <w:lang w:val="en-US" w:eastAsia="en-US"/>
        </w:rPr>
        <w:t>In</w:t>
      </w:r>
      <w:proofErr w:type="gramEnd"/>
      <w:r w:rsidRPr="00517045">
        <w:rPr>
          <w:color w:val="353535"/>
          <w:lang w:val="en-US" w:eastAsia="en-US"/>
        </w:rPr>
        <w:t xml:space="preserve"> UNITED NATIONS (org.) International Law on the Eve of the Twenty-first Century. </w:t>
      </w:r>
      <w:r w:rsidRPr="00517045">
        <w:rPr>
          <w:color w:val="353535"/>
          <w:lang w:val="pt-BR" w:eastAsia="en-US"/>
        </w:rPr>
        <w:t>Views from the International Law Commission. Nova York, 1997.</w:t>
      </w:r>
    </w:p>
    <w:p w14:paraId="7CF4B011" w14:textId="77777777" w:rsidR="002C2919" w:rsidRPr="00517045" w:rsidRDefault="002C2919" w:rsidP="002C2919">
      <w:pPr>
        <w:suppressAutoHyphens w:val="0"/>
        <w:autoSpaceDE w:val="0"/>
        <w:autoSpaceDN w:val="0"/>
        <w:adjustRightInd w:val="0"/>
        <w:rPr>
          <w:color w:val="353535"/>
          <w:lang w:val="pt-BR" w:eastAsia="en-US"/>
        </w:rPr>
      </w:pPr>
    </w:p>
    <w:p w14:paraId="52137A94"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 xml:space="preserve">CtIDH. Caso </w:t>
      </w:r>
      <w:r w:rsidRPr="00517045">
        <w:rPr>
          <w:i/>
          <w:iCs/>
          <w:color w:val="353535"/>
          <w:lang w:val="pt-BR" w:eastAsia="en-US"/>
        </w:rPr>
        <w:t>Aloeboetoe et al. v. Suriname</w:t>
      </w:r>
      <w:r w:rsidRPr="00517045">
        <w:rPr>
          <w:color w:val="353535"/>
          <w:lang w:val="pt-BR" w:eastAsia="en-US"/>
        </w:rPr>
        <w:t>, Reparações e Custas, Decisão de 10 de setembro de 1993, IACtHR Série C No. 15.</w:t>
      </w:r>
    </w:p>
    <w:p w14:paraId="50526A17" w14:textId="77777777" w:rsidR="002C2919" w:rsidRPr="00517045" w:rsidRDefault="002C2919" w:rsidP="002C2919">
      <w:pPr>
        <w:suppressAutoHyphens w:val="0"/>
        <w:autoSpaceDE w:val="0"/>
        <w:autoSpaceDN w:val="0"/>
        <w:adjustRightInd w:val="0"/>
        <w:rPr>
          <w:color w:val="353535"/>
          <w:lang w:val="pt-BR" w:eastAsia="en-US"/>
        </w:rPr>
      </w:pPr>
    </w:p>
    <w:p w14:paraId="04BCC488"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 xml:space="preserve">CtIDH. Caso </w:t>
      </w:r>
      <w:r w:rsidRPr="00517045">
        <w:rPr>
          <w:i/>
          <w:iCs/>
          <w:color w:val="353535"/>
          <w:lang w:val="pt-BR" w:eastAsia="en-US"/>
        </w:rPr>
        <w:t>Yatama v. Nicaragua</w:t>
      </w:r>
      <w:r w:rsidRPr="00517045">
        <w:rPr>
          <w:color w:val="353535"/>
          <w:lang w:val="pt-BR" w:eastAsia="en-US"/>
        </w:rPr>
        <w:t>, Objeções preliminares, Mérito, Reparações e Custas, decisão de 23 de junho de 2005, IACtHR Série C No. 127.</w:t>
      </w:r>
    </w:p>
    <w:p w14:paraId="58CC5685" w14:textId="77777777" w:rsidR="002C2919" w:rsidRPr="00517045" w:rsidRDefault="002C2919" w:rsidP="002C2919">
      <w:pPr>
        <w:suppressAutoHyphens w:val="0"/>
        <w:autoSpaceDE w:val="0"/>
        <w:autoSpaceDN w:val="0"/>
        <w:adjustRightInd w:val="0"/>
        <w:rPr>
          <w:color w:val="353535"/>
          <w:lang w:val="pt-BR" w:eastAsia="en-US"/>
        </w:rPr>
      </w:pPr>
    </w:p>
    <w:p w14:paraId="3220003D"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 xml:space="preserve">CtIDH. Caso </w:t>
      </w:r>
      <w:r w:rsidRPr="00517045">
        <w:rPr>
          <w:i/>
          <w:iCs/>
          <w:color w:val="353535"/>
          <w:lang w:val="pt-BR" w:eastAsia="en-US"/>
        </w:rPr>
        <w:t>Almonacid Arellano et al. v. Chile</w:t>
      </w:r>
      <w:r w:rsidRPr="00517045">
        <w:rPr>
          <w:color w:val="353535"/>
          <w:lang w:val="pt-BR" w:eastAsia="en-US"/>
        </w:rPr>
        <w:t>, Objeções preliminares, Mérito, Reparações e Custas, decisão e 26 de setembro de 2006, Série C No. 154.</w:t>
      </w:r>
    </w:p>
    <w:p w14:paraId="10B5E86C" w14:textId="77777777" w:rsidR="002C2919" w:rsidRPr="00517045" w:rsidRDefault="002C2919" w:rsidP="002C2919">
      <w:pPr>
        <w:suppressAutoHyphens w:val="0"/>
        <w:autoSpaceDE w:val="0"/>
        <w:autoSpaceDN w:val="0"/>
        <w:adjustRightInd w:val="0"/>
        <w:rPr>
          <w:color w:val="353535"/>
          <w:lang w:val="pt-BR" w:eastAsia="en-US"/>
        </w:rPr>
      </w:pPr>
    </w:p>
    <w:p w14:paraId="2DA23CEB" w14:textId="77777777" w:rsidR="002C2919" w:rsidRPr="00517045" w:rsidRDefault="002C2919" w:rsidP="002C2919">
      <w:pPr>
        <w:suppressAutoHyphens w:val="0"/>
        <w:autoSpaceDE w:val="0"/>
        <w:autoSpaceDN w:val="0"/>
        <w:adjustRightInd w:val="0"/>
        <w:rPr>
          <w:color w:val="353535"/>
          <w:lang w:val="pt-BR" w:eastAsia="en-US"/>
        </w:rPr>
      </w:pPr>
      <w:r w:rsidRPr="00517045">
        <w:rPr>
          <w:i/>
          <w:iCs/>
          <w:color w:val="353535"/>
          <w:lang w:val="pt-BR" w:eastAsia="en-US"/>
        </w:rPr>
        <w:t>CtIDH. Osorio Rivera and family members v. Peru</w:t>
      </w:r>
      <w:r w:rsidRPr="00517045">
        <w:rPr>
          <w:color w:val="353535"/>
          <w:lang w:val="pt-BR" w:eastAsia="en-US"/>
        </w:rPr>
        <w:t>, Objeções preliminares, Mérito, Reparações e Custas, decisão de 26 de novembro de 2013, IACHR, Série C No. 274.</w:t>
      </w:r>
    </w:p>
    <w:p w14:paraId="4407DA5D" w14:textId="77777777" w:rsidR="002C2919" w:rsidRPr="00517045" w:rsidRDefault="002C2919" w:rsidP="002C2919">
      <w:pPr>
        <w:suppressAutoHyphens w:val="0"/>
        <w:autoSpaceDE w:val="0"/>
        <w:autoSpaceDN w:val="0"/>
        <w:adjustRightInd w:val="0"/>
        <w:rPr>
          <w:color w:val="353535"/>
          <w:lang w:val="pt-BR" w:eastAsia="en-US"/>
        </w:rPr>
      </w:pPr>
    </w:p>
    <w:p w14:paraId="7C50F733"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CtIDH. Opinião Consultiva </w:t>
      </w:r>
      <w:r w:rsidRPr="00517045">
        <w:rPr>
          <w:i/>
          <w:iCs/>
          <w:color w:val="353535"/>
          <w:lang w:val="en-US" w:eastAsia="en-US"/>
        </w:rPr>
        <w:t xml:space="preserve">Rights and guarantees of children in the context of migration and/or in need of international protection, </w:t>
      </w:r>
      <w:r w:rsidRPr="00517045">
        <w:rPr>
          <w:color w:val="353535"/>
          <w:lang w:val="en-US" w:eastAsia="en-US"/>
        </w:rPr>
        <w:t>OC-21, 19 de Agosto de 2014, IACtHR Series A No.21.</w:t>
      </w:r>
    </w:p>
    <w:p w14:paraId="4928626D" w14:textId="77777777" w:rsidR="002C2919" w:rsidRPr="00517045" w:rsidRDefault="002C2919" w:rsidP="002C2919">
      <w:pPr>
        <w:suppressAutoHyphens w:val="0"/>
        <w:autoSpaceDE w:val="0"/>
        <w:autoSpaceDN w:val="0"/>
        <w:adjustRightInd w:val="0"/>
        <w:rPr>
          <w:color w:val="353535"/>
          <w:lang w:val="en-US" w:eastAsia="en-US"/>
        </w:rPr>
      </w:pPr>
    </w:p>
    <w:p w14:paraId="2D54D607"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pt-BR" w:eastAsia="en-US"/>
        </w:rPr>
        <w:t xml:space="preserve">CtIDH. Caso </w:t>
      </w:r>
      <w:r w:rsidRPr="00517045">
        <w:rPr>
          <w:i/>
          <w:iCs/>
          <w:color w:val="353535"/>
          <w:lang w:val="pt-BR" w:eastAsia="en-US"/>
        </w:rPr>
        <w:t>Herzog et al. v. Brazil</w:t>
      </w:r>
      <w:r w:rsidRPr="00517045">
        <w:rPr>
          <w:color w:val="353535"/>
          <w:lang w:val="pt-BR" w:eastAsia="en-US"/>
        </w:rPr>
        <w:t>, Objeções preliminares, Mérito, Reparações e Custas, decisão de 15 de março de 2018, Série C No. 353.</w:t>
      </w:r>
    </w:p>
    <w:p w14:paraId="2AA389A2" w14:textId="77777777" w:rsidR="002C2919" w:rsidRPr="00517045" w:rsidRDefault="002C2919" w:rsidP="002C2919">
      <w:pPr>
        <w:suppressAutoHyphens w:val="0"/>
        <w:autoSpaceDE w:val="0"/>
        <w:autoSpaceDN w:val="0"/>
        <w:adjustRightInd w:val="0"/>
        <w:rPr>
          <w:color w:val="353535"/>
          <w:lang w:val="pt-BR" w:eastAsia="en-US"/>
        </w:rPr>
      </w:pPr>
    </w:p>
    <w:p w14:paraId="5EE3E371" w14:textId="77777777" w:rsidR="002C2919" w:rsidRPr="00517045" w:rsidRDefault="002C2919" w:rsidP="002C2919">
      <w:pPr>
        <w:suppressAutoHyphens w:val="0"/>
        <w:autoSpaceDE w:val="0"/>
        <w:autoSpaceDN w:val="0"/>
        <w:adjustRightInd w:val="0"/>
        <w:jc w:val="both"/>
        <w:rPr>
          <w:color w:val="353535"/>
          <w:lang w:val="en-US" w:eastAsia="en-US"/>
        </w:rPr>
      </w:pPr>
      <w:r w:rsidRPr="00517045">
        <w:rPr>
          <w:color w:val="353535"/>
          <w:lang w:val="en-US" w:eastAsia="en-US"/>
        </w:rPr>
        <w:t xml:space="preserve">CtIDH. Opinião Consultiva </w:t>
      </w:r>
      <w:proofErr w:type="gramStart"/>
      <w:r w:rsidRPr="00517045">
        <w:rPr>
          <w:i/>
          <w:iCs/>
          <w:color w:val="353535"/>
          <w:lang w:val="en-US" w:eastAsia="en-US"/>
        </w:rPr>
        <w:t>The</w:t>
      </w:r>
      <w:proofErr w:type="gramEnd"/>
      <w:r w:rsidRPr="00517045">
        <w:rPr>
          <w:i/>
          <w:iCs/>
          <w:color w:val="353535"/>
          <w:lang w:val="en-US" w:eastAsia="en-US"/>
        </w:rPr>
        <w:t xml:space="preserve"> institution of asylum, and its recognition as a human right under the Inter-American System of Protection</w:t>
      </w:r>
      <w:r w:rsidRPr="00517045">
        <w:rPr>
          <w:color w:val="353535"/>
          <w:lang w:val="en-US" w:eastAsia="en-US"/>
        </w:rPr>
        <w:t>, OC-25/18 of 30 de maio de 2018, IACtHR Series A No. 25 [OC-25/18].</w:t>
      </w:r>
    </w:p>
    <w:p w14:paraId="67994CDA" w14:textId="77777777" w:rsidR="002C2919" w:rsidRPr="00517045" w:rsidRDefault="002C2919" w:rsidP="002C2919">
      <w:pPr>
        <w:suppressAutoHyphens w:val="0"/>
        <w:autoSpaceDE w:val="0"/>
        <w:autoSpaceDN w:val="0"/>
        <w:adjustRightInd w:val="0"/>
        <w:rPr>
          <w:color w:val="353535"/>
          <w:lang w:val="en-US" w:eastAsia="en-US"/>
        </w:rPr>
      </w:pPr>
    </w:p>
    <w:p w14:paraId="7F262920"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CtIDH. Opinião Consultiva </w:t>
      </w:r>
      <w:r w:rsidRPr="00517045">
        <w:rPr>
          <w:i/>
          <w:iCs/>
          <w:color w:val="353535"/>
          <w:lang w:val="en-US" w:eastAsia="en-US"/>
        </w:rPr>
        <w:t xml:space="preserve">The Obligations in Matters of Human Rights of a State that has Denounced the American Convention on Human Rights and the Charter of the Organization of American States, </w:t>
      </w:r>
      <w:r w:rsidRPr="00517045">
        <w:rPr>
          <w:color w:val="353535"/>
          <w:lang w:val="en-US" w:eastAsia="en-US"/>
        </w:rPr>
        <w:t xml:space="preserve">OC-26, 9 de novembro de 2020, IACtHR Série </w:t>
      </w:r>
      <w:proofErr w:type="gramStart"/>
      <w:r w:rsidRPr="00517045">
        <w:rPr>
          <w:color w:val="353535"/>
          <w:lang w:val="en-US" w:eastAsia="en-US"/>
        </w:rPr>
        <w:t>A</w:t>
      </w:r>
      <w:proofErr w:type="gramEnd"/>
      <w:r w:rsidRPr="00517045">
        <w:rPr>
          <w:color w:val="353535"/>
          <w:lang w:val="en-US" w:eastAsia="en-US"/>
        </w:rPr>
        <w:t xml:space="preserve"> No.21.</w:t>
      </w:r>
    </w:p>
    <w:p w14:paraId="760499F9" w14:textId="77777777" w:rsidR="002C2919" w:rsidRPr="00517045" w:rsidRDefault="002C2919" w:rsidP="002C2919">
      <w:pPr>
        <w:suppressAutoHyphens w:val="0"/>
        <w:autoSpaceDE w:val="0"/>
        <w:autoSpaceDN w:val="0"/>
        <w:adjustRightInd w:val="0"/>
        <w:rPr>
          <w:color w:val="353535"/>
          <w:lang w:val="en-US" w:eastAsia="en-US"/>
        </w:rPr>
      </w:pPr>
    </w:p>
    <w:p w14:paraId="2993CE49" w14:textId="77777777" w:rsidR="002C2919" w:rsidRPr="00517045" w:rsidRDefault="002C2919" w:rsidP="002C2919">
      <w:pPr>
        <w:suppressAutoHyphens w:val="0"/>
        <w:autoSpaceDE w:val="0"/>
        <w:autoSpaceDN w:val="0"/>
        <w:adjustRightInd w:val="0"/>
        <w:jc w:val="both"/>
        <w:rPr>
          <w:color w:val="353535"/>
          <w:lang w:val="pt-BR" w:eastAsia="en-US"/>
        </w:rPr>
      </w:pPr>
      <w:r w:rsidRPr="00517045">
        <w:rPr>
          <w:color w:val="353535"/>
          <w:lang w:val="en-US" w:eastAsia="en-US"/>
        </w:rPr>
        <w:t xml:space="preserve">DE WET, Erika. </w:t>
      </w:r>
      <w:r w:rsidRPr="00517045">
        <w:rPr>
          <w:i/>
          <w:iCs/>
          <w:color w:val="353535"/>
          <w:lang w:val="en-US" w:eastAsia="en-US"/>
        </w:rPr>
        <w:t>Entrenching international values through positive law: The (limited) effect of peremptory norms</w:t>
      </w:r>
      <w:r w:rsidRPr="00517045">
        <w:rPr>
          <w:color w:val="353535"/>
          <w:lang w:val="en-US" w:eastAsia="en-US"/>
        </w:rPr>
        <w:t xml:space="preserve">. </w:t>
      </w:r>
      <w:r w:rsidRPr="00517045">
        <w:rPr>
          <w:color w:val="353535"/>
          <w:lang w:val="pt-BR" w:eastAsia="en-US"/>
        </w:rPr>
        <w:t>KFG Working Paper No. 25, 2019.</w:t>
      </w:r>
    </w:p>
    <w:p w14:paraId="265D7E7E" w14:textId="77777777" w:rsidR="002C2919" w:rsidRPr="00517045" w:rsidRDefault="002C2919" w:rsidP="002C2919">
      <w:pPr>
        <w:suppressAutoHyphens w:val="0"/>
        <w:autoSpaceDE w:val="0"/>
        <w:autoSpaceDN w:val="0"/>
        <w:adjustRightInd w:val="0"/>
        <w:rPr>
          <w:color w:val="353535"/>
          <w:lang w:val="pt-BR" w:eastAsia="en-US"/>
        </w:rPr>
      </w:pPr>
    </w:p>
    <w:p w14:paraId="6BCA758C" w14:textId="77777777" w:rsidR="002C2919" w:rsidRPr="00517045" w:rsidRDefault="002C2919" w:rsidP="002C2919">
      <w:pPr>
        <w:suppressAutoHyphens w:val="0"/>
        <w:autoSpaceDE w:val="0"/>
        <w:autoSpaceDN w:val="0"/>
        <w:adjustRightInd w:val="0"/>
        <w:jc w:val="both"/>
        <w:rPr>
          <w:color w:val="353535"/>
          <w:lang w:eastAsia="en-US"/>
        </w:rPr>
      </w:pPr>
      <w:r w:rsidRPr="00517045">
        <w:rPr>
          <w:color w:val="353535"/>
          <w:lang w:val="pt-BR" w:eastAsia="en-US"/>
        </w:rPr>
        <w:t xml:space="preserve">DUARTE, Mônica; LIMA, Fernanda da Silva. O princípio da igualdade e não discriminação como norma </w:t>
      </w:r>
      <w:r w:rsidRPr="00517045">
        <w:rPr>
          <w:i/>
          <w:iCs/>
          <w:color w:val="353535"/>
          <w:lang w:val="pt-BR" w:eastAsia="en-US"/>
        </w:rPr>
        <w:t>jus cogens</w:t>
      </w:r>
      <w:r w:rsidRPr="00517045">
        <w:rPr>
          <w:color w:val="353535"/>
          <w:lang w:val="pt-BR" w:eastAsia="en-US"/>
        </w:rPr>
        <w:t xml:space="preserve"> na Corte Interamericana de Direitos Humanos. </w:t>
      </w:r>
      <w:r w:rsidRPr="00517045">
        <w:rPr>
          <w:color w:val="353535"/>
          <w:lang w:eastAsia="en-US"/>
        </w:rPr>
        <w:t xml:space="preserve">Caderno de Relações Internacionais, vol. 8, n. 15, p. 151-180, 2017. </w:t>
      </w:r>
    </w:p>
    <w:p w14:paraId="510C6A87" w14:textId="77777777" w:rsidR="002C2919" w:rsidRPr="00517045" w:rsidRDefault="002C2919" w:rsidP="002C2919">
      <w:pPr>
        <w:suppressAutoHyphens w:val="0"/>
        <w:autoSpaceDE w:val="0"/>
        <w:autoSpaceDN w:val="0"/>
        <w:adjustRightInd w:val="0"/>
        <w:jc w:val="both"/>
        <w:rPr>
          <w:color w:val="353535"/>
          <w:lang w:eastAsia="en-US"/>
        </w:rPr>
      </w:pPr>
    </w:p>
    <w:p w14:paraId="645FA1D2" w14:textId="77777777" w:rsidR="002C2919" w:rsidRPr="00517045" w:rsidRDefault="002C2919" w:rsidP="002C2919">
      <w:pPr>
        <w:suppressAutoHyphens w:val="0"/>
        <w:autoSpaceDE w:val="0"/>
        <w:autoSpaceDN w:val="0"/>
        <w:adjustRightInd w:val="0"/>
        <w:rPr>
          <w:color w:val="353535"/>
          <w:lang w:eastAsia="en-US"/>
        </w:rPr>
      </w:pPr>
      <w:r w:rsidRPr="00517045">
        <w:rPr>
          <w:color w:val="353535"/>
          <w:lang w:eastAsia="en-US"/>
        </w:rPr>
        <w:t xml:space="preserve">FOIS, Paolo. </w:t>
      </w:r>
      <w:r w:rsidRPr="00517045">
        <w:rPr>
          <w:i/>
          <w:iCs/>
          <w:color w:val="353535"/>
          <w:lang w:eastAsia="en-US"/>
        </w:rPr>
        <w:t xml:space="preserve">Sui caratteri dello </w:t>
      </w:r>
      <w:r w:rsidRPr="00517045">
        <w:rPr>
          <w:color w:val="353535"/>
          <w:lang w:eastAsia="en-US"/>
        </w:rPr>
        <w:t xml:space="preserve">jus cogens </w:t>
      </w:r>
      <w:r w:rsidRPr="00517045">
        <w:rPr>
          <w:i/>
          <w:iCs/>
          <w:color w:val="353535"/>
          <w:lang w:eastAsia="en-US"/>
        </w:rPr>
        <w:t>regionale nel diritto dell’Unione europea</w:t>
      </w:r>
      <w:r w:rsidRPr="00517045">
        <w:rPr>
          <w:color w:val="353535"/>
          <w:lang w:eastAsia="en-US"/>
        </w:rPr>
        <w:t xml:space="preserve">, Rivista di diritto Internazionale, vol. 3, 2020. </w:t>
      </w:r>
    </w:p>
    <w:p w14:paraId="43CFDAE4" w14:textId="77777777" w:rsidR="002C2919" w:rsidRPr="00517045" w:rsidRDefault="002C2919" w:rsidP="002C2919">
      <w:pPr>
        <w:suppressAutoHyphens w:val="0"/>
        <w:autoSpaceDE w:val="0"/>
        <w:autoSpaceDN w:val="0"/>
        <w:adjustRightInd w:val="0"/>
        <w:rPr>
          <w:color w:val="353535"/>
          <w:lang w:eastAsia="en-US"/>
        </w:rPr>
      </w:pPr>
    </w:p>
    <w:p w14:paraId="180D425C"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en-US" w:eastAsia="en-US"/>
        </w:rPr>
        <w:t xml:space="preserve">GAJA, Giorgio. Jus Cogens </w:t>
      </w:r>
      <w:r w:rsidRPr="00517045">
        <w:rPr>
          <w:i/>
          <w:iCs/>
          <w:color w:val="353535"/>
          <w:lang w:val="en-US" w:eastAsia="en-US"/>
        </w:rPr>
        <w:t>Beyond the Vienna Convention</w:t>
      </w:r>
      <w:r w:rsidRPr="00517045">
        <w:rPr>
          <w:color w:val="353535"/>
          <w:lang w:val="en-US" w:eastAsia="en-US"/>
        </w:rPr>
        <w:t xml:space="preserve">. </w:t>
      </w:r>
      <w:r w:rsidRPr="00517045">
        <w:rPr>
          <w:color w:val="353535"/>
          <w:lang w:val="pt-BR" w:eastAsia="en-US"/>
        </w:rPr>
        <w:t>Haia : Recueil des Cours,1981.</w:t>
      </w:r>
    </w:p>
    <w:p w14:paraId="4FB77B9E" w14:textId="77777777" w:rsidR="002C2919" w:rsidRPr="00517045" w:rsidRDefault="002C2919" w:rsidP="002C2919">
      <w:pPr>
        <w:suppressAutoHyphens w:val="0"/>
        <w:autoSpaceDE w:val="0"/>
        <w:autoSpaceDN w:val="0"/>
        <w:adjustRightInd w:val="0"/>
        <w:rPr>
          <w:color w:val="353535"/>
          <w:lang w:val="pt-BR" w:eastAsia="en-US"/>
        </w:rPr>
      </w:pPr>
    </w:p>
    <w:p w14:paraId="4D0E3F14" w14:textId="77777777" w:rsidR="002C2919" w:rsidRPr="00517045" w:rsidRDefault="002C2919" w:rsidP="002C2919">
      <w:pPr>
        <w:suppressAutoHyphens w:val="0"/>
        <w:autoSpaceDE w:val="0"/>
        <w:autoSpaceDN w:val="0"/>
        <w:adjustRightInd w:val="0"/>
        <w:rPr>
          <w:color w:val="353535"/>
          <w:lang w:val="es-ES" w:eastAsia="en-US"/>
        </w:rPr>
      </w:pPr>
      <w:r w:rsidRPr="00517045">
        <w:rPr>
          <w:color w:val="353535"/>
          <w:lang w:val="pt-BR" w:eastAsia="en-US"/>
        </w:rPr>
        <w:t xml:space="preserve">GALINDO, George Rodrigo Bandeira. Direito Internacional Costumeiro Regional (Em especial no contexto Americano) In COMITÉ JURÍDICO AMERICANO; DEPARTAMENTO DE DERECHO INTERNACIONAL DE LA SECRETARÍA DE ASUNTOS JURÍDICOS DE LA ORGANIZACIÓN DE LOS ESTADOS AMERICANOS. </w:t>
      </w:r>
      <w:r w:rsidRPr="00517045">
        <w:rPr>
          <w:color w:val="353535"/>
          <w:lang w:val="es-ES" w:eastAsia="en-US"/>
        </w:rPr>
        <w:t>(Ed)). Curso de Derecho Internacional XLVI 2019. 1ed.Washington: Organización de los Estados Americanos, 2020.</w:t>
      </w:r>
    </w:p>
    <w:p w14:paraId="3696C493" w14:textId="77777777" w:rsidR="002C2919" w:rsidRPr="00517045" w:rsidRDefault="002C2919" w:rsidP="002C2919">
      <w:pPr>
        <w:suppressAutoHyphens w:val="0"/>
        <w:autoSpaceDE w:val="0"/>
        <w:autoSpaceDN w:val="0"/>
        <w:adjustRightInd w:val="0"/>
        <w:rPr>
          <w:color w:val="353535"/>
          <w:lang w:val="es-ES" w:eastAsia="en-US"/>
        </w:rPr>
      </w:pPr>
    </w:p>
    <w:p w14:paraId="50FFFADE"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GASTORN, Kennedy. </w:t>
      </w:r>
      <w:r w:rsidRPr="00517045">
        <w:rPr>
          <w:i/>
          <w:iCs/>
          <w:color w:val="353535"/>
          <w:lang w:val="en-US" w:eastAsia="en-US"/>
        </w:rPr>
        <w:t>Defining the Imprecise Contours of Jus Cogens in International Law</w:t>
      </w:r>
      <w:r w:rsidRPr="00517045">
        <w:rPr>
          <w:color w:val="353535"/>
          <w:lang w:val="en-US" w:eastAsia="en-US"/>
        </w:rPr>
        <w:t>. Chinese Journal of International Law, vol. 16, n.4, 2017.</w:t>
      </w:r>
    </w:p>
    <w:p w14:paraId="0747EAB9" w14:textId="77777777" w:rsidR="002C2919" w:rsidRPr="00517045" w:rsidRDefault="002C2919" w:rsidP="002C2919">
      <w:pPr>
        <w:suppressAutoHyphens w:val="0"/>
        <w:autoSpaceDE w:val="0"/>
        <w:autoSpaceDN w:val="0"/>
        <w:adjustRightInd w:val="0"/>
        <w:rPr>
          <w:color w:val="353535"/>
          <w:lang w:val="en-US" w:eastAsia="en-US"/>
        </w:rPr>
      </w:pPr>
    </w:p>
    <w:p w14:paraId="6D04670A" w14:textId="77777777" w:rsidR="002C2919" w:rsidRPr="00517045" w:rsidRDefault="002C2919" w:rsidP="002C2919">
      <w:pPr>
        <w:suppressAutoHyphens w:val="0"/>
        <w:autoSpaceDE w:val="0"/>
        <w:autoSpaceDN w:val="0"/>
        <w:adjustRightInd w:val="0"/>
        <w:rPr>
          <w:color w:val="353535"/>
          <w:lang w:val="pt-BR" w:eastAsia="en-US"/>
        </w:rPr>
      </w:pPr>
      <w:r w:rsidRPr="00517045">
        <w:rPr>
          <w:color w:val="353535"/>
          <w:lang w:val="en-US" w:eastAsia="en-US"/>
        </w:rPr>
        <w:t xml:space="preserve">HASMATH, Reza. </w:t>
      </w:r>
      <w:r w:rsidRPr="00517045">
        <w:rPr>
          <w:i/>
          <w:iCs/>
          <w:color w:val="353535"/>
          <w:lang w:val="en-US" w:eastAsia="en-US"/>
        </w:rPr>
        <w:t>The Utility of Regional Peremptory Norms in International Affairs</w:t>
      </w:r>
      <w:r w:rsidRPr="00517045">
        <w:rPr>
          <w:color w:val="353535"/>
          <w:lang w:val="en-US" w:eastAsia="en-US"/>
        </w:rPr>
        <w:t xml:space="preserve">. </w:t>
      </w:r>
      <w:r w:rsidRPr="00517045">
        <w:rPr>
          <w:i/>
          <w:iCs/>
          <w:color w:val="353535"/>
          <w:lang w:val="pt-BR" w:eastAsia="en-US"/>
        </w:rPr>
        <w:t>Paper</w:t>
      </w:r>
      <w:r w:rsidRPr="00517045">
        <w:rPr>
          <w:color w:val="353535"/>
          <w:lang w:val="pt-BR" w:eastAsia="en-US"/>
        </w:rPr>
        <w:t xml:space="preserve"> apresentado na Reunião Annual da American Political Science Association, Nova Orleans, Estados Unidos, 30 de agosto-2 de setembro de 2012.</w:t>
      </w:r>
    </w:p>
    <w:p w14:paraId="5CF1CE70" w14:textId="77777777" w:rsidR="002C2919" w:rsidRPr="00517045" w:rsidRDefault="002C2919" w:rsidP="002C2919">
      <w:pPr>
        <w:suppressAutoHyphens w:val="0"/>
        <w:autoSpaceDE w:val="0"/>
        <w:autoSpaceDN w:val="0"/>
        <w:adjustRightInd w:val="0"/>
        <w:rPr>
          <w:color w:val="353535"/>
          <w:lang w:val="pt-BR" w:eastAsia="en-US"/>
        </w:rPr>
      </w:pPr>
    </w:p>
    <w:p w14:paraId="4389766E" w14:textId="77777777" w:rsidR="002C2919" w:rsidRPr="00517045" w:rsidRDefault="002C2919" w:rsidP="002C2919">
      <w:pPr>
        <w:suppressAutoHyphens w:val="0"/>
        <w:autoSpaceDE w:val="0"/>
        <w:autoSpaceDN w:val="0"/>
        <w:adjustRightInd w:val="0"/>
        <w:rPr>
          <w:color w:val="353535"/>
          <w:lang w:val="fr-FR" w:eastAsia="en-US"/>
        </w:rPr>
      </w:pPr>
      <w:r w:rsidRPr="00517045">
        <w:rPr>
          <w:color w:val="353535"/>
          <w:lang w:val="en-US" w:eastAsia="en-US"/>
        </w:rPr>
        <w:t xml:space="preserve">HENNEBEL, Ludovic. </w:t>
      </w:r>
      <w:r w:rsidRPr="00517045">
        <w:rPr>
          <w:i/>
          <w:iCs/>
          <w:color w:val="353535"/>
          <w:lang w:val="en-US" w:eastAsia="en-US"/>
        </w:rPr>
        <w:t>The Inter-American Court of Human Rights: The Ambassador of Universalism</w:t>
      </w:r>
      <w:r w:rsidRPr="00517045">
        <w:rPr>
          <w:color w:val="353535"/>
          <w:lang w:val="en-US" w:eastAsia="en-US"/>
        </w:rPr>
        <w:t xml:space="preserve">. </w:t>
      </w:r>
      <w:r w:rsidRPr="00517045">
        <w:rPr>
          <w:color w:val="353535"/>
          <w:lang w:val="fr-FR" w:eastAsia="en-US"/>
        </w:rPr>
        <w:t>Hors-série Revue québécoise de droit international, p. 57-97 2011, 57</w:t>
      </w:r>
    </w:p>
    <w:p w14:paraId="0B912857" w14:textId="77777777" w:rsidR="002C2919" w:rsidRPr="00517045" w:rsidRDefault="002C2919" w:rsidP="002C2919">
      <w:pPr>
        <w:suppressAutoHyphens w:val="0"/>
        <w:autoSpaceDE w:val="0"/>
        <w:autoSpaceDN w:val="0"/>
        <w:adjustRightInd w:val="0"/>
        <w:rPr>
          <w:color w:val="353535"/>
          <w:lang w:val="fr-FR" w:eastAsia="en-US"/>
        </w:rPr>
      </w:pPr>
    </w:p>
    <w:p w14:paraId="5AC544EE" w14:textId="77777777" w:rsidR="002C2919" w:rsidRPr="00517045" w:rsidRDefault="002C2919" w:rsidP="002C2919">
      <w:pPr>
        <w:suppressAutoHyphens w:val="0"/>
        <w:autoSpaceDE w:val="0"/>
        <w:autoSpaceDN w:val="0"/>
        <w:adjustRightInd w:val="0"/>
        <w:jc w:val="both"/>
        <w:rPr>
          <w:color w:val="353535"/>
          <w:lang w:val="en-US" w:eastAsia="en-US"/>
        </w:rPr>
      </w:pPr>
      <w:r w:rsidRPr="00517045">
        <w:rPr>
          <w:color w:val="353535"/>
          <w:lang w:val="fr-FR" w:eastAsia="en-US"/>
        </w:rPr>
        <w:t xml:space="preserve">HUNEEUS, Alexandra. </w:t>
      </w:r>
      <w:r w:rsidRPr="00517045">
        <w:rPr>
          <w:i/>
          <w:iCs/>
          <w:color w:val="353535"/>
          <w:lang w:val="en-US" w:eastAsia="en-US"/>
        </w:rPr>
        <w:t>Courts Resisting Courts: Lessons from the Inter-American Court's Struggle to Enforce Human Rights</w:t>
      </w:r>
      <w:r w:rsidRPr="00517045">
        <w:rPr>
          <w:color w:val="353535"/>
          <w:lang w:val="en-US" w:eastAsia="en-US"/>
        </w:rPr>
        <w:t>. Cornell International Law Journal, vol. 44, n.3, 2011.</w:t>
      </w:r>
    </w:p>
    <w:p w14:paraId="5CF2488F" w14:textId="77777777" w:rsidR="002C2919" w:rsidRPr="00517045" w:rsidRDefault="002C2919" w:rsidP="002C2919">
      <w:pPr>
        <w:suppressAutoHyphens w:val="0"/>
        <w:autoSpaceDE w:val="0"/>
        <w:autoSpaceDN w:val="0"/>
        <w:adjustRightInd w:val="0"/>
        <w:jc w:val="both"/>
        <w:rPr>
          <w:color w:val="353535"/>
          <w:lang w:val="en-US" w:eastAsia="en-US"/>
        </w:rPr>
      </w:pPr>
    </w:p>
    <w:p w14:paraId="55D67794"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KOLB, Robert. </w:t>
      </w:r>
      <w:r w:rsidRPr="00517045">
        <w:rPr>
          <w:i/>
          <w:iCs/>
          <w:color w:val="353535"/>
          <w:lang w:val="en-US" w:eastAsia="en-US"/>
        </w:rPr>
        <w:t>Peremptory International Law (</w:t>
      </w:r>
      <w:r w:rsidRPr="00517045">
        <w:rPr>
          <w:color w:val="353535"/>
          <w:lang w:val="en-US" w:eastAsia="en-US"/>
        </w:rPr>
        <w:t>Jus Cogens</w:t>
      </w:r>
      <w:r w:rsidRPr="00517045">
        <w:rPr>
          <w:i/>
          <w:iCs/>
          <w:color w:val="353535"/>
          <w:lang w:val="en-US" w:eastAsia="en-US"/>
        </w:rPr>
        <w:t>): A General Inventory</w:t>
      </w:r>
      <w:r w:rsidRPr="00517045">
        <w:rPr>
          <w:color w:val="353535"/>
          <w:lang w:val="en-US" w:eastAsia="en-US"/>
        </w:rPr>
        <w:t>. Oxford, Hart, 2015.</w:t>
      </w:r>
    </w:p>
    <w:p w14:paraId="1FB65C9B" w14:textId="77777777" w:rsidR="002C2919" w:rsidRPr="00517045" w:rsidRDefault="002C2919" w:rsidP="002C2919">
      <w:pPr>
        <w:suppressAutoHyphens w:val="0"/>
        <w:autoSpaceDE w:val="0"/>
        <w:autoSpaceDN w:val="0"/>
        <w:adjustRightInd w:val="0"/>
        <w:jc w:val="both"/>
        <w:rPr>
          <w:color w:val="353535"/>
          <w:lang w:val="en-US" w:eastAsia="en-US"/>
        </w:rPr>
      </w:pPr>
    </w:p>
    <w:p w14:paraId="320B791B" w14:textId="77777777" w:rsidR="002C2919" w:rsidRPr="00517045" w:rsidRDefault="002C2919" w:rsidP="002C2919">
      <w:pPr>
        <w:suppressAutoHyphens w:val="0"/>
        <w:autoSpaceDE w:val="0"/>
        <w:autoSpaceDN w:val="0"/>
        <w:adjustRightInd w:val="0"/>
        <w:jc w:val="both"/>
        <w:rPr>
          <w:color w:val="353535"/>
          <w:lang w:val="en-US" w:eastAsia="en-US"/>
        </w:rPr>
      </w:pPr>
      <w:r w:rsidRPr="00517045">
        <w:rPr>
          <w:color w:val="353535"/>
          <w:lang w:val="en-US" w:eastAsia="en-US"/>
        </w:rPr>
        <w:t xml:space="preserve">LIMA, Lucas Carlos. Regionalism in the codification of international law: the experience of the Inter-American Juridical Committee. </w:t>
      </w:r>
      <w:r w:rsidRPr="00517045">
        <w:rPr>
          <w:color w:val="353535"/>
          <w:lang w:eastAsia="en-US"/>
        </w:rPr>
        <w:t xml:space="preserve">In: ANNONI, Alessandra.; FORLATI, Serena.; SALERNO, Francesco. (eds) La codificazione nell'ordinamento internazionale e dell'Unione europea. </w:t>
      </w:r>
      <w:r w:rsidRPr="00517045">
        <w:rPr>
          <w:color w:val="353535"/>
          <w:lang w:val="en-US" w:eastAsia="en-US"/>
        </w:rPr>
        <w:t>Milão, 2019.</w:t>
      </w:r>
    </w:p>
    <w:p w14:paraId="7D31CFA1" w14:textId="77777777" w:rsidR="002C2919" w:rsidRPr="00517045" w:rsidRDefault="002C2919" w:rsidP="002C2919">
      <w:pPr>
        <w:suppressAutoHyphens w:val="0"/>
        <w:autoSpaceDE w:val="0"/>
        <w:autoSpaceDN w:val="0"/>
        <w:adjustRightInd w:val="0"/>
        <w:jc w:val="both"/>
        <w:rPr>
          <w:color w:val="353535"/>
          <w:lang w:val="en-US" w:eastAsia="en-US"/>
        </w:rPr>
      </w:pPr>
    </w:p>
    <w:p w14:paraId="7AF756FC"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LINDERFALK, Ulf. </w:t>
      </w:r>
      <w:r w:rsidRPr="00517045">
        <w:rPr>
          <w:i/>
          <w:iCs/>
          <w:color w:val="353535"/>
          <w:lang w:val="en-US" w:eastAsia="en-US"/>
        </w:rPr>
        <w:t xml:space="preserve">Understanding the </w:t>
      </w:r>
      <w:r w:rsidRPr="00517045">
        <w:rPr>
          <w:color w:val="353535"/>
          <w:lang w:val="en-US" w:eastAsia="en-US"/>
        </w:rPr>
        <w:t xml:space="preserve">Jus Cogens </w:t>
      </w:r>
      <w:r w:rsidRPr="00517045">
        <w:rPr>
          <w:i/>
          <w:iCs/>
          <w:color w:val="353535"/>
          <w:lang w:val="en-US" w:eastAsia="en-US"/>
        </w:rPr>
        <w:t>Debate: The Pervasive Influence of Legal Positivism and Legal Idealism</w:t>
      </w:r>
      <w:r w:rsidRPr="00517045">
        <w:rPr>
          <w:color w:val="353535"/>
          <w:lang w:val="en-US" w:eastAsia="en-US"/>
        </w:rPr>
        <w:t xml:space="preserve">. Netherlands Yearbook of International Law, vol. 46, 2015. </w:t>
      </w:r>
    </w:p>
    <w:p w14:paraId="7DD0F95B" w14:textId="77777777" w:rsidR="002C2919" w:rsidRPr="00517045" w:rsidRDefault="002C2919" w:rsidP="002C2919">
      <w:pPr>
        <w:suppressAutoHyphens w:val="0"/>
        <w:autoSpaceDE w:val="0"/>
        <w:autoSpaceDN w:val="0"/>
        <w:adjustRightInd w:val="0"/>
        <w:rPr>
          <w:color w:val="353535"/>
          <w:lang w:val="en-US" w:eastAsia="en-US"/>
        </w:rPr>
      </w:pPr>
    </w:p>
    <w:p w14:paraId="54FB02FB" w14:textId="77777777" w:rsidR="002C2919" w:rsidRPr="00517045" w:rsidRDefault="002C2919" w:rsidP="002C2919">
      <w:pPr>
        <w:suppressAutoHyphens w:val="0"/>
        <w:autoSpaceDE w:val="0"/>
        <w:autoSpaceDN w:val="0"/>
        <w:adjustRightInd w:val="0"/>
        <w:rPr>
          <w:color w:val="353535"/>
          <w:lang w:val="en-US" w:eastAsia="en-US"/>
        </w:rPr>
      </w:pPr>
      <w:proofErr w:type="gramStart"/>
      <w:r w:rsidRPr="00517045">
        <w:rPr>
          <w:color w:val="353535"/>
          <w:lang w:val="en-US" w:eastAsia="en-US"/>
        </w:rPr>
        <w:t>LINDERFALK,Ulf</w:t>
      </w:r>
      <w:proofErr w:type="gramEnd"/>
      <w:r w:rsidRPr="00517045">
        <w:rPr>
          <w:color w:val="353535"/>
          <w:lang w:val="en-US" w:eastAsia="en-US"/>
        </w:rPr>
        <w:t xml:space="preserve">. </w:t>
      </w:r>
      <w:r w:rsidRPr="00517045">
        <w:rPr>
          <w:i/>
          <w:iCs/>
          <w:color w:val="353535"/>
          <w:lang w:val="en-US" w:eastAsia="en-US"/>
        </w:rPr>
        <w:t>Understanding Jus Cogens in International Law and International Legal Discourse</w:t>
      </w:r>
      <w:r w:rsidRPr="00517045">
        <w:rPr>
          <w:color w:val="353535"/>
          <w:lang w:val="en-US" w:eastAsia="en-US"/>
        </w:rPr>
        <w:t>. Londres: Edgard Elgar, 2020.</w:t>
      </w:r>
    </w:p>
    <w:p w14:paraId="3CAE38D1" w14:textId="77777777" w:rsidR="002C2919" w:rsidRPr="00517045" w:rsidRDefault="002C2919" w:rsidP="002C2919">
      <w:pPr>
        <w:suppressAutoHyphens w:val="0"/>
        <w:autoSpaceDE w:val="0"/>
        <w:autoSpaceDN w:val="0"/>
        <w:adjustRightInd w:val="0"/>
        <w:jc w:val="both"/>
        <w:rPr>
          <w:color w:val="353535"/>
          <w:lang w:val="en-US" w:eastAsia="en-US"/>
        </w:rPr>
      </w:pPr>
    </w:p>
    <w:p w14:paraId="02C67768"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LIXINSKI, Lucas. </w:t>
      </w:r>
      <w:r w:rsidRPr="00517045">
        <w:rPr>
          <w:i/>
          <w:iCs/>
          <w:color w:val="353535"/>
          <w:lang w:val="en-US" w:eastAsia="en-US"/>
        </w:rPr>
        <w:t>Treaty Interpretation by the Inter-American Court of Human Rights: Expansionism at the Service of the Unity of International Law</w:t>
      </w:r>
      <w:r w:rsidRPr="00517045">
        <w:rPr>
          <w:color w:val="353535"/>
          <w:lang w:val="en-US" w:eastAsia="en-US"/>
        </w:rPr>
        <w:t>. European Journal of International Law, vol. 21, n.3, p. 585-604, 2010.</w:t>
      </w:r>
    </w:p>
    <w:p w14:paraId="12DF7D38" w14:textId="77777777" w:rsidR="002C2919" w:rsidRPr="00517045" w:rsidRDefault="002C2919" w:rsidP="002C2919">
      <w:pPr>
        <w:suppressAutoHyphens w:val="0"/>
        <w:autoSpaceDE w:val="0"/>
        <w:autoSpaceDN w:val="0"/>
        <w:adjustRightInd w:val="0"/>
        <w:rPr>
          <w:color w:val="353535"/>
          <w:lang w:val="en-US" w:eastAsia="en-US"/>
        </w:rPr>
      </w:pPr>
    </w:p>
    <w:p w14:paraId="22D375CF"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PELLET, Alain. Comments in Response to Christine Chinkin and in Defense of Jus Cogens as the Best Bastion against the Excesses of fragmentation. Finnish Yearbook of International Law, vol. XVII, 2006.</w:t>
      </w:r>
    </w:p>
    <w:p w14:paraId="255B53FA" w14:textId="77777777" w:rsidR="002C2919" w:rsidRPr="00517045" w:rsidRDefault="002C2919" w:rsidP="002C2919">
      <w:pPr>
        <w:suppressAutoHyphens w:val="0"/>
        <w:autoSpaceDE w:val="0"/>
        <w:autoSpaceDN w:val="0"/>
        <w:adjustRightInd w:val="0"/>
        <w:rPr>
          <w:color w:val="353535"/>
          <w:lang w:val="en-US" w:eastAsia="en-US"/>
        </w:rPr>
      </w:pPr>
    </w:p>
    <w:p w14:paraId="3BB16620"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SANTOLARIA, Ruda. </w:t>
      </w:r>
      <w:r w:rsidRPr="00517045">
        <w:rPr>
          <w:i/>
          <w:iCs/>
          <w:color w:val="353535"/>
          <w:lang w:val="en-US" w:eastAsia="en-US"/>
        </w:rPr>
        <w:t>The Treatment of Peremptory Norms of General International Law (Jus Cogens) in the Inter-American Human Rights System</w:t>
      </w:r>
      <w:r w:rsidRPr="00517045">
        <w:rPr>
          <w:color w:val="353535"/>
          <w:lang w:val="en-US" w:eastAsia="en-US"/>
        </w:rPr>
        <w:t xml:space="preserve">, In TLADI, Dire (ed.) </w:t>
      </w:r>
      <w:r w:rsidRPr="00517045">
        <w:rPr>
          <w:i/>
          <w:iCs/>
          <w:color w:val="353535"/>
          <w:lang w:val="en-US" w:eastAsia="en-US"/>
        </w:rPr>
        <w:t>Peremptory Norms of General International Law (Jus Cogens): Disquisitions and Disputations</w:t>
      </w:r>
      <w:r w:rsidRPr="00517045">
        <w:rPr>
          <w:color w:val="353535"/>
          <w:lang w:val="en-US" w:eastAsia="en-US"/>
        </w:rPr>
        <w:t>. Haia: Brill, 2021.</w:t>
      </w:r>
    </w:p>
    <w:p w14:paraId="1FA7BE55" w14:textId="77777777" w:rsidR="002C2919" w:rsidRPr="00517045" w:rsidRDefault="002C2919" w:rsidP="002C2919">
      <w:pPr>
        <w:suppressAutoHyphens w:val="0"/>
        <w:autoSpaceDE w:val="0"/>
        <w:autoSpaceDN w:val="0"/>
        <w:adjustRightInd w:val="0"/>
        <w:rPr>
          <w:color w:val="353535"/>
          <w:lang w:val="en-US" w:eastAsia="en-US"/>
        </w:rPr>
      </w:pPr>
    </w:p>
    <w:p w14:paraId="013D7B27" w14:textId="77777777" w:rsidR="002C2919" w:rsidRPr="00517045" w:rsidRDefault="002C2919" w:rsidP="002C2919">
      <w:pPr>
        <w:suppressAutoHyphens w:val="0"/>
        <w:autoSpaceDE w:val="0"/>
        <w:autoSpaceDN w:val="0"/>
        <w:adjustRightInd w:val="0"/>
        <w:jc w:val="both"/>
        <w:rPr>
          <w:color w:val="353535"/>
          <w:lang w:val="en-US" w:eastAsia="en-US"/>
        </w:rPr>
      </w:pPr>
      <w:r w:rsidRPr="00517045">
        <w:rPr>
          <w:color w:val="353535"/>
          <w:lang w:val="en-US" w:eastAsia="en-US"/>
        </w:rPr>
        <w:t xml:space="preserve">SIMMA, Bruno; ALSTON, Philip. </w:t>
      </w:r>
      <w:r w:rsidRPr="00517045">
        <w:rPr>
          <w:i/>
          <w:iCs/>
          <w:color w:val="353535"/>
          <w:lang w:val="en-US" w:eastAsia="en-US"/>
        </w:rPr>
        <w:t xml:space="preserve">The Sources of Human Rights Law. Custom, </w:t>
      </w:r>
      <w:r w:rsidRPr="00517045">
        <w:rPr>
          <w:color w:val="353535"/>
          <w:lang w:val="en-US" w:eastAsia="en-US"/>
        </w:rPr>
        <w:t>Jus Cogens</w:t>
      </w:r>
      <w:r w:rsidRPr="00517045">
        <w:rPr>
          <w:i/>
          <w:iCs/>
          <w:color w:val="353535"/>
          <w:lang w:val="en-US" w:eastAsia="en-US"/>
        </w:rPr>
        <w:t>, and General Principles</w:t>
      </w:r>
      <w:r w:rsidRPr="00517045">
        <w:rPr>
          <w:color w:val="353535"/>
          <w:lang w:val="en-US" w:eastAsia="en-US"/>
        </w:rPr>
        <w:t xml:space="preserve">. Australian Yearbook of International Law, vol. 12, n </w:t>
      </w:r>
      <w:proofErr w:type="gramStart"/>
      <w:r w:rsidRPr="00517045">
        <w:rPr>
          <w:color w:val="353535"/>
          <w:lang w:val="en-US" w:eastAsia="en-US"/>
        </w:rPr>
        <w:t>1,  1992</w:t>
      </w:r>
      <w:proofErr w:type="gramEnd"/>
      <w:r w:rsidRPr="00517045">
        <w:rPr>
          <w:color w:val="353535"/>
          <w:lang w:val="en-US" w:eastAsia="en-US"/>
        </w:rPr>
        <w:t xml:space="preserve">. </w:t>
      </w:r>
    </w:p>
    <w:p w14:paraId="2EAA4A74" w14:textId="77777777" w:rsidR="002C2919" w:rsidRPr="00517045" w:rsidRDefault="002C2919" w:rsidP="002C2919">
      <w:pPr>
        <w:suppressAutoHyphens w:val="0"/>
        <w:autoSpaceDE w:val="0"/>
        <w:autoSpaceDN w:val="0"/>
        <w:adjustRightInd w:val="0"/>
        <w:jc w:val="both"/>
        <w:rPr>
          <w:color w:val="353535"/>
          <w:lang w:val="en-US" w:eastAsia="en-US"/>
        </w:rPr>
      </w:pPr>
    </w:p>
    <w:p w14:paraId="55F72253" w14:textId="77777777" w:rsidR="002C2919" w:rsidRPr="00517045" w:rsidRDefault="002C2919" w:rsidP="002C2919">
      <w:pPr>
        <w:suppressAutoHyphens w:val="0"/>
        <w:autoSpaceDE w:val="0"/>
        <w:autoSpaceDN w:val="0"/>
        <w:adjustRightInd w:val="0"/>
        <w:rPr>
          <w:color w:val="353535"/>
          <w:lang w:val="en-US" w:eastAsia="en-US"/>
        </w:rPr>
      </w:pPr>
      <w:r w:rsidRPr="00517045">
        <w:rPr>
          <w:color w:val="353535"/>
          <w:lang w:val="en-US" w:eastAsia="en-US"/>
        </w:rPr>
        <w:t xml:space="preserve">STURMA, Pavel. </w:t>
      </w:r>
      <w:r w:rsidRPr="00517045">
        <w:rPr>
          <w:i/>
          <w:iCs/>
          <w:color w:val="353535"/>
          <w:lang w:val="en-US" w:eastAsia="en-US"/>
        </w:rPr>
        <w:t>Is There Any Regional</w:t>
      </w:r>
      <w:r w:rsidRPr="00517045">
        <w:rPr>
          <w:color w:val="353535"/>
          <w:lang w:val="en-US" w:eastAsia="en-US"/>
        </w:rPr>
        <w:t xml:space="preserve"> Jus</w:t>
      </w:r>
      <w:r w:rsidRPr="00517045">
        <w:rPr>
          <w:i/>
          <w:iCs/>
          <w:color w:val="353535"/>
          <w:lang w:val="en-US" w:eastAsia="en-US"/>
        </w:rPr>
        <w:t xml:space="preserve"> Cogens in Europe? The Case of the European Convention of Human Rights</w:t>
      </w:r>
      <w:r w:rsidRPr="00517045">
        <w:rPr>
          <w:color w:val="353535"/>
          <w:lang w:val="en-US" w:eastAsia="en-US"/>
        </w:rPr>
        <w:t xml:space="preserve">, In TLADI, Dire (ed.) </w:t>
      </w:r>
      <w:r w:rsidRPr="00517045">
        <w:rPr>
          <w:i/>
          <w:iCs/>
          <w:color w:val="353535"/>
          <w:lang w:val="en-US" w:eastAsia="en-US"/>
        </w:rPr>
        <w:t>Peremptory Norms of General International Law</w:t>
      </w:r>
      <w:r w:rsidRPr="00517045">
        <w:rPr>
          <w:color w:val="353535"/>
          <w:lang w:val="en-US" w:eastAsia="en-US"/>
        </w:rPr>
        <w:t xml:space="preserve"> (Jus Cogens): </w:t>
      </w:r>
      <w:r w:rsidRPr="00517045">
        <w:rPr>
          <w:i/>
          <w:iCs/>
          <w:color w:val="353535"/>
          <w:lang w:val="en-US" w:eastAsia="en-US"/>
        </w:rPr>
        <w:t>Disquisitions and Disputations</w:t>
      </w:r>
      <w:r w:rsidRPr="00517045">
        <w:rPr>
          <w:color w:val="353535"/>
          <w:lang w:val="en-US" w:eastAsia="en-US"/>
        </w:rPr>
        <w:t>. Haia: Brill, 2021.</w:t>
      </w:r>
    </w:p>
    <w:p w14:paraId="04ECBBDC" w14:textId="77777777" w:rsidR="002C2919" w:rsidRPr="00517045" w:rsidRDefault="002C2919" w:rsidP="002C2919">
      <w:pPr>
        <w:suppressAutoHyphens w:val="0"/>
        <w:autoSpaceDE w:val="0"/>
        <w:autoSpaceDN w:val="0"/>
        <w:adjustRightInd w:val="0"/>
        <w:rPr>
          <w:color w:val="353535"/>
          <w:lang w:val="en-US" w:eastAsia="en-US"/>
        </w:rPr>
      </w:pPr>
    </w:p>
    <w:p w14:paraId="129EBCE8" w14:textId="77777777" w:rsidR="002C2919" w:rsidRPr="00517045" w:rsidRDefault="002C2919" w:rsidP="00206256">
      <w:pPr>
        <w:suppressAutoHyphens w:val="0"/>
        <w:autoSpaceDE w:val="0"/>
        <w:autoSpaceDN w:val="0"/>
        <w:adjustRightInd w:val="0"/>
        <w:rPr>
          <w:color w:val="353535"/>
          <w:lang w:val="en-US" w:eastAsia="en-US"/>
        </w:rPr>
      </w:pPr>
      <w:r w:rsidRPr="00517045">
        <w:rPr>
          <w:color w:val="353535"/>
          <w:lang w:val="en-US" w:eastAsia="en-US"/>
        </w:rPr>
        <w:t xml:space="preserve">TLADI, Dire. </w:t>
      </w:r>
      <w:r w:rsidRPr="00517045">
        <w:rPr>
          <w:i/>
          <w:iCs/>
          <w:color w:val="353535"/>
          <w:lang w:val="en-US" w:eastAsia="en-US"/>
        </w:rPr>
        <w:t>The International Law Commission’s Draft Conclusions on Peremptory Norms of General International Law (jus cogens): Making Wine from Water or More Water than Wine</w:t>
      </w:r>
      <w:r w:rsidRPr="00517045">
        <w:rPr>
          <w:color w:val="353535"/>
          <w:lang w:val="en-US" w:eastAsia="en-US"/>
        </w:rPr>
        <w:t xml:space="preserve">. Nordic Journal of Human </w:t>
      </w:r>
      <w:proofErr w:type="gramStart"/>
      <w:r w:rsidRPr="00517045">
        <w:rPr>
          <w:color w:val="353535"/>
          <w:lang w:val="en-US" w:eastAsia="en-US"/>
        </w:rPr>
        <w:t>Rights,vol.</w:t>
      </w:r>
      <w:proofErr w:type="gramEnd"/>
      <w:r w:rsidRPr="00517045">
        <w:rPr>
          <w:color w:val="353535"/>
          <w:lang w:val="en-US" w:eastAsia="en-US"/>
        </w:rPr>
        <w:t xml:space="preserve"> 89, n. 2, p.244-270, 2020. </w:t>
      </w:r>
    </w:p>
    <w:p w14:paraId="68BC3FF2" w14:textId="77777777" w:rsidR="002C2919" w:rsidRPr="00517045" w:rsidRDefault="002C2919" w:rsidP="00206256">
      <w:pPr>
        <w:suppressAutoHyphens w:val="0"/>
        <w:autoSpaceDE w:val="0"/>
        <w:autoSpaceDN w:val="0"/>
        <w:adjustRightInd w:val="0"/>
        <w:rPr>
          <w:color w:val="353535"/>
          <w:lang w:val="en-US" w:eastAsia="en-US"/>
        </w:rPr>
      </w:pPr>
    </w:p>
    <w:p w14:paraId="688F27B9" w14:textId="05A01117" w:rsidR="008D7409" w:rsidRPr="00517045" w:rsidRDefault="002C2919" w:rsidP="00517045">
      <w:pPr>
        <w:suppressAutoHyphens w:val="0"/>
        <w:autoSpaceDE w:val="0"/>
        <w:autoSpaceDN w:val="0"/>
        <w:adjustRightInd w:val="0"/>
        <w:rPr>
          <w:color w:val="353535"/>
          <w:lang w:val="en-US" w:eastAsia="en-US"/>
        </w:rPr>
      </w:pPr>
      <w:r w:rsidRPr="00517045">
        <w:rPr>
          <w:color w:val="353535"/>
          <w:lang w:val="en-US" w:eastAsia="en-US"/>
        </w:rPr>
        <w:t xml:space="preserve">TUNKIN, Grigory. </w:t>
      </w:r>
      <w:r w:rsidRPr="00517045">
        <w:rPr>
          <w:i/>
          <w:iCs/>
          <w:color w:val="353535"/>
          <w:lang w:val="en-US" w:eastAsia="en-US"/>
        </w:rPr>
        <w:t>Theory of International Law</w:t>
      </w:r>
      <w:r w:rsidRPr="00517045">
        <w:rPr>
          <w:color w:val="353535"/>
          <w:lang w:val="en-US" w:eastAsia="en-US"/>
        </w:rPr>
        <w:t>. Cambridge: Harvard University Press, 1974</w:t>
      </w:r>
    </w:p>
    <w:p w14:paraId="4AF3B54B" w14:textId="77777777" w:rsidR="002F5692" w:rsidRPr="00517045" w:rsidRDefault="002F5692" w:rsidP="00517045">
      <w:pPr>
        <w:spacing w:line="360" w:lineRule="auto"/>
        <w:jc w:val="both"/>
        <w:rPr>
          <w:color w:val="000000" w:themeColor="text1"/>
          <w:lang w:val="en-US"/>
        </w:rPr>
      </w:pPr>
    </w:p>
    <w:sectPr w:rsidR="002F5692" w:rsidRPr="00517045" w:rsidSect="00FD30F3">
      <w:headerReference w:type="default" r:id="rId8"/>
      <w:footerReference w:type="even" r:id="rId9"/>
      <w:footerReference w:type="default" r:id="rId10"/>
      <w:pgSz w:w="11900" w:h="16840"/>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7FCEB" w14:textId="77777777" w:rsidR="004A63CC" w:rsidRDefault="004A63CC" w:rsidP="00944DA6">
      <w:r>
        <w:separator/>
      </w:r>
    </w:p>
  </w:endnote>
  <w:endnote w:type="continuationSeparator" w:id="0">
    <w:p w14:paraId="778E1395" w14:textId="77777777" w:rsidR="004A63CC" w:rsidRDefault="004A63CC" w:rsidP="00944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ZapfHumnst BT">
    <w:altName w:val="Calibri"/>
    <w:charset w:val="00"/>
    <w:family w:val="swiss"/>
    <w:pitch w:val="variable"/>
    <w:sig w:usb0="00000087" w:usb1="00000000" w:usb2="00000000" w:usb3="00000000" w:csb0="0000001B" w:csb1="00000000"/>
  </w:font>
  <w:font w:name="Simoncini Garamond Std">
    <w:altName w:val="Cambria"/>
    <w:panose1 w:val="00000000000000000000"/>
    <w:charset w:val="00"/>
    <w:family w:val="roman"/>
    <w:notTrueType/>
    <w:pitch w:val="variable"/>
    <w:sig w:usb0="800000AF" w:usb1="4000204A" w:usb2="00000000" w:usb3="00000000" w:csb0="00000001" w:csb1="00000000"/>
  </w:font>
  <w:font w:name="EFFKIP+CourierNewPSMT">
    <w:altName w:val="Times New Roman"/>
    <w:charset w:val="00"/>
    <w:family w:val="roman"/>
    <w:pitch w:val="default"/>
  </w:font>
  <w:font w:name="Simoncini Garamond">
    <w:altName w:val="Vrinda"/>
    <w:panose1 w:val="00000000000000000000"/>
    <w:charset w:val="00"/>
    <w:family w:val="roman"/>
    <w:notTrueType/>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Times">
    <w:panose1 w:val="02020603050405020304"/>
    <w:charset w:val="00"/>
    <w:family w:val="auto"/>
    <w:pitch w:val="variable"/>
    <w:sig w:usb0="00000003"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0260644"/>
      <w:docPartObj>
        <w:docPartGallery w:val="Page Numbers (Bottom of Page)"/>
        <w:docPartUnique/>
      </w:docPartObj>
    </w:sdtPr>
    <w:sdtEndPr>
      <w:rPr>
        <w:rStyle w:val="PageNumber"/>
      </w:rPr>
    </w:sdtEndPr>
    <w:sdtContent>
      <w:p w14:paraId="29C74B77" w14:textId="67B1BE17" w:rsidR="002C2919" w:rsidRDefault="004A63CC" w:rsidP="00906ECF">
        <w:pPr>
          <w:pStyle w:val="Footer"/>
          <w:framePr w:wrap="none" w:vAnchor="text" w:hAnchor="margin" w:xAlign="right" w:y="1"/>
          <w:rPr>
            <w:rStyle w:val="PageNumber"/>
          </w:rPr>
        </w:pPr>
      </w:p>
    </w:sdtContent>
  </w:sdt>
  <w:p w14:paraId="241737E0" w14:textId="77777777" w:rsidR="002C2919" w:rsidRDefault="002C2919" w:rsidP="00906E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B741" w14:textId="7A267ADC" w:rsidR="002C2919" w:rsidRDefault="002C2919">
    <w:pPr>
      <w:pStyle w:val="Footer"/>
      <w:jc w:val="right"/>
    </w:pPr>
  </w:p>
  <w:p w14:paraId="0DFBBC7B" w14:textId="77777777" w:rsidR="002C2919" w:rsidRDefault="002C2919" w:rsidP="00906E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24E4C" w14:textId="77777777" w:rsidR="004A63CC" w:rsidRDefault="004A63CC" w:rsidP="00944DA6">
      <w:r>
        <w:separator/>
      </w:r>
    </w:p>
  </w:footnote>
  <w:footnote w:type="continuationSeparator" w:id="0">
    <w:p w14:paraId="0C0C43B7" w14:textId="77777777" w:rsidR="004A63CC" w:rsidRDefault="004A63CC" w:rsidP="00944DA6">
      <w:r>
        <w:continuationSeparator/>
      </w:r>
    </w:p>
  </w:footnote>
  <w:footnote w:id="1">
    <w:p w14:paraId="431BCB83" w14:textId="0BB790B4" w:rsidR="002C2919" w:rsidRPr="00517045" w:rsidRDefault="002C2919" w:rsidP="00404AA3">
      <w:pPr>
        <w:ind w:firstLine="284"/>
        <w:jc w:val="both"/>
        <w:rPr>
          <w:sz w:val="20"/>
          <w:szCs w:val="20"/>
          <w:lang w:val="en-US" w:eastAsia="it-IT"/>
        </w:rPr>
      </w:pPr>
      <w:r w:rsidRPr="00517045">
        <w:rPr>
          <w:rStyle w:val="FootnoteReference"/>
          <w:sz w:val="20"/>
          <w:szCs w:val="20"/>
        </w:rPr>
        <w:footnoteRef/>
      </w:r>
      <w:r w:rsidRPr="00517045">
        <w:rPr>
          <w:sz w:val="20"/>
          <w:szCs w:val="20"/>
          <w:lang w:val="en-US"/>
        </w:rPr>
        <w:t xml:space="preserve"> COMISSÃO DE DIREITO INTERNACIONAL. </w:t>
      </w:r>
      <w:r w:rsidRPr="00517045">
        <w:rPr>
          <w:i/>
          <w:iCs/>
          <w:sz w:val="20"/>
          <w:szCs w:val="20"/>
          <w:lang w:val="en-US"/>
        </w:rPr>
        <w:t xml:space="preserve">Draft Conclusions on Peremptory Norms of General International Law (Jus Cogens) (with commentaries), </w:t>
      </w:r>
      <w:r w:rsidRPr="00517045">
        <w:rPr>
          <w:sz w:val="20"/>
          <w:szCs w:val="20"/>
          <w:lang w:val="en-US"/>
        </w:rPr>
        <w:t>Report of the International Law Commission, 71</w:t>
      </w:r>
      <w:r w:rsidRPr="00517045">
        <w:rPr>
          <w:sz w:val="20"/>
          <w:szCs w:val="20"/>
          <w:vertAlign w:val="superscript"/>
          <w:lang w:val="en-US"/>
        </w:rPr>
        <w:t>st</w:t>
      </w:r>
      <w:r w:rsidRPr="00517045">
        <w:rPr>
          <w:sz w:val="20"/>
          <w:szCs w:val="20"/>
          <w:lang w:val="en-US"/>
        </w:rPr>
        <w:t xml:space="preserve"> Session, General Assembly Official Records, Supp No 10 (A/74/10), Chapter IV, para. 57. Ver também; TLADI, Dire. </w:t>
      </w:r>
      <w:r w:rsidRPr="00517045">
        <w:rPr>
          <w:i/>
          <w:iCs/>
          <w:sz w:val="20"/>
          <w:szCs w:val="20"/>
          <w:lang w:val="en-US"/>
        </w:rPr>
        <w:t>The International Law Commission’s Draft Conclusions on Peremptory Norms of General International Law (jus cogens): Making Wine from Water or More Water than Wine</w:t>
      </w:r>
      <w:r w:rsidRPr="00517045">
        <w:rPr>
          <w:sz w:val="20"/>
          <w:szCs w:val="20"/>
          <w:lang w:val="en-US"/>
        </w:rPr>
        <w:t xml:space="preserve">. Nordic Journal of Human </w:t>
      </w:r>
      <w:proofErr w:type="gramStart"/>
      <w:r w:rsidRPr="00517045">
        <w:rPr>
          <w:sz w:val="20"/>
          <w:szCs w:val="20"/>
          <w:lang w:val="en-US"/>
        </w:rPr>
        <w:t>Rights,vol.</w:t>
      </w:r>
      <w:proofErr w:type="gramEnd"/>
      <w:r w:rsidRPr="00517045">
        <w:rPr>
          <w:sz w:val="20"/>
          <w:szCs w:val="20"/>
          <w:lang w:val="en-US"/>
        </w:rPr>
        <w:t xml:space="preserve"> 89, n. 2, p.244-270, 2020. </w:t>
      </w:r>
    </w:p>
  </w:footnote>
  <w:footnote w:id="2">
    <w:p w14:paraId="654A4049" w14:textId="76CE8ACE" w:rsidR="002C2919" w:rsidRPr="00517045" w:rsidRDefault="002C2919" w:rsidP="00404AA3">
      <w:pPr>
        <w:ind w:firstLine="284"/>
        <w:jc w:val="both"/>
        <w:rPr>
          <w:sz w:val="20"/>
          <w:szCs w:val="20"/>
          <w:lang w:val="en-US"/>
        </w:rPr>
      </w:pPr>
      <w:r w:rsidRPr="00517045">
        <w:rPr>
          <w:rStyle w:val="FootnoteReference"/>
          <w:sz w:val="20"/>
          <w:szCs w:val="20"/>
        </w:rPr>
        <w:footnoteRef/>
      </w:r>
      <w:r w:rsidRPr="00517045">
        <w:rPr>
          <w:sz w:val="20"/>
          <w:szCs w:val="20"/>
          <w:lang w:val="en-US"/>
        </w:rPr>
        <w:t xml:space="preserve"> Ver, entre outros: GASTORN, Kennedy. </w:t>
      </w:r>
      <w:r w:rsidRPr="00517045">
        <w:rPr>
          <w:i/>
          <w:iCs/>
          <w:sz w:val="20"/>
          <w:szCs w:val="20"/>
          <w:lang w:val="en-US"/>
        </w:rPr>
        <w:t>Defining the Imprecise Contours of Jus Cogens in International Law</w:t>
      </w:r>
      <w:r w:rsidRPr="00517045">
        <w:rPr>
          <w:sz w:val="20"/>
          <w:szCs w:val="20"/>
          <w:lang w:val="en-US"/>
        </w:rPr>
        <w:t xml:space="preserve">. Chinese Journal of International Law, vol. 16, n.4, 2017; </w:t>
      </w:r>
      <w:proofErr w:type="gramStart"/>
      <w:r w:rsidRPr="00517045">
        <w:rPr>
          <w:sz w:val="20"/>
          <w:szCs w:val="20"/>
          <w:lang w:val="en-US"/>
        </w:rPr>
        <w:t>LINDERFALK,Ulf</w:t>
      </w:r>
      <w:proofErr w:type="gramEnd"/>
      <w:r w:rsidRPr="00517045">
        <w:rPr>
          <w:sz w:val="20"/>
          <w:szCs w:val="20"/>
          <w:lang w:val="en-US"/>
        </w:rPr>
        <w:t xml:space="preserve">. </w:t>
      </w:r>
      <w:r w:rsidRPr="00517045">
        <w:rPr>
          <w:i/>
          <w:iCs/>
          <w:sz w:val="20"/>
          <w:szCs w:val="20"/>
          <w:lang w:val="en-US"/>
        </w:rPr>
        <w:t>Understanding Jus Cogens in International Law and International Legal Discourse</w:t>
      </w:r>
      <w:r w:rsidRPr="00517045">
        <w:rPr>
          <w:sz w:val="20"/>
          <w:szCs w:val="20"/>
          <w:lang w:val="en-US"/>
        </w:rPr>
        <w:t xml:space="preserve">. Londres: Edgard Elgar, 2020; DE WET, Erika. </w:t>
      </w:r>
      <w:r w:rsidRPr="00517045">
        <w:rPr>
          <w:i/>
          <w:iCs/>
          <w:sz w:val="20"/>
          <w:szCs w:val="20"/>
          <w:lang w:val="en-US"/>
        </w:rPr>
        <w:t>Entrenching international values through positive law: The (limited) effect of peremptory norms</w:t>
      </w:r>
      <w:r w:rsidRPr="00517045">
        <w:rPr>
          <w:sz w:val="20"/>
          <w:szCs w:val="20"/>
          <w:lang w:val="en-US"/>
        </w:rPr>
        <w:t>. KFG Working Paper No. 25, 2019.</w:t>
      </w:r>
    </w:p>
  </w:footnote>
  <w:footnote w:id="3">
    <w:p w14:paraId="7F443FA2" w14:textId="783ECE48" w:rsidR="002C2919" w:rsidRPr="005045EA"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en-US"/>
        </w:rPr>
        <w:t xml:space="preserve"> LINDERFALK, Ulf. </w:t>
      </w:r>
      <w:r w:rsidRPr="00517045">
        <w:rPr>
          <w:i/>
          <w:iCs/>
          <w:sz w:val="20"/>
          <w:szCs w:val="20"/>
          <w:lang w:val="en-US"/>
        </w:rPr>
        <w:t xml:space="preserve">Understanding the </w:t>
      </w:r>
      <w:r w:rsidRPr="00517045">
        <w:rPr>
          <w:sz w:val="20"/>
          <w:szCs w:val="20"/>
          <w:lang w:val="en-US"/>
        </w:rPr>
        <w:t xml:space="preserve">Jus Cogens </w:t>
      </w:r>
      <w:r w:rsidRPr="00517045">
        <w:rPr>
          <w:i/>
          <w:iCs/>
          <w:sz w:val="20"/>
          <w:szCs w:val="20"/>
          <w:lang w:val="en-US"/>
        </w:rPr>
        <w:t>Debate: The Pervasive Influence of Legal Positivism and Legal Idealism</w:t>
      </w:r>
      <w:r w:rsidRPr="00517045">
        <w:rPr>
          <w:sz w:val="20"/>
          <w:szCs w:val="20"/>
          <w:lang w:val="en-US"/>
        </w:rPr>
        <w:t xml:space="preserve">. </w:t>
      </w:r>
      <w:r w:rsidRPr="005045EA">
        <w:rPr>
          <w:sz w:val="20"/>
          <w:szCs w:val="20"/>
          <w:lang w:val="pt-BR"/>
        </w:rPr>
        <w:t xml:space="preserve">Netherlands Yearbook of International Law, vol. 46, 2015. </w:t>
      </w:r>
    </w:p>
  </w:footnote>
  <w:footnote w:id="4">
    <w:p w14:paraId="132479DB" w14:textId="232E6B88" w:rsidR="00D7366F" w:rsidRPr="005045EA" w:rsidRDefault="00D7366F">
      <w:pPr>
        <w:pStyle w:val="FootnoteText"/>
        <w:rPr>
          <w:lang w:val="en-GB"/>
        </w:rPr>
      </w:pPr>
      <w:r>
        <w:rPr>
          <w:rStyle w:val="FootnoteReference"/>
        </w:rPr>
        <w:footnoteRef/>
      </w:r>
      <w:r w:rsidRPr="005045EA">
        <w:rPr>
          <w:lang w:val="pt-BR"/>
        </w:rPr>
        <w:t xml:space="preserve"> </w:t>
      </w:r>
      <w:r w:rsidRPr="00D7366F">
        <w:rPr>
          <w:lang w:val="pt-BR"/>
        </w:rPr>
        <w:t>Nesse s</w:t>
      </w:r>
      <w:r w:rsidRPr="005045EA">
        <w:rPr>
          <w:lang w:val="pt-BR"/>
        </w:rPr>
        <w:t>entido ver, meramente a t</w:t>
      </w:r>
      <w:r>
        <w:rPr>
          <w:lang w:val="pt-BR"/>
        </w:rPr>
        <w:t xml:space="preserve">ítulo exemplificativo, </w:t>
      </w:r>
      <w:r w:rsidRPr="00D7366F">
        <w:rPr>
          <w:lang w:val="pt-BR"/>
        </w:rPr>
        <w:t xml:space="preserve">PAHUJA, Sundhya. </w:t>
      </w:r>
      <w:r w:rsidRPr="005045EA">
        <w:rPr>
          <w:lang w:val="en-GB"/>
        </w:rPr>
        <w:t xml:space="preserve">Decolonising International Law: Development, Economic </w:t>
      </w:r>
      <w:proofErr w:type="gramStart"/>
      <w:r w:rsidRPr="005045EA">
        <w:rPr>
          <w:lang w:val="en-GB"/>
        </w:rPr>
        <w:t>Growth</w:t>
      </w:r>
      <w:proofErr w:type="gramEnd"/>
      <w:r w:rsidRPr="005045EA">
        <w:rPr>
          <w:lang w:val="en-GB"/>
        </w:rPr>
        <w:t xml:space="preserve"> and the Politics of Universality. Cambridge: Cambridge University Press, 2011.</w:t>
      </w:r>
    </w:p>
  </w:footnote>
  <w:footnote w:id="5">
    <w:p w14:paraId="74FC7E25" w14:textId="7D438692" w:rsidR="002C2919" w:rsidRPr="00517045" w:rsidRDefault="002C2919" w:rsidP="00404AA3">
      <w:pPr>
        <w:ind w:firstLine="284"/>
        <w:jc w:val="both"/>
        <w:rPr>
          <w:sz w:val="20"/>
          <w:szCs w:val="20"/>
          <w:lang w:val="en-US"/>
        </w:rPr>
      </w:pPr>
      <w:r w:rsidRPr="00517045">
        <w:rPr>
          <w:rStyle w:val="FootnoteReference"/>
          <w:sz w:val="20"/>
          <w:szCs w:val="20"/>
        </w:rPr>
        <w:footnoteRef/>
      </w:r>
      <w:r w:rsidRPr="00517045">
        <w:rPr>
          <w:sz w:val="20"/>
          <w:szCs w:val="20"/>
          <w:lang w:val="en-US"/>
        </w:rPr>
        <w:t xml:space="preserve"> GAJA, Giorgio. Jus Cogens </w:t>
      </w:r>
      <w:r w:rsidRPr="00517045">
        <w:rPr>
          <w:i/>
          <w:iCs/>
          <w:sz w:val="20"/>
          <w:szCs w:val="20"/>
          <w:lang w:val="en-US"/>
        </w:rPr>
        <w:t>Beyond the Vienna Convention</w:t>
      </w:r>
      <w:r w:rsidRPr="00517045">
        <w:rPr>
          <w:sz w:val="20"/>
          <w:szCs w:val="20"/>
          <w:lang w:val="en-US"/>
        </w:rPr>
        <w:t xml:space="preserve">. </w:t>
      </w:r>
      <w:proofErr w:type="gramStart"/>
      <w:r w:rsidRPr="00517045">
        <w:rPr>
          <w:sz w:val="20"/>
          <w:szCs w:val="20"/>
          <w:lang w:val="en-GB"/>
        </w:rPr>
        <w:t>Haia :</w:t>
      </w:r>
      <w:proofErr w:type="gramEnd"/>
      <w:r w:rsidRPr="00517045">
        <w:rPr>
          <w:sz w:val="20"/>
          <w:szCs w:val="20"/>
          <w:lang w:val="en-GB"/>
        </w:rPr>
        <w:t xml:space="preserve"> Recueil des Cours,1981. </w:t>
      </w:r>
      <w:r w:rsidRPr="00517045">
        <w:rPr>
          <w:sz w:val="20"/>
          <w:szCs w:val="20"/>
          <w:lang w:val="en-US"/>
        </w:rPr>
        <w:t xml:space="preserve">Ver também: HASMATH, Reza. </w:t>
      </w:r>
      <w:r w:rsidRPr="00517045">
        <w:rPr>
          <w:i/>
          <w:iCs/>
          <w:sz w:val="20"/>
          <w:szCs w:val="20"/>
          <w:lang w:val="en-US"/>
        </w:rPr>
        <w:t>The Utility of Regional Peremptory Norms in International Affairs</w:t>
      </w:r>
      <w:r w:rsidRPr="00517045">
        <w:rPr>
          <w:sz w:val="20"/>
          <w:szCs w:val="20"/>
          <w:lang w:val="en-US"/>
        </w:rPr>
        <w:t xml:space="preserve">. </w:t>
      </w:r>
      <w:r w:rsidRPr="00517045">
        <w:rPr>
          <w:i/>
          <w:iCs/>
          <w:sz w:val="20"/>
          <w:szCs w:val="20"/>
          <w:lang w:val="pt-BR"/>
        </w:rPr>
        <w:t>Paper</w:t>
      </w:r>
      <w:r w:rsidRPr="00517045">
        <w:rPr>
          <w:sz w:val="20"/>
          <w:szCs w:val="20"/>
          <w:lang w:val="pt-BR"/>
        </w:rPr>
        <w:t xml:space="preserve"> apresentado na Reunião Annual da American Political Science Association, Nova Orleans, Estados Unidos, 30 de agosto-2 de setembro de 2012; mais recentemente: FOIS, Paolo. </w:t>
      </w:r>
      <w:r w:rsidRPr="00517045">
        <w:rPr>
          <w:i/>
          <w:iCs/>
          <w:sz w:val="20"/>
          <w:szCs w:val="20"/>
        </w:rPr>
        <w:t xml:space="preserve">Sui caratteri dello </w:t>
      </w:r>
      <w:r w:rsidRPr="00517045">
        <w:rPr>
          <w:sz w:val="20"/>
          <w:szCs w:val="20"/>
        </w:rPr>
        <w:t xml:space="preserve">jus cogens </w:t>
      </w:r>
      <w:r w:rsidRPr="00517045">
        <w:rPr>
          <w:i/>
          <w:iCs/>
          <w:sz w:val="20"/>
          <w:szCs w:val="20"/>
        </w:rPr>
        <w:t>regionale nel diritto dell’Unione europea</w:t>
      </w:r>
      <w:r w:rsidRPr="00517045">
        <w:rPr>
          <w:sz w:val="20"/>
          <w:szCs w:val="20"/>
        </w:rPr>
        <w:t xml:space="preserve">, Rivista di diritto Internazionale, vol. 3, 2020. </w:t>
      </w:r>
      <w:r w:rsidRPr="00517045">
        <w:rPr>
          <w:sz w:val="20"/>
          <w:szCs w:val="20"/>
          <w:lang w:val="pt-BR"/>
        </w:rPr>
        <w:t>Outras referências estão disponíveis no Quarto Relatório sobre normas peremptórias de direito internacional geral (</w:t>
      </w:r>
      <w:r w:rsidRPr="00517045">
        <w:rPr>
          <w:i/>
          <w:iCs/>
          <w:sz w:val="20"/>
          <w:szCs w:val="20"/>
          <w:lang w:val="pt-BR"/>
        </w:rPr>
        <w:t>jus cogens</w:t>
      </w:r>
      <w:r w:rsidRPr="00517045">
        <w:rPr>
          <w:sz w:val="20"/>
          <w:szCs w:val="20"/>
          <w:lang w:val="pt-BR"/>
        </w:rPr>
        <w:t xml:space="preserve">) por Dire Tladi, Rapporteur Especial (A/CN.4/727, paras. </w:t>
      </w:r>
      <w:r w:rsidRPr="00517045">
        <w:rPr>
          <w:sz w:val="20"/>
          <w:szCs w:val="20"/>
          <w:lang w:val="en-US"/>
        </w:rPr>
        <w:t xml:space="preserve">21 </w:t>
      </w:r>
      <w:r w:rsidRPr="00517045">
        <w:rPr>
          <w:i/>
          <w:iCs/>
          <w:sz w:val="20"/>
          <w:szCs w:val="20"/>
          <w:lang w:val="en-US"/>
        </w:rPr>
        <w:t>et seq.)</w:t>
      </w:r>
    </w:p>
  </w:footnote>
  <w:footnote w:id="6">
    <w:p w14:paraId="79D34A11" w14:textId="70A031C1" w:rsidR="002C2919" w:rsidRPr="00517045" w:rsidRDefault="002C2919" w:rsidP="00404AA3">
      <w:pPr>
        <w:ind w:firstLine="284"/>
        <w:jc w:val="both"/>
        <w:rPr>
          <w:sz w:val="20"/>
          <w:szCs w:val="20"/>
          <w:lang w:val="en-US"/>
        </w:rPr>
      </w:pPr>
      <w:r w:rsidRPr="00517045">
        <w:rPr>
          <w:rStyle w:val="FootnoteReference"/>
          <w:sz w:val="20"/>
          <w:szCs w:val="20"/>
        </w:rPr>
        <w:footnoteRef/>
      </w:r>
      <w:r w:rsidRPr="00517045">
        <w:rPr>
          <w:sz w:val="20"/>
          <w:szCs w:val="20"/>
          <w:lang w:val="en-US"/>
        </w:rPr>
        <w:t xml:space="preserve"> PELLET, Alain.Comments in Response to Christine Chinkin and in Defense of Jus Cogens as the Best Bastion against the Excesses of fragmentation. Finnish Yearbook of International Law, vol. XVII, 2006.</w:t>
      </w:r>
    </w:p>
  </w:footnote>
  <w:footnote w:id="7">
    <w:p w14:paraId="03C2937C" w14:textId="234DC1DA" w:rsidR="002C2919" w:rsidRPr="00517045" w:rsidRDefault="002C2919" w:rsidP="00404AA3">
      <w:pPr>
        <w:ind w:firstLine="284"/>
        <w:jc w:val="both"/>
        <w:rPr>
          <w:sz w:val="20"/>
          <w:szCs w:val="20"/>
          <w:lang w:val="pt-BR" w:eastAsia="it-IT"/>
        </w:rPr>
      </w:pPr>
      <w:r w:rsidRPr="00517045">
        <w:rPr>
          <w:rStyle w:val="FootnoteReference"/>
          <w:sz w:val="20"/>
          <w:szCs w:val="20"/>
        </w:rPr>
        <w:footnoteRef/>
      </w:r>
      <w:r w:rsidRPr="00517045">
        <w:rPr>
          <w:sz w:val="20"/>
          <w:szCs w:val="20"/>
          <w:lang w:val="en-US"/>
        </w:rPr>
        <w:t xml:space="preserve"> KOLB, Robert. </w:t>
      </w:r>
      <w:r w:rsidRPr="00517045">
        <w:rPr>
          <w:i/>
          <w:iCs/>
          <w:sz w:val="20"/>
          <w:szCs w:val="20"/>
          <w:lang w:val="en-US"/>
        </w:rPr>
        <w:t>Peremptory International Law (</w:t>
      </w:r>
      <w:r w:rsidRPr="00517045">
        <w:rPr>
          <w:sz w:val="20"/>
          <w:szCs w:val="20"/>
          <w:lang w:val="en-US"/>
        </w:rPr>
        <w:t>Jus Cogens</w:t>
      </w:r>
      <w:r w:rsidRPr="00517045">
        <w:rPr>
          <w:i/>
          <w:iCs/>
          <w:sz w:val="20"/>
          <w:szCs w:val="20"/>
          <w:lang w:val="en-US"/>
        </w:rPr>
        <w:t>): A General Inventory</w:t>
      </w:r>
      <w:r w:rsidRPr="00517045">
        <w:rPr>
          <w:sz w:val="20"/>
          <w:szCs w:val="20"/>
          <w:lang w:val="en-US"/>
        </w:rPr>
        <w:t xml:space="preserve">. </w:t>
      </w:r>
      <w:r w:rsidRPr="00517045">
        <w:rPr>
          <w:sz w:val="20"/>
          <w:szCs w:val="20"/>
          <w:lang w:val="pt-BR"/>
        </w:rPr>
        <w:t xml:space="preserve">Oxford, Hart, 2015. A referência ao conceito de "ordem pública europeia" pode ser encontrada na jurisprudência da Corte Europeia de Direitos Humanos. Ver: CtEDH. Caso </w:t>
      </w:r>
      <w:r w:rsidRPr="00517045">
        <w:rPr>
          <w:i/>
          <w:iCs/>
          <w:sz w:val="20"/>
          <w:szCs w:val="20"/>
          <w:lang w:val="pt-BR"/>
        </w:rPr>
        <w:t xml:space="preserve">Loizidou v. Turkey </w:t>
      </w:r>
      <w:r w:rsidRPr="00517045">
        <w:rPr>
          <w:sz w:val="20"/>
          <w:szCs w:val="20"/>
          <w:lang w:val="pt-BR"/>
        </w:rPr>
        <w:t xml:space="preserve">(objeções preliminares), decisão, 23 de março de 1995, Série A, No. 310. </w:t>
      </w:r>
    </w:p>
  </w:footnote>
  <w:footnote w:id="8">
    <w:p w14:paraId="44C103AA" w14:textId="5A5366F8" w:rsidR="002C2919" w:rsidRPr="00517045" w:rsidRDefault="002C2919" w:rsidP="00517045">
      <w:pPr>
        <w:ind w:firstLine="284"/>
        <w:jc w:val="both"/>
        <w:rPr>
          <w:sz w:val="20"/>
          <w:szCs w:val="20"/>
          <w:lang w:val="pt-BR" w:eastAsia="it-IT"/>
        </w:rPr>
      </w:pPr>
      <w:r w:rsidRPr="00517045">
        <w:rPr>
          <w:rStyle w:val="FootnoteReference"/>
          <w:sz w:val="20"/>
          <w:szCs w:val="20"/>
        </w:rPr>
        <w:footnoteRef/>
      </w:r>
      <w:r w:rsidRPr="00517045">
        <w:rPr>
          <w:sz w:val="20"/>
          <w:szCs w:val="20"/>
          <w:lang w:val="en-US"/>
        </w:rPr>
        <w:t xml:space="preserve"> TUNKIN, Grigory. </w:t>
      </w:r>
      <w:r w:rsidRPr="00517045">
        <w:rPr>
          <w:i/>
          <w:iCs/>
          <w:sz w:val="20"/>
          <w:szCs w:val="20"/>
          <w:lang w:val="en-US"/>
        </w:rPr>
        <w:t>Theory of International Law</w:t>
      </w:r>
      <w:r w:rsidRPr="00517045">
        <w:rPr>
          <w:sz w:val="20"/>
          <w:szCs w:val="20"/>
          <w:lang w:val="en-US"/>
        </w:rPr>
        <w:t xml:space="preserve">. Cambridge: Harvard University Press, 1974; ver também HASMATH, Reza. </w:t>
      </w:r>
      <w:r w:rsidRPr="00517045">
        <w:rPr>
          <w:i/>
          <w:iCs/>
          <w:sz w:val="20"/>
          <w:szCs w:val="20"/>
          <w:lang w:val="pt-BR"/>
        </w:rPr>
        <w:t>The Utility of Regional Peremptory Norms in International Affairs</w:t>
      </w:r>
      <w:r w:rsidRPr="00517045">
        <w:rPr>
          <w:sz w:val="20"/>
          <w:szCs w:val="20"/>
          <w:lang w:val="pt-BR"/>
        </w:rPr>
        <w:t xml:space="preserve">. </w:t>
      </w:r>
      <w:r w:rsidRPr="00517045">
        <w:rPr>
          <w:i/>
          <w:iCs/>
          <w:sz w:val="20"/>
          <w:szCs w:val="20"/>
          <w:lang w:val="pt-BR"/>
        </w:rPr>
        <w:t>Paper</w:t>
      </w:r>
      <w:r w:rsidRPr="00517045">
        <w:rPr>
          <w:sz w:val="20"/>
          <w:szCs w:val="20"/>
          <w:lang w:val="pt-BR"/>
        </w:rPr>
        <w:t xml:space="preserve"> apresentado na Reunião Annual da American Political Science Association, Nova Orleans, Estados Unidos, 30 de agosto-2 de setembro de 2012 para outros exemplos.</w:t>
      </w:r>
    </w:p>
  </w:footnote>
  <w:footnote w:id="9">
    <w:p w14:paraId="4D465E03" w14:textId="4747CA32" w:rsidR="002C2919" w:rsidRPr="00517045" w:rsidRDefault="002C2919" w:rsidP="00404AA3">
      <w:pPr>
        <w:ind w:firstLine="284"/>
        <w:jc w:val="both"/>
        <w:rPr>
          <w:sz w:val="20"/>
          <w:szCs w:val="20"/>
          <w:lang w:val="pt-BR" w:eastAsia="it-IT"/>
        </w:rPr>
      </w:pPr>
      <w:r w:rsidRPr="00517045">
        <w:rPr>
          <w:rStyle w:val="FootnoteReference"/>
          <w:sz w:val="20"/>
          <w:szCs w:val="20"/>
        </w:rPr>
        <w:footnoteRef/>
      </w:r>
      <w:r w:rsidRPr="00517045">
        <w:rPr>
          <w:sz w:val="20"/>
          <w:szCs w:val="20"/>
          <w:lang w:val="pt-BR"/>
        </w:rPr>
        <w:t xml:space="preserve"> </w:t>
      </w:r>
      <w:r w:rsidRPr="00517045">
        <w:rPr>
          <w:sz w:val="20"/>
          <w:szCs w:val="20"/>
          <w:lang w:val="pt-BR"/>
        </w:rPr>
        <w:t xml:space="preserve">COMISSÃO INTERAMERICANA DE DIREITOS HUMANOS. Caso </w:t>
      </w:r>
      <w:r w:rsidRPr="00517045">
        <w:rPr>
          <w:i/>
          <w:iCs/>
          <w:sz w:val="20"/>
          <w:szCs w:val="20"/>
          <w:lang w:val="pt-BR"/>
        </w:rPr>
        <w:t>Roach and Pinkerton v. United States</w:t>
      </w:r>
      <w:r w:rsidRPr="00517045">
        <w:rPr>
          <w:sz w:val="20"/>
          <w:szCs w:val="20"/>
          <w:lang w:val="pt-BR"/>
        </w:rPr>
        <w:t xml:space="preserve">, No. 9647, resolução No. 3/87, 22 de setembro de 1987. </w:t>
      </w:r>
    </w:p>
  </w:footnote>
  <w:footnote w:id="10">
    <w:p w14:paraId="3841BEF5" w14:textId="4B08BC0F" w:rsidR="002C2919" w:rsidRPr="00517045" w:rsidRDefault="002C2919" w:rsidP="00404AA3">
      <w:pPr>
        <w:pStyle w:val="CommentText"/>
        <w:rPr>
          <w:rFonts w:hAnsi="Times New Roman" w:cs="Times New Roman"/>
          <w:sz w:val="20"/>
          <w:szCs w:val="20"/>
          <w:lang w:val="pt-BR"/>
        </w:rPr>
      </w:pPr>
      <w:r w:rsidRPr="00517045">
        <w:rPr>
          <w:rStyle w:val="FootnoteReference"/>
          <w:rFonts w:hAnsi="Times New Roman" w:cs="Times New Roman"/>
          <w:sz w:val="20"/>
          <w:szCs w:val="20"/>
        </w:rPr>
        <w:footnoteRef/>
      </w:r>
      <w:r w:rsidRPr="00517045">
        <w:rPr>
          <w:rFonts w:hAnsi="Times New Roman" w:cs="Times New Roman"/>
          <w:sz w:val="20"/>
          <w:szCs w:val="20"/>
          <w:lang w:val="pt-BR"/>
        </w:rPr>
        <w:t xml:space="preserve"> </w:t>
      </w:r>
      <w:r w:rsidRPr="00517045">
        <w:rPr>
          <w:rFonts w:hAnsi="Times New Roman" w:cs="Times New Roman"/>
          <w:sz w:val="20"/>
          <w:szCs w:val="20"/>
          <w:lang w:val="pt-BR"/>
        </w:rPr>
        <w:t xml:space="preserve">O 4º relatório do </w:t>
      </w:r>
      <w:r w:rsidRPr="00517045">
        <w:rPr>
          <w:rFonts w:hAnsi="Times New Roman" w:cs="Times New Roman"/>
          <w:i/>
          <w:iCs/>
          <w:sz w:val="20"/>
          <w:szCs w:val="20"/>
          <w:lang w:val="pt-BR"/>
        </w:rPr>
        <w:t>rapporteur</w:t>
      </w:r>
      <w:r w:rsidRPr="00517045">
        <w:rPr>
          <w:rFonts w:hAnsi="Times New Roman" w:cs="Times New Roman"/>
          <w:sz w:val="20"/>
          <w:szCs w:val="20"/>
          <w:lang w:val="pt-BR"/>
        </w:rPr>
        <w:t xml:space="preserve"> especial Tladi na CDI, referindo-se às dificuldades de estabelecimento (ou formação) de um jus cogens regional (com o problema da aplicabilidade da regra do objetor persistente), a questão da definição de "região", a questão da ligação entre </w:t>
      </w:r>
      <w:r w:rsidRPr="00517045">
        <w:rPr>
          <w:rFonts w:hAnsi="Times New Roman" w:cs="Times New Roman"/>
          <w:i/>
          <w:iCs/>
          <w:sz w:val="20"/>
          <w:szCs w:val="20"/>
          <w:lang w:val="pt-BR"/>
        </w:rPr>
        <w:t>jus cogens</w:t>
      </w:r>
      <w:r w:rsidRPr="00517045">
        <w:rPr>
          <w:rFonts w:hAnsi="Times New Roman" w:cs="Times New Roman"/>
          <w:sz w:val="20"/>
          <w:szCs w:val="20"/>
          <w:lang w:val="pt-BR"/>
        </w:rPr>
        <w:t xml:space="preserve"> regional a um regime de tratado regional existente, o caráter excepcional de </w:t>
      </w:r>
      <w:r w:rsidRPr="00517045">
        <w:rPr>
          <w:rFonts w:hAnsi="Times New Roman" w:cs="Times New Roman"/>
          <w:i/>
          <w:iCs/>
          <w:sz w:val="20"/>
          <w:szCs w:val="20"/>
          <w:lang w:val="pt-BR"/>
        </w:rPr>
        <w:t>jus cogens</w:t>
      </w:r>
      <w:r w:rsidRPr="00517045">
        <w:rPr>
          <w:rFonts w:hAnsi="Times New Roman" w:cs="Times New Roman"/>
          <w:sz w:val="20"/>
          <w:szCs w:val="20"/>
          <w:lang w:val="pt-BR"/>
        </w:rPr>
        <w:t xml:space="preserve"> e as dificuldades relacionadas às conseqüências de </w:t>
      </w:r>
      <w:r w:rsidRPr="00517045">
        <w:rPr>
          <w:rFonts w:hAnsi="Times New Roman" w:cs="Times New Roman"/>
          <w:i/>
          <w:iCs/>
          <w:sz w:val="20"/>
          <w:szCs w:val="20"/>
          <w:lang w:val="pt-BR"/>
        </w:rPr>
        <w:t>jus cogens</w:t>
      </w:r>
      <w:r w:rsidRPr="00517045">
        <w:rPr>
          <w:rFonts w:hAnsi="Times New Roman" w:cs="Times New Roman"/>
          <w:sz w:val="20"/>
          <w:szCs w:val="20"/>
          <w:lang w:val="pt-BR"/>
        </w:rPr>
        <w:t xml:space="preserve"> regionais. </w:t>
      </w:r>
      <w:r w:rsidRPr="00517045">
        <w:rPr>
          <w:rStyle w:val="CommentReference"/>
          <w:rFonts w:hAnsi="Times New Roman" w:cs="Times New Roman"/>
          <w:sz w:val="20"/>
          <w:szCs w:val="20"/>
          <w:lang w:val="en-US"/>
        </w:rPr>
        <w:t xml:space="preserve">Ver mais recentemente: SANTOLARIA, </w:t>
      </w:r>
      <w:r w:rsidRPr="00517045">
        <w:rPr>
          <w:rFonts w:hAnsi="Times New Roman" w:cs="Times New Roman"/>
          <w:sz w:val="20"/>
          <w:szCs w:val="20"/>
          <w:lang w:val="en-US"/>
        </w:rPr>
        <w:t xml:space="preserve">Ruda. </w:t>
      </w:r>
      <w:r w:rsidRPr="00517045">
        <w:rPr>
          <w:rFonts w:hAnsi="Times New Roman" w:cs="Times New Roman"/>
          <w:i/>
          <w:iCs/>
          <w:sz w:val="20"/>
          <w:szCs w:val="20"/>
          <w:lang w:val="en-US"/>
        </w:rPr>
        <w:t>The Treatment of Peremptory Norms of General International Law (Jus Cogens) in the Inter-American Human Rights System</w:t>
      </w:r>
      <w:r w:rsidRPr="00517045">
        <w:rPr>
          <w:rFonts w:hAnsi="Times New Roman" w:cs="Times New Roman"/>
          <w:sz w:val="20"/>
          <w:szCs w:val="20"/>
          <w:lang w:val="en-US"/>
        </w:rPr>
        <w:t>, In TLADI, Dire (ed.)</w:t>
      </w:r>
      <w:r w:rsidRPr="00517045">
        <w:rPr>
          <w:rFonts w:hAnsi="Times New Roman" w:cs="Times New Roman"/>
          <w:color w:val="333333"/>
          <w:sz w:val="20"/>
          <w:szCs w:val="20"/>
          <w:lang w:val="en-US"/>
        </w:rPr>
        <w:t xml:space="preserve"> </w:t>
      </w:r>
      <w:r w:rsidRPr="00517045">
        <w:rPr>
          <w:rFonts w:hAnsi="Times New Roman" w:cs="Times New Roman"/>
          <w:i/>
          <w:iCs/>
          <w:color w:val="333333"/>
          <w:sz w:val="20"/>
          <w:szCs w:val="20"/>
          <w:lang w:val="en-US"/>
        </w:rPr>
        <w:t>Peremptory Norms of General International Law (Jus Cogens): Disquisitions and Disputations</w:t>
      </w:r>
      <w:r w:rsidRPr="00517045">
        <w:rPr>
          <w:rFonts w:hAnsi="Times New Roman" w:cs="Times New Roman"/>
          <w:color w:val="333333"/>
          <w:sz w:val="20"/>
          <w:szCs w:val="20"/>
          <w:lang w:val="en-US"/>
        </w:rPr>
        <w:t xml:space="preserve">. </w:t>
      </w:r>
      <w:r w:rsidRPr="00517045">
        <w:rPr>
          <w:rFonts w:hAnsi="Times New Roman" w:cs="Times New Roman"/>
          <w:color w:val="333333"/>
          <w:sz w:val="20"/>
          <w:szCs w:val="20"/>
          <w:lang w:val="pt-BR"/>
        </w:rPr>
        <w:t>Haia: Brill, 2021</w:t>
      </w:r>
      <w:r w:rsidRPr="00517045">
        <w:rPr>
          <w:rFonts w:hAnsi="Times New Roman" w:cs="Times New Roman"/>
          <w:sz w:val="20"/>
          <w:szCs w:val="20"/>
          <w:lang w:val="pt-BR"/>
        </w:rPr>
        <w:t>, criticando a ideia de um “</w:t>
      </w:r>
      <w:r w:rsidRPr="00517045">
        <w:rPr>
          <w:rFonts w:hAnsi="Times New Roman" w:cs="Times New Roman"/>
          <w:i/>
          <w:iCs/>
          <w:sz w:val="20"/>
          <w:szCs w:val="20"/>
          <w:lang w:val="pt-BR"/>
        </w:rPr>
        <w:t xml:space="preserve">jus cogens </w:t>
      </w:r>
      <w:r w:rsidRPr="00517045">
        <w:rPr>
          <w:rFonts w:hAnsi="Times New Roman" w:cs="Times New Roman"/>
          <w:sz w:val="20"/>
          <w:szCs w:val="20"/>
          <w:lang w:val="pt-BR"/>
        </w:rPr>
        <w:t>americano” ou “</w:t>
      </w:r>
      <w:r w:rsidRPr="00517045">
        <w:rPr>
          <w:rFonts w:hAnsi="Times New Roman" w:cs="Times New Roman"/>
          <w:i/>
          <w:iCs/>
          <w:sz w:val="20"/>
          <w:szCs w:val="20"/>
          <w:lang w:val="pt-BR"/>
        </w:rPr>
        <w:t xml:space="preserve">jus cogens </w:t>
      </w:r>
      <w:r w:rsidRPr="00517045">
        <w:rPr>
          <w:rFonts w:hAnsi="Times New Roman" w:cs="Times New Roman"/>
          <w:sz w:val="20"/>
          <w:szCs w:val="20"/>
          <w:lang w:val="pt-BR"/>
        </w:rPr>
        <w:t>africano”</w:t>
      </w:r>
    </w:p>
  </w:footnote>
  <w:footnote w:id="11">
    <w:p w14:paraId="241F9BD5" w14:textId="36CFA592" w:rsidR="002C2919" w:rsidRPr="00517045" w:rsidRDefault="002C2919" w:rsidP="00517045">
      <w:pPr>
        <w:jc w:val="both"/>
        <w:rPr>
          <w:sz w:val="20"/>
          <w:szCs w:val="20"/>
          <w:lang w:val="pt-BR"/>
        </w:rPr>
      </w:pPr>
      <w:r w:rsidRPr="00517045">
        <w:rPr>
          <w:rStyle w:val="FootnoteReference"/>
          <w:sz w:val="20"/>
          <w:szCs w:val="20"/>
        </w:rPr>
        <w:footnoteRef/>
      </w:r>
      <w:r w:rsidRPr="00517045">
        <w:rPr>
          <w:sz w:val="20"/>
          <w:szCs w:val="20"/>
          <w:lang w:val="en-US"/>
        </w:rPr>
        <w:t xml:space="preserve"> COSTELLOE, Daniel. </w:t>
      </w:r>
      <w:r w:rsidRPr="00517045">
        <w:rPr>
          <w:i/>
          <w:iCs/>
          <w:sz w:val="20"/>
          <w:szCs w:val="20"/>
          <w:lang w:val="en-US"/>
        </w:rPr>
        <w:t>Legal Consequences of Peremptory Norms in International Law</w:t>
      </w:r>
      <w:r w:rsidRPr="00517045">
        <w:rPr>
          <w:sz w:val="20"/>
          <w:szCs w:val="20"/>
          <w:lang w:val="en-US"/>
        </w:rPr>
        <w:t xml:space="preserve">. New York: Cambridge University Press, 2017. Ver, mais </w:t>
      </w:r>
      <w:proofErr w:type="gramStart"/>
      <w:r w:rsidRPr="00517045">
        <w:rPr>
          <w:sz w:val="20"/>
          <w:szCs w:val="20"/>
          <w:lang w:val="en-US"/>
        </w:rPr>
        <w:t>recentemente ,</w:t>
      </w:r>
      <w:proofErr w:type="gramEnd"/>
      <w:r w:rsidRPr="00517045">
        <w:rPr>
          <w:sz w:val="20"/>
          <w:szCs w:val="20"/>
          <w:lang w:val="en-US"/>
        </w:rPr>
        <w:t xml:space="preserve"> sobre este debate: STURMA, Pavel. </w:t>
      </w:r>
      <w:r w:rsidRPr="00517045">
        <w:rPr>
          <w:i/>
          <w:iCs/>
          <w:sz w:val="20"/>
          <w:szCs w:val="20"/>
          <w:lang w:val="en-US"/>
        </w:rPr>
        <w:t>Is There Any Regional</w:t>
      </w:r>
      <w:r w:rsidRPr="00517045">
        <w:rPr>
          <w:sz w:val="20"/>
          <w:szCs w:val="20"/>
          <w:lang w:val="en-US"/>
        </w:rPr>
        <w:t xml:space="preserve"> Jus</w:t>
      </w:r>
      <w:r w:rsidRPr="00517045">
        <w:rPr>
          <w:i/>
          <w:iCs/>
          <w:sz w:val="20"/>
          <w:szCs w:val="20"/>
          <w:lang w:val="en-US"/>
        </w:rPr>
        <w:t xml:space="preserve"> Cogens in Europe? The Case of the European Convention of Human Rights</w:t>
      </w:r>
      <w:r w:rsidRPr="00517045">
        <w:rPr>
          <w:sz w:val="20"/>
          <w:szCs w:val="20"/>
          <w:lang w:val="en-US"/>
        </w:rPr>
        <w:t>, In TLADI, Dire (ed.)</w:t>
      </w:r>
      <w:r w:rsidRPr="00517045">
        <w:rPr>
          <w:color w:val="333333"/>
          <w:sz w:val="20"/>
          <w:szCs w:val="20"/>
          <w:lang w:val="en-US"/>
        </w:rPr>
        <w:t xml:space="preserve"> </w:t>
      </w:r>
      <w:r w:rsidRPr="00517045">
        <w:rPr>
          <w:i/>
          <w:iCs/>
          <w:color w:val="333333"/>
          <w:sz w:val="20"/>
          <w:szCs w:val="20"/>
          <w:lang w:val="en-US"/>
        </w:rPr>
        <w:t>Peremptory Norms of General International Law</w:t>
      </w:r>
      <w:r w:rsidRPr="00517045">
        <w:rPr>
          <w:color w:val="333333"/>
          <w:sz w:val="20"/>
          <w:szCs w:val="20"/>
          <w:lang w:val="en-US"/>
        </w:rPr>
        <w:t xml:space="preserve"> (Jus Cogens): </w:t>
      </w:r>
      <w:r w:rsidRPr="00517045">
        <w:rPr>
          <w:i/>
          <w:iCs/>
          <w:color w:val="333333"/>
          <w:sz w:val="20"/>
          <w:szCs w:val="20"/>
          <w:lang w:val="en-US"/>
        </w:rPr>
        <w:t>Disquisitions and Disputations</w:t>
      </w:r>
      <w:r w:rsidRPr="00517045">
        <w:rPr>
          <w:color w:val="333333"/>
          <w:sz w:val="20"/>
          <w:szCs w:val="20"/>
          <w:lang w:val="en-US"/>
        </w:rPr>
        <w:t xml:space="preserve">. </w:t>
      </w:r>
      <w:r w:rsidRPr="00517045">
        <w:rPr>
          <w:color w:val="333333"/>
          <w:sz w:val="20"/>
          <w:szCs w:val="20"/>
          <w:lang w:val="pt-BR"/>
        </w:rPr>
        <w:t>Haia: Brill, 2021,</w:t>
      </w:r>
      <w:r w:rsidRPr="00517045">
        <w:rPr>
          <w:sz w:val="20"/>
          <w:szCs w:val="20"/>
          <w:lang w:val="pt-BR"/>
        </w:rPr>
        <w:t xml:space="preserve"> o qual conclui que a Convenção Europeia de Direitos Humanos como um todo “não é um exemplo de </w:t>
      </w:r>
      <w:r w:rsidRPr="00517045">
        <w:rPr>
          <w:i/>
          <w:iCs/>
          <w:sz w:val="20"/>
          <w:szCs w:val="20"/>
          <w:lang w:val="pt-BR"/>
        </w:rPr>
        <w:t xml:space="preserve">jus cogens </w:t>
      </w:r>
      <w:r w:rsidRPr="00517045">
        <w:rPr>
          <w:sz w:val="20"/>
          <w:szCs w:val="20"/>
          <w:lang w:val="pt-BR"/>
        </w:rPr>
        <w:t xml:space="preserve">regional”. </w:t>
      </w:r>
    </w:p>
  </w:footnote>
  <w:footnote w:id="12">
    <w:p w14:paraId="4D7791AE" w14:textId="26B750C6" w:rsidR="002C2919" w:rsidRPr="00517045" w:rsidRDefault="002C2919" w:rsidP="00404AA3">
      <w:pPr>
        <w:ind w:firstLine="284"/>
        <w:jc w:val="both"/>
        <w:rPr>
          <w:sz w:val="20"/>
          <w:szCs w:val="20"/>
          <w:lang w:val="en-US"/>
        </w:rPr>
      </w:pPr>
      <w:r w:rsidRPr="00517045">
        <w:rPr>
          <w:rStyle w:val="FootnoteReference"/>
          <w:sz w:val="20"/>
          <w:szCs w:val="20"/>
        </w:rPr>
        <w:footnoteRef/>
      </w:r>
      <w:r w:rsidRPr="00517045">
        <w:rPr>
          <w:sz w:val="20"/>
          <w:szCs w:val="20"/>
          <w:lang w:val="en-US"/>
        </w:rPr>
        <w:t xml:space="preserve"> CRAWFORD, James. Universalism and Regionalism from the Perspective of the Work of the International Law Commission </w:t>
      </w:r>
      <w:proofErr w:type="gramStart"/>
      <w:r w:rsidRPr="00517045">
        <w:rPr>
          <w:sz w:val="20"/>
          <w:szCs w:val="20"/>
          <w:lang w:val="en-US"/>
        </w:rPr>
        <w:t>In</w:t>
      </w:r>
      <w:proofErr w:type="gramEnd"/>
      <w:r w:rsidRPr="00517045">
        <w:rPr>
          <w:sz w:val="20"/>
          <w:szCs w:val="20"/>
          <w:lang w:val="en-US"/>
        </w:rPr>
        <w:t xml:space="preserve"> UNITED NATIONS (org.) International Law on the Eve of the Twenty-first Century. Views from the International Law Commission. Nova York, 1997.</w:t>
      </w:r>
    </w:p>
  </w:footnote>
  <w:footnote w:id="13">
    <w:p w14:paraId="4D9DF21F" w14:textId="60555F67" w:rsidR="002C2919" w:rsidRPr="00517045" w:rsidRDefault="002C2919" w:rsidP="00404AA3">
      <w:pPr>
        <w:ind w:firstLine="284"/>
        <w:jc w:val="both"/>
        <w:rPr>
          <w:sz w:val="20"/>
          <w:szCs w:val="20"/>
          <w:lang w:val="en-US"/>
        </w:rPr>
      </w:pPr>
      <w:r w:rsidRPr="00517045">
        <w:rPr>
          <w:rStyle w:val="FootnoteReference"/>
          <w:sz w:val="20"/>
          <w:szCs w:val="20"/>
        </w:rPr>
        <w:footnoteRef/>
      </w:r>
      <w:r w:rsidRPr="00517045">
        <w:rPr>
          <w:sz w:val="20"/>
          <w:szCs w:val="20"/>
          <w:lang w:val="en-US"/>
        </w:rPr>
        <w:t xml:space="preserve"> Ênfase nossa. </w:t>
      </w:r>
    </w:p>
  </w:footnote>
  <w:footnote w:id="14">
    <w:p w14:paraId="51B9142A" w14:textId="61A2862F"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pt-BR"/>
        </w:rPr>
        <w:t xml:space="preserve"> </w:t>
      </w:r>
      <w:r w:rsidRPr="00517045">
        <w:rPr>
          <w:sz w:val="20"/>
          <w:szCs w:val="20"/>
          <w:lang w:val="pt-BR"/>
        </w:rPr>
        <w:t xml:space="preserve">Comentário à conclusão nº 3, para 15. </w:t>
      </w:r>
    </w:p>
  </w:footnote>
  <w:footnote w:id="15">
    <w:p w14:paraId="03AAECF6" w14:textId="04D38C4C"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pt-BR"/>
        </w:rPr>
        <w:t xml:space="preserve"> </w:t>
      </w:r>
      <w:r w:rsidRPr="00517045">
        <w:rPr>
          <w:sz w:val="20"/>
          <w:szCs w:val="20"/>
          <w:lang w:val="pt-BR"/>
        </w:rPr>
        <w:t>COMISSÃO DE DIREITO INTERNACIONAL. Quarto Relatório sobre normas peremptórias de direito internacional geral (</w:t>
      </w:r>
      <w:r w:rsidRPr="00517045">
        <w:rPr>
          <w:i/>
          <w:iCs/>
          <w:sz w:val="20"/>
          <w:szCs w:val="20"/>
          <w:lang w:val="pt-BR"/>
        </w:rPr>
        <w:t>jus cogens</w:t>
      </w:r>
      <w:r w:rsidRPr="00517045">
        <w:rPr>
          <w:sz w:val="20"/>
          <w:szCs w:val="20"/>
          <w:lang w:val="pt-BR"/>
        </w:rPr>
        <w:t xml:space="preserve">) por Dire Tladi, Rapporteur Especial (A/CN.4/727), paras. 68. </w:t>
      </w:r>
    </w:p>
  </w:footnote>
  <w:footnote w:id="16">
    <w:p w14:paraId="49D18956" w14:textId="18E09882"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pt-BR"/>
        </w:rPr>
        <w:t xml:space="preserve"> </w:t>
      </w:r>
      <w:r w:rsidRPr="00517045">
        <w:rPr>
          <w:sz w:val="20"/>
          <w:szCs w:val="20"/>
          <w:lang w:val="pt-BR"/>
        </w:rPr>
        <w:t xml:space="preserve">Comentário à </w:t>
      </w:r>
      <w:r w:rsidRPr="00517045">
        <w:rPr>
          <w:i/>
          <w:iCs/>
          <w:sz w:val="20"/>
          <w:szCs w:val="20"/>
          <w:lang w:val="pt-BR"/>
        </w:rPr>
        <w:t>Draft conclusion</w:t>
      </w:r>
      <w:r w:rsidRPr="00517045">
        <w:rPr>
          <w:sz w:val="20"/>
          <w:szCs w:val="20"/>
          <w:lang w:val="pt-BR"/>
        </w:rPr>
        <w:t xml:space="preserve"> 1, para. 7 (ênfase nossa).</w:t>
      </w:r>
    </w:p>
  </w:footnote>
  <w:footnote w:id="17">
    <w:p w14:paraId="6EDF9CA5" w14:textId="5DA7C184" w:rsidR="002C2919" w:rsidRPr="00621170" w:rsidRDefault="002C2919" w:rsidP="00404AA3">
      <w:pPr>
        <w:pStyle w:val="FootnoteText"/>
        <w:spacing w:line="240" w:lineRule="auto"/>
        <w:rPr>
          <w:rFonts w:ascii="Times New Roman" w:hAnsi="Times New Roman"/>
          <w:sz w:val="20"/>
          <w:szCs w:val="20"/>
          <w:lang w:val="en-GB"/>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No final do quarto relatório que trata da questão, o Relator Especial observou que "pode-se concluir que a noção de </w:t>
      </w:r>
      <w:r w:rsidRPr="00517045">
        <w:rPr>
          <w:rFonts w:ascii="Times New Roman" w:hAnsi="Times New Roman"/>
          <w:i/>
          <w:iCs/>
          <w:sz w:val="20"/>
          <w:szCs w:val="20"/>
          <w:lang w:val="pt-BR"/>
        </w:rPr>
        <w:t>jus cogens</w:t>
      </w:r>
      <w:r w:rsidRPr="00517045">
        <w:rPr>
          <w:rFonts w:ascii="Times New Roman" w:hAnsi="Times New Roman"/>
          <w:sz w:val="20"/>
          <w:szCs w:val="20"/>
          <w:lang w:val="pt-BR"/>
        </w:rPr>
        <w:t xml:space="preserve"> regional não encontra apoio na prática dos Estados. Enquanto uma conclusão preliminar declarando explicitamente que o direito internacional não reconhece a noção de </w:t>
      </w:r>
      <w:r w:rsidRPr="00517045">
        <w:rPr>
          <w:rFonts w:ascii="Times New Roman" w:hAnsi="Times New Roman"/>
          <w:i/>
          <w:iCs/>
          <w:sz w:val="20"/>
          <w:szCs w:val="20"/>
          <w:lang w:val="pt-BR"/>
        </w:rPr>
        <w:t>jus cogens</w:t>
      </w:r>
      <w:r w:rsidRPr="00517045">
        <w:rPr>
          <w:rFonts w:ascii="Times New Roman" w:hAnsi="Times New Roman"/>
          <w:sz w:val="20"/>
          <w:szCs w:val="20"/>
          <w:lang w:val="pt-BR"/>
        </w:rPr>
        <w:t xml:space="preserve"> regional é possível, o Relator Especial é de opinião que tal conclusão não é necessária, e uma explicação apropriada poderia ser incluída no comentário. Por esta razão, nenhuma conclusão preliminar é proposta em relação ao </w:t>
      </w:r>
      <w:r w:rsidRPr="00517045">
        <w:rPr>
          <w:rFonts w:ascii="Times New Roman" w:hAnsi="Times New Roman"/>
          <w:i/>
          <w:iCs/>
          <w:sz w:val="20"/>
          <w:szCs w:val="20"/>
          <w:lang w:val="pt-BR"/>
        </w:rPr>
        <w:t>jus cogens</w:t>
      </w:r>
      <w:r w:rsidRPr="00517045">
        <w:rPr>
          <w:rFonts w:ascii="Times New Roman" w:hAnsi="Times New Roman"/>
          <w:sz w:val="20"/>
          <w:szCs w:val="20"/>
          <w:lang w:val="pt-BR"/>
        </w:rPr>
        <w:t xml:space="preserve"> regional". </w:t>
      </w:r>
      <w:r w:rsidRPr="00621170">
        <w:rPr>
          <w:rFonts w:ascii="Times New Roman" w:hAnsi="Times New Roman"/>
          <w:sz w:val="20"/>
          <w:szCs w:val="20"/>
          <w:lang w:val="en-GB"/>
        </w:rPr>
        <w:t>(para 47).</w:t>
      </w:r>
    </w:p>
  </w:footnote>
  <w:footnote w:id="18">
    <w:p w14:paraId="0551C4BB" w14:textId="7B47814C" w:rsidR="002C2919" w:rsidRPr="005045EA" w:rsidRDefault="002C2919" w:rsidP="00404AA3">
      <w:pPr>
        <w:ind w:firstLine="284"/>
        <w:jc w:val="both"/>
        <w:rPr>
          <w:sz w:val="20"/>
          <w:szCs w:val="20"/>
          <w:lang w:val="en-GB"/>
        </w:rPr>
      </w:pPr>
      <w:r w:rsidRPr="00517045">
        <w:rPr>
          <w:rStyle w:val="FootnoteReference"/>
          <w:sz w:val="20"/>
          <w:szCs w:val="20"/>
        </w:rPr>
        <w:footnoteRef/>
      </w:r>
      <w:r w:rsidRPr="00517045">
        <w:rPr>
          <w:sz w:val="20"/>
          <w:szCs w:val="20"/>
          <w:lang w:val="en-US"/>
        </w:rPr>
        <w:t xml:space="preserve"> PELLET, Alain.Comments in Response to Christine Chinkin and in Defense of Jus Cogens as the Best Bastion against the Excesses of fragmentation. </w:t>
      </w:r>
      <w:r w:rsidRPr="005045EA">
        <w:rPr>
          <w:sz w:val="20"/>
          <w:szCs w:val="20"/>
          <w:lang w:val="en-GB"/>
        </w:rPr>
        <w:t>Finnish Yearbook of International Law, vol. XVII, 2006.</w:t>
      </w:r>
    </w:p>
  </w:footnote>
  <w:footnote w:id="19">
    <w:p w14:paraId="2D92BEB7" w14:textId="3000F4F9" w:rsidR="002C2919" w:rsidRPr="005045EA" w:rsidRDefault="002C2919" w:rsidP="00404AA3">
      <w:pPr>
        <w:ind w:firstLine="284"/>
        <w:jc w:val="both"/>
        <w:rPr>
          <w:sz w:val="20"/>
          <w:szCs w:val="20"/>
          <w:lang w:val="en-GB"/>
        </w:rPr>
      </w:pPr>
      <w:r w:rsidRPr="00517045">
        <w:rPr>
          <w:rStyle w:val="FootnoteReference"/>
          <w:sz w:val="20"/>
          <w:szCs w:val="20"/>
        </w:rPr>
        <w:footnoteRef/>
      </w:r>
      <w:r w:rsidRPr="005045EA">
        <w:rPr>
          <w:sz w:val="20"/>
          <w:szCs w:val="20"/>
          <w:lang w:val="en-GB"/>
        </w:rPr>
        <w:t xml:space="preserve"> Comentário ao Artigo 4.4.3, para. 3</w:t>
      </w:r>
    </w:p>
  </w:footnote>
  <w:footnote w:id="20">
    <w:p w14:paraId="7EEC7B12" w14:textId="0EC6FE84" w:rsidR="002C2919" w:rsidRPr="00717ABD" w:rsidRDefault="002C2919" w:rsidP="00404AA3">
      <w:pPr>
        <w:ind w:firstLine="284"/>
        <w:jc w:val="both"/>
        <w:rPr>
          <w:sz w:val="20"/>
          <w:szCs w:val="20"/>
          <w:lang w:val="fr-FR"/>
        </w:rPr>
      </w:pPr>
      <w:r w:rsidRPr="00517045">
        <w:rPr>
          <w:rStyle w:val="FootnoteReference"/>
          <w:sz w:val="20"/>
          <w:szCs w:val="20"/>
        </w:rPr>
        <w:footnoteRef/>
      </w:r>
      <w:r w:rsidRPr="00717ABD">
        <w:rPr>
          <w:sz w:val="20"/>
          <w:szCs w:val="20"/>
          <w:lang w:val="en-GB"/>
        </w:rPr>
        <w:t xml:space="preserve"> </w:t>
      </w:r>
      <w:r w:rsidR="00717ABD" w:rsidRPr="00717ABD">
        <w:rPr>
          <w:sz w:val="20"/>
          <w:szCs w:val="20"/>
          <w:lang w:val="en-GB"/>
        </w:rPr>
        <w:t xml:space="preserve">Yearbook of the International Law Commission (2011), Vol. </w:t>
      </w:r>
      <w:r w:rsidR="00717ABD" w:rsidRPr="00717ABD">
        <w:rPr>
          <w:sz w:val="20"/>
          <w:szCs w:val="20"/>
          <w:lang w:val="fr-FR"/>
        </w:rPr>
        <w:t>II, Part 3, UN Doc A/CN.4/ SER.A/2011/Add.1 (Part 3), 294.</w:t>
      </w:r>
    </w:p>
  </w:footnote>
  <w:footnote w:id="21">
    <w:p w14:paraId="324CA707" w14:textId="2FC2B100"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pt-BR"/>
        </w:rPr>
        <w:t xml:space="preserve"> </w:t>
      </w:r>
      <w:r w:rsidRPr="00517045">
        <w:rPr>
          <w:sz w:val="20"/>
          <w:szCs w:val="20"/>
          <w:lang w:val="pt-BR"/>
        </w:rPr>
        <w:t>COMISSÃO DE DIREITO INTERNACIONAL. Quarto Relatório sobre normas peremptórias de direito internacional geral (</w:t>
      </w:r>
      <w:r w:rsidRPr="00517045">
        <w:rPr>
          <w:i/>
          <w:iCs/>
          <w:sz w:val="20"/>
          <w:szCs w:val="20"/>
          <w:lang w:val="pt-BR"/>
        </w:rPr>
        <w:t>jus cogens</w:t>
      </w:r>
      <w:r w:rsidRPr="00517045">
        <w:rPr>
          <w:sz w:val="20"/>
          <w:szCs w:val="20"/>
          <w:lang w:val="pt-BR"/>
        </w:rPr>
        <w:t>) por Dire Tladi, Rapporteur Especial (A/CN.4/727), paras. 22.</w:t>
      </w:r>
    </w:p>
  </w:footnote>
  <w:footnote w:id="22">
    <w:p w14:paraId="7403D729" w14:textId="5E417159"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pt-BR"/>
        </w:rPr>
        <w:t xml:space="preserve"> </w:t>
      </w:r>
      <w:r w:rsidRPr="00517045">
        <w:rPr>
          <w:sz w:val="20"/>
          <w:szCs w:val="20"/>
          <w:lang w:val="pt-BR"/>
        </w:rPr>
        <w:t xml:space="preserve">Ver Comentário à </w:t>
      </w:r>
      <w:r w:rsidRPr="00517045">
        <w:rPr>
          <w:i/>
          <w:iCs/>
          <w:sz w:val="20"/>
          <w:szCs w:val="20"/>
          <w:lang w:val="pt-BR"/>
        </w:rPr>
        <w:t xml:space="preserve"> Draft conclusion </w:t>
      </w:r>
      <w:r w:rsidRPr="00517045">
        <w:rPr>
          <w:sz w:val="20"/>
          <w:szCs w:val="20"/>
          <w:lang w:val="pt-BR"/>
        </w:rPr>
        <w:t>3, para 15, nota de rodapé 736.</w:t>
      </w:r>
    </w:p>
  </w:footnote>
  <w:footnote w:id="23">
    <w:p w14:paraId="5169E518" w14:textId="0FA65095" w:rsidR="002C2919" w:rsidRPr="00517045" w:rsidRDefault="002C2919" w:rsidP="00404AA3">
      <w:pPr>
        <w:ind w:firstLine="284"/>
        <w:jc w:val="both"/>
        <w:rPr>
          <w:sz w:val="20"/>
          <w:szCs w:val="20"/>
          <w:lang w:val="fr-FR"/>
        </w:rPr>
      </w:pPr>
      <w:r w:rsidRPr="00517045">
        <w:rPr>
          <w:rStyle w:val="FootnoteReference"/>
          <w:sz w:val="20"/>
          <w:szCs w:val="20"/>
        </w:rPr>
        <w:footnoteRef/>
      </w:r>
      <w:r w:rsidRPr="00517045">
        <w:rPr>
          <w:sz w:val="20"/>
          <w:szCs w:val="20"/>
          <w:lang w:val="pt-BR"/>
        </w:rPr>
        <w:t xml:space="preserve"> </w:t>
      </w:r>
      <w:r w:rsidRPr="00517045">
        <w:rPr>
          <w:sz w:val="20"/>
          <w:szCs w:val="20"/>
          <w:lang w:val="pt-BR"/>
        </w:rPr>
        <w:t xml:space="preserve">GAJA, Giorgio. </w:t>
      </w:r>
      <w:r w:rsidRPr="00517045">
        <w:rPr>
          <w:sz w:val="20"/>
          <w:szCs w:val="20"/>
          <w:lang w:val="fr-FR"/>
        </w:rPr>
        <w:t xml:space="preserve">Jus Cogens </w:t>
      </w:r>
      <w:r w:rsidRPr="00517045">
        <w:rPr>
          <w:i/>
          <w:iCs/>
          <w:sz w:val="20"/>
          <w:szCs w:val="20"/>
          <w:lang w:val="fr-FR"/>
        </w:rPr>
        <w:t>Beyond the Vienna Convention</w:t>
      </w:r>
      <w:r w:rsidRPr="00517045">
        <w:rPr>
          <w:sz w:val="20"/>
          <w:szCs w:val="20"/>
          <w:lang w:val="fr-FR"/>
        </w:rPr>
        <w:t>. Haia : Recueil des Cours, 1981.</w:t>
      </w:r>
    </w:p>
  </w:footnote>
  <w:footnote w:id="24">
    <w:p w14:paraId="6AAB4AF8" w14:textId="7A6E1128"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en-GB"/>
        </w:rPr>
        <w:t xml:space="preserve"> HASMATH, Reza. </w:t>
      </w:r>
      <w:r w:rsidRPr="00517045">
        <w:rPr>
          <w:i/>
          <w:iCs/>
          <w:sz w:val="20"/>
          <w:szCs w:val="20"/>
          <w:lang w:val="en-US"/>
        </w:rPr>
        <w:t>The Utility of Regional Peremptory Norms in International Affairs</w:t>
      </w:r>
      <w:r w:rsidRPr="00517045">
        <w:rPr>
          <w:sz w:val="20"/>
          <w:szCs w:val="20"/>
          <w:lang w:val="en-US"/>
        </w:rPr>
        <w:t xml:space="preserve">. </w:t>
      </w:r>
      <w:r w:rsidRPr="00517045">
        <w:rPr>
          <w:i/>
          <w:iCs/>
          <w:sz w:val="20"/>
          <w:szCs w:val="20"/>
          <w:lang w:val="pt-BR"/>
        </w:rPr>
        <w:t>Paper</w:t>
      </w:r>
      <w:r w:rsidRPr="00517045">
        <w:rPr>
          <w:sz w:val="20"/>
          <w:szCs w:val="20"/>
          <w:lang w:val="pt-BR"/>
        </w:rPr>
        <w:t xml:space="preserve"> apresentado na Reunião Annual da American Political Science Association, Nova Orleans, Estados Unidos, 30 de agosto-2 de setembro de 2012. Como o autor observa, "a existência de </w:t>
      </w:r>
      <w:r w:rsidRPr="00517045">
        <w:rPr>
          <w:i/>
          <w:iCs/>
          <w:sz w:val="20"/>
          <w:szCs w:val="20"/>
          <w:lang w:val="pt-BR"/>
        </w:rPr>
        <w:t>jus cogens</w:t>
      </w:r>
      <w:r w:rsidRPr="00517045">
        <w:rPr>
          <w:sz w:val="20"/>
          <w:szCs w:val="20"/>
          <w:lang w:val="pt-BR"/>
        </w:rPr>
        <w:t xml:space="preserve"> regionais através da promoção de divisões regionais e variações no direito internacional é uma afronta a nossas sensibilidades e intuições gerais". Mesmo assim, em uma comunidade internacional contemporânea na qual os Estados-nação são caracterizados por uma heterogeneidade sem precedentes, são exigidas normas de </w:t>
      </w:r>
      <w:r w:rsidRPr="00517045">
        <w:rPr>
          <w:i/>
          <w:iCs/>
          <w:sz w:val="20"/>
          <w:szCs w:val="20"/>
          <w:lang w:val="pt-BR"/>
        </w:rPr>
        <w:t xml:space="preserve">jus cogens </w:t>
      </w:r>
      <w:r w:rsidRPr="00517045">
        <w:rPr>
          <w:sz w:val="20"/>
          <w:szCs w:val="20"/>
          <w:lang w:val="pt-BR"/>
        </w:rPr>
        <w:t xml:space="preserve">regionais em situações limitadas; na esperança de promover igualdade substantiva e tratamento diferenciado, apesar de perpetuar uma maior desigualdade soberana. Negar a um grupo regional de estados-nação seu pensamento jurídico coletivo - encarnado como um </w:t>
      </w:r>
      <w:r w:rsidRPr="00517045">
        <w:rPr>
          <w:i/>
          <w:iCs/>
          <w:sz w:val="20"/>
          <w:szCs w:val="20"/>
          <w:lang w:val="pt-BR"/>
        </w:rPr>
        <w:t>jus cogens</w:t>
      </w:r>
      <w:r w:rsidRPr="00517045">
        <w:rPr>
          <w:sz w:val="20"/>
          <w:szCs w:val="20"/>
          <w:lang w:val="pt-BR"/>
        </w:rPr>
        <w:t xml:space="preserve"> regional apenas convida à manutenção de perspectivas privilegiadas. Isto também deve ser uma afronta a nossas sensibilidades e intuições".</w:t>
      </w:r>
    </w:p>
  </w:footnote>
  <w:footnote w:id="25">
    <w:p w14:paraId="570627E8" w14:textId="1FFD8B66" w:rsidR="002C2919" w:rsidRPr="00621170" w:rsidRDefault="002C2919" w:rsidP="00404AA3">
      <w:pPr>
        <w:ind w:firstLine="284"/>
        <w:jc w:val="both"/>
        <w:rPr>
          <w:sz w:val="20"/>
          <w:szCs w:val="20"/>
          <w:lang w:val="pt-BR"/>
        </w:rPr>
      </w:pPr>
      <w:r w:rsidRPr="00517045">
        <w:rPr>
          <w:rStyle w:val="FootnoteReference"/>
          <w:sz w:val="20"/>
          <w:szCs w:val="20"/>
        </w:rPr>
        <w:footnoteRef/>
      </w:r>
      <w:r w:rsidRPr="00621170">
        <w:rPr>
          <w:sz w:val="20"/>
          <w:szCs w:val="20"/>
          <w:lang w:val="pt-BR"/>
        </w:rPr>
        <w:t xml:space="preserve"> </w:t>
      </w:r>
      <w:r w:rsidRPr="00621170">
        <w:rPr>
          <w:sz w:val="20"/>
          <w:szCs w:val="20"/>
          <w:lang w:val="pt-BR"/>
        </w:rPr>
        <w:t xml:space="preserve">Ver </w:t>
      </w:r>
      <w:r w:rsidRPr="00621170">
        <w:rPr>
          <w:i/>
          <w:iCs/>
          <w:sz w:val="20"/>
          <w:szCs w:val="20"/>
          <w:lang w:val="pt-BR"/>
        </w:rPr>
        <w:t>Draft conclusion</w:t>
      </w:r>
      <w:r w:rsidRPr="00621170">
        <w:rPr>
          <w:sz w:val="20"/>
          <w:szCs w:val="20"/>
          <w:lang w:val="pt-BR"/>
        </w:rPr>
        <w:t xml:space="preserve"> 14.</w:t>
      </w:r>
    </w:p>
  </w:footnote>
  <w:footnote w:id="26">
    <w:p w14:paraId="31E13909" w14:textId="55AFF1FA" w:rsidR="002C2919" w:rsidRPr="00621170" w:rsidRDefault="002C2919" w:rsidP="00404AA3">
      <w:pPr>
        <w:ind w:firstLine="284"/>
        <w:jc w:val="both"/>
        <w:rPr>
          <w:sz w:val="20"/>
          <w:szCs w:val="20"/>
          <w:lang w:val="en-GB"/>
        </w:rPr>
      </w:pPr>
      <w:r w:rsidRPr="00517045">
        <w:rPr>
          <w:rStyle w:val="FootnoteReference"/>
          <w:sz w:val="20"/>
          <w:szCs w:val="20"/>
        </w:rPr>
        <w:footnoteRef/>
      </w:r>
      <w:r w:rsidRPr="00517045">
        <w:rPr>
          <w:sz w:val="20"/>
          <w:szCs w:val="20"/>
          <w:lang w:val="pt-BR"/>
        </w:rPr>
        <w:t xml:space="preserve"> </w:t>
      </w:r>
      <w:r w:rsidRPr="00517045">
        <w:rPr>
          <w:sz w:val="20"/>
          <w:szCs w:val="20"/>
          <w:lang w:val="pt-BR"/>
        </w:rPr>
        <w:t>COMISSÃO DE DIREITO INTERNACIONAL. Quarto Relatório sobre normas peremptórias de direito internacional geral (</w:t>
      </w:r>
      <w:r w:rsidRPr="00517045">
        <w:rPr>
          <w:i/>
          <w:iCs/>
          <w:sz w:val="20"/>
          <w:szCs w:val="20"/>
          <w:lang w:val="pt-BR"/>
        </w:rPr>
        <w:t>jus cogens</w:t>
      </w:r>
      <w:r w:rsidRPr="00517045">
        <w:rPr>
          <w:sz w:val="20"/>
          <w:szCs w:val="20"/>
          <w:lang w:val="pt-BR"/>
        </w:rPr>
        <w:t xml:space="preserve">) por Dire Tladi, Rapporteur Especial (A/CN.4/727), paras. </w:t>
      </w:r>
      <w:r w:rsidRPr="00517045">
        <w:rPr>
          <w:sz w:val="20"/>
          <w:szCs w:val="20"/>
          <w:lang w:val="en-US"/>
        </w:rPr>
        <w:t>28.</w:t>
      </w:r>
    </w:p>
  </w:footnote>
  <w:footnote w:id="27">
    <w:p w14:paraId="1AC1632B" w14:textId="059C0961" w:rsidR="002C2919" w:rsidRPr="00517045" w:rsidRDefault="002C2919" w:rsidP="00404AA3">
      <w:pPr>
        <w:pStyle w:val="CommentText"/>
        <w:rPr>
          <w:rFonts w:hAnsi="Times New Roman" w:cs="Times New Roman"/>
          <w:sz w:val="20"/>
          <w:szCs w:val="20"/>
          <w:lang w:val="en-US"/>
        </w:rPr>
      </w:pPr>
      <w:r w:rsidRPr="00517045">
        <w:rPr>
          <w:rStyle w:val="FootnoteReference"/>
          <w:rFonts w:hAnsi="Times New Roman" w:cs="Times New Roman"/>
          <w:sz w:val="20"/>
          <w:szCs w:val="20"/>
        </w:rPr>
        <w:footnoteRef/>
      </w:r>
      <w:r w:rsidRPr="00517045">
        <w:rPr>
          <w:rFonts w:hAnsi="Times New Roman" w:cs="Times New Roman"/>
          <w:sz w:val="20"/>
          <w:szCs w:val="20"/>
          <w:lang w:val="en-US"/>
        </w:rPr>
        <w:t xml:space="preserve"> SIMMA, Bruno; ALSTON, Philip. </w:t>
      </w:r>
      <w:r w:rsidRPr="00517045">
        <w:rPr>
          <w:rFonts w:hAnsi="Times New Roman" w:cs="Times New Roman"/>
          <w:i/>
          <w:iCs/>
          <w:sz w:val="20"/>
          <w:szCs w:val="20"/>
          <w:lang w:val="en-US"/>
        </w:rPr>
        <w:t xml:space="preserve">The Sources of Human Rights Law. Custom, </w:t>
      </w:r>
      <w:r w:rsidRPr="00517045">
        <w:rPr>
          <w:rFonts w:hAnsi="Times New Roman" w:cs="Times New Roman"/>
          <w:sz w:val="20"/>
          <w:szCs w:val="20"/>
          <w:lang w:val="en-US"/>
        </w:rPr>
        <w:t>Jus Cogens</w:t>
      </w:r>
      <w:r w:rsidRPr="00517045">
        <w:rPr>
          <w:rFonts w:hAnsi="Times New Roman" w:cs="Times New Roman"/>
          <w:i/>
          <w:iCs/>
          <w:sz w:val="20"/>
          <w:szCs w:val="20"/>
          <w:lang w:val="en-US"/>
        </w:rPr>
        <w:t>, and General Principles</w:t>
      </w:r>
      <w:r w:rsidRPr="00517045">
        <w:rPr>
          <w:rFonts w:hAnsi="Times New Roman" w:cs="Times New Roman"/>
          <w:sz w:val="20"/>
          <w:szCs w:val="20"/>
          <w:lang w:val="en-US"/>
        </w:rPr>
        <w:t xml:space="preserve">. Australian Yearbook of International Law, vol. 12, n </w:t>
      </w:r>
      <w:proofErr w:type="gramStart"/>
      <w:r w:rsidRPr="00517045">
        <w:rPr>
          <w:rFonts w:hAnsi="Times New Roman" w:cs="Times New Roman"/>
          <w:sz w:val="20"/>
          <w:szCs w:val="20"/>
          <w:lang w:val="en-US"/>
        </w:rPr>
        <w:t>1,  1992</w:t>
      </w:r>
      <w:proofErr w:type="gramEnd"/>
      <w:r w:rsidRPr="00517045">
        <w:rPr>
          <w:rFonts w:hAnsi="Times New Roman" w:cs="Times New Roman"/>
          <w:sz w:val="20"/>
          <w:szCs w:val="20"/>
          <w:lang w:val="en-US"/>
        </w:rPr>
        <w:t xml:space="preserve">. </w:t>
      </w:r>
    </w:p>
  </w:footnote>
  <w:footnote w:id="28">
    <w:p w14:paraId="17B3A799" w14:textId="4E2091F9" w:rsidR="002C2919" w:rsidRPr="00517045" w:rsidRDefault="002C2919" w:rsidP="00517045">
      <w:pPr>
        <w:pStyle w:val="FootnoteText"/>
        <w:spacing w:line="240" w:lineRule="auto"/>
        <w:rPr>
          <w:rFonts w:ascii="Times New Roman" w:hAnsi="Times New Roman"/>
          <w:sz w:val="20"/>
          <w:szCs w:val="20"/>
          <w:lang w:val="en-US"/>
        </w:rPr>
      </w:pPr>
      <w:r w:rsidRPr="00517045">
        <w:rPr>
          <w:rStyle w:val="FootnoteReference"/>
          <w:rFonts w:ascii="Times New Roman" w:hAnsi="Times New Roman"/>
          <w:sz w:val="20"/>
          <w:szCs w:val="20"/>
        </w:rPr>
        <w:footnoteRef/>
      </w:r>
      <w:r w:rsidRPr="00621170">
        <w:rPr>
          <w:rFonts w:ascii="Times New Roman" w:hAnsi="Times New Roman"/>
          <w:sz w:val="20"/>
          <w:szCs w:val="20"/>
          <w:lang w:val="pt-BR"/>
        </w:rPr>
        <w:t xml:space="preserve"> </w:t>
      </w:r>
      <w:r w:rsidRPr="00621170">
        <w:rPr>
          <w:rFonts w:ascii="Times New Roman" w:hAnsi="Times New Roman"/>
          <w:sz w:val="20"/>
          <w:szCs w:val="20"/>
          <w:lang w:val="pt-BR"/>
        </w:rPr>
        <w:t xml:space="preserve">Ver, de modo geral: COSTELLOE, Daniel. </w:t>
      </w:r>
      <w:r w:rsidRPr="00517045">
        <w:rPr>
          <w:rFonts w:ascii="Times New Roman" w:hAnsi="Times New Roman"/>
          <w:i/>
          <w:iCs/>
          <w:sz w:val="20"/>
          <w:szCs w:val="20"/>
          <w:lang w:val="en-US"/>
        </w:rPr>
        <w:t>Legal Consequences of Peremptory Norms in International Law</w:t>
      </w:r>
      <w:r w:rsidRPr="00517045">
        <w:rPr>
          <w:rFonts w:ascii="Times New Roman" w:hAnsi="Times New Roman"/>
          <w:sz w:val="20"/>
          <w:szCs w:val="20"/>
          <w:lang w:val="en-US"/>
        </w:rPr>
        <w:t>. New York: Cambridge University Press, 2017.</w:t>
      </w:r>
    </w:p>
  </w:footnote>
  <w:footnote w:id="29">
    <w:p w14:paraId="3E323F10" w14:textId="528CDF16" w:rsidR="002C2919" w:rsidRPr="00517045" w:rsidRDefault="002C2919" w:rsidP="00404AA3">
      <w:pPr>
        <w:ind w:firstLine="284"/>
        <w:jc w:val="both"/>
        <w:rPr>
          <w:sz w:val="20"/>
          <w:szCs w:val="20"/>
          <w:lang w:val="pt-BR"/>
        </w:rPr>
      </w:pPr>
      <w:r w:rsidRPr="00517045">
        <w:rPr>
          <w:rStyle w:val="FootnoteReference"/>
          <w:sz w:val="20"/>
          <w:szCs w:val="20"/>
        </w:rPr>
        <w:footnoteRef/>
      </w:r>
      <w:r w:rsidRPr="00517045">
        <w:rPr>
          <w:sz w:val="20"/>
          <w:szCs w:val="20"/>
          <w:lang w:val="en-US"/>
        </w:rPr>
        <w:t xml:space="preserve"> PELLET, Alain.Comments in Response to Christine Chinkin and in Defense of Jus Cogens as the Best Bastion against the Excesses of fragmentation. </w:t>
      </w:r>
      <w:r w:rsidRPr="00517045">
        <w:rPr>
          <w:sz w:val="20"/>
          <w:szCs w:val="20"/>
          <w:lang w:val="pt-BR"/>
        </w:rPr>
        <w:t xml:space="preserve">Finnish Yearbook of International Law, vol. XVII, 2006, p. 89. </w:t>
      </w:r>
    </w:p>
  </w:footnote>
  <w:footnote w:id="30">
    <w:p w14:paraId="77158F06" w14:textId="3FE9300D" w:rsidR="002C2919" w:rsidRPr="00517045" w:rsidRDefault="002C2919" w:rsidP="00404AA3">
      <w:pPr>
        <w:ind w:firstLine="284"/>
        <w:jc w:val="both"/>
        <w:rPr>
          <w:sz w:val="20"/>
          <w:szCs w:val="20"/>
          <w:lang w:val="pt-BR" w:eastAsia="it-IT"/>
        </w:rPr>
      </w:pPr>
      <w:r w:rsidRPr="00517045">
        <w:rPr>
          <w:rStyle w:val="FootnoteReference"/>
          <w:sz w:val="20"/>
          <w:szCs w:val="20"/>
        </w:rPr>
        <w:footnoteRef/>
      </w:r>
      <w:r w:rsidRPr="00517045">
        <w:rPr>
          <w:sz w:val="20"/>
          <w:szCs w:val="20"/>
          <w:lang w:val="pt-BR"/>
        </w:rPr>
        <w:t xml:space="preserve"> </w:t>
      </w:r>
      <w:r w:rsidRPr="00517045">
        <w:rPr>
          <w:sz w:val="20"/>
          <w:szCs w:val="20"/>
          <w:lang w:val="pt-BR"/>
        </w:rPr>
        <w:t>Ver: COMISSÃO DE DIREITO INTERNACIONAL. Quarto Relatório sobre normas peremptórias de direito internacional geral (</w:t>
      </w:r>
      <w:r w:rsidRPr="00517045">
        <w:rPr>
          <w:i/>
          <w:iCs/>
          <w:sz w:val="20"/>
          <w:szCs w:val="20"/>
          <w:lang w:val="pt-BR"/>
        </w:rPr>
        <w:t>jus cogens</w:t>
      </w:r>
      <w:r w:rsidRPr="00517045">
        <w:rPr>
          <w:sz w:val="20"/>
          <w:szCs w:val="20"/>
          <w:lang w:val="pt-BR"/>
        </w:rPr>
        <w:t xml:space="preserve">) por Dire Tladi, Rapporteur Especial (A/CN.4/727), para 39, citando </w:t>
      </w:r>
      <w:r w:rsidRPr="00517045">
        <w:rPr>
          <w:i/>
          <w:iCs/>
          <w:sz w:val="20"/>
          <w:szCs w:val="20"/>
          <w:lang w:val="pt-BR"/>
        </w:rPr>
        <w:t xml:space="preserve">Michael Domingues v. United States, </w:t>
      </w:r>
      <w:r w:rsidRPr="00517045">
        <w:rPr>
          <w:sz w:val="20"/>
          <w:szCs w:val="20"/>
          <w:lang w:val="pt-BR"/>
        </w:rPr>
        <w:t xml:space="preserve">Caso No. 12.285, Mérito, Comissão Interamericana de Direitos Humanos, 22 de outubro de 2002, para. 85 (“a Comissão está satisfeita, com base nas informações que lhe foram apresentadas, que esta regra foi reconhecida como sendo de natureza suficientemente indelével para constituir agora uma norma de jus cogens, um desenvolvimento antecipado pela Comissão em sua decisão no caso </w:t>
      </w:r>
      <w:r w:rsidRPr="00517045">
        <w:rPr>
          <w:i/>
          <w:iCs/>
          <w:sz w:val="20"/>
          <w:szCs w:val="20"/>
          <w:lang w:val="pt-BR"/>
        </w:rPr>
        <w:t>Roach e Pinkerton</w:t>
      </w:r>
      <w:r w:rsidRPr="00517045">
        <w:rPr>
          <w:sz w:val="20"/>
          <w:szCs w:val="20"/>
          <w:lang w:val="pt-BR"/>
        </w:rPr>
        <w:t xml:space="preserve">”). </w:t>
      </w:r>
    </w:p>
  </w:footnote>
  <w:footnote w:id="31">
    <w:p w14:paraId="4D85794B" w14:textId="5A37D2A8"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COMISSÃO DE DIREITO INTERNACIONAL. Quarto Relatório sobre normas peremptórias de direito internacional geral (</w:t>
      </w:r>
      <w:r w:rsidRPr="00517045">
        <w:rPr>
          <w:rFonts w:ascii="Times New Roman" w:hAnsi="Times New Roman"/>
          <w:i/>
          <w:iCs/>
          <w:sz w:val="20"/>
          <w:szCs w:val="20"/>
          <w:lang w:val="pt-BR"/>
        </w:rPr>
        <w:t>jus cogens</w:t>
      </w:r>
      <w:r w:rsidRPr="00517045">
        <w:rPr>
          <w:rFonts w:ascii="Times New Roman" w:hAnsi="Times New Roman"/>
          <w:sz w:val="20"/>
          <w:szCs w:val="20"/>
          <w:lang w:val="pt-BR"/>
        </w:rPr>
        <w:t>) por Dire Tladi, Rapporteur Especial (A/CN.4/727), para 40.</w:t>
      </w:r>
    </w:p>
  </w:footnote>
  <w:footnote w:id="32">
    <w:p w14:paraId="7799AFB8" w14:textId="3DEC46EE" w:rsidR="002C2919" w:rsidRPr="00621170" w:rsidRDefault="002C2919" w:rsidP="00517045">
      <w:pPr>
        <w:pStyle w:val="FootnoteText"/>
        <w:spacing w:line="240" w:lineRule="auto"/>
        <w:rPr>
          <w:rFonts w:ascii="Times New Roman" w:hAnsi="Times New Roman"/>
          <w:sz w:val="20"/>
          <w:szCs w:val="20"/>
          <w:lang w:val="en-GB"/>
        </w:rPr>
      </w:pPr>
      <w:r w:rsidRPr="00517045">
        <w:rPr>
          <w:rStyle w:val="FootnoteReference"/>
          <w:rFonts w:ascii="Times New Roman" w:hAnsi="Times New Roman"/>
          <w:sz w:val="20"/>
          <w:szCs w:val="20"/>
        </w:rPr>
        <w:footnoteRef/>
      </w:r>
      <w:r w:rsidRPr="00621170">
        <w:rPr>
          <w:rFonts w:ascii="Times New Roman" w:hAnsi="Times New Roman"/>
          <w:sz w:val="20"/>
          <w:szCs w:val="20"/>
          <w:lang w:val="en-GB"/>
        </w:rPr>
        <w:t xml:space="preserve"> Ver </w:t>
      </w:r>
      <w:r w:rsidRPr="00621170">
        <w:rPr>
          <w:rFonts w:ascii="Times New Roman" w:hAnsi="Times New Roman"/>
          <w:i/>
          <w:iCs/>
          <w:sz w:val="20"/>
          <w:szCs w:val="20"/>
          <w:lang w:val="en-GB"/>
        </w:rPr>
        <w:t xml:space="preserve">supra </w:t>
      </w:r>
      <w:r w:rsidRPr="00621170">
        <w:rPr>
          <w:rFonts w:ascii="Times New Roman" w:hAnsi="Times New Roman"/>
          <w:sz w:val="20"/>
          <w:szCs w:val="20"/>
          <w:lang w:val="en-GB"/>
        </w:rPr>
        <w:t>note 11.</w:t>
      </w:r>
    </w:p>
  </w:footnote>
  <w:footnote w:id="33">
    <w:p w14:paraId="66FEDD63" w14:textId="3A69B56B"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Rights and guarantees of children in the context of migration and/or in need of international protection, </w:t>
      </w:r>
      <w:r w:rsidRPr="00517045">
        <w:rPr>
          <w:rFonts w:ascii="Times New Roman" w:hAnsi="Times New Roman"/>
          <w:sz w:val="20"/>
          <w:szCs w:val="20"/>
          <w:lang w:val="en-US"/>
        </w:rPr>
        <w:t xml:space="preserve">OC-21, 19 de Agosto de 2014, IACtHR Series A No.21, para. 225 e CtIDH. Opinião Consultiva </w:t>
      </w:r>
      <w:proofErr w:type="gramStart"/>
      <w:r w:rsidRPr="00517045">
        <w:rPr>
          <w:rFonts w:ascii="Times New Roman" w:hAnsi="Times New Roman"/>
          <w:i/>
          <w:iCs/>
          <w:sz w:val="20"/>
          <w:szCs w:val="20"/>
          <w:lang w:val="en-US"/>
        </w:rPr>
        <w:t>The</w:t>
      </w:r>
      <w:proofErr w:type="gramEnd"/>
      <w:r w:rsidRPr="00517045">
        <w:rPr>
          <w:rFonts w:ascii="Times New Roman" w:hAnsi="Times New Roman"/>
          <w:i/>
          <w:iCs/>
          <w:sz w:val="20"/>
          <w:szCs w:val="20"/>
          <w:lang w:val="en-US"/>
        </w:rPr>
        <w:t xml:space="preserve"> institution of asylum, and its recognition as a human right under the Inter-American System of Protection</w:t>
      </w:r>
      <w:r w:rsidRPr="00517045">
        <w:rPr>
          <w:rFonts w:ascii="Times New Roman" w:hAnsi="Times New Roman"/>
          <w:sz w:val="20"/>
          <w:szCs w:val="20"/>
          <w:lang w:val="en-US"/>
        </w:rPr>
        <w:t xml:space="preserve">, OC-25/18 of 30 de maio de 2018, IACtHR Series A No. 25 [OC-25/18], para. </w:t>
      </w:r>
      <w:r w:rsidRPr="00517045">
        <w:rPr>
          <w:rFonts w:ascii="Times New Roman" w:hAnsi="Times New Roman"/>
          <w:sz w:val="20"/>
          <w:szCs w:val="20"/>
          <w:lang w:val="pt-BR"/>
        </w:rPr>
        <w:t>181</w:t>
      </w:r>
    </w:p>
  </w:footnote>
  <w:footnote w:id="34">
    <w:p w14:paraId="5A4C5ECB" w14:textId="4E0728A5" w:rsidR="002C2919" w:rsidRPr="005045EA" w:rsidRDefault="002C2919" w:rsidP="00404AA3">
      <w:pPr>
        <w:pStyle w:val="FootnoteText"/>
        <w:spacing w:line="240" w:lineRule="auto"/>
        <w:rPr>
          <w:rFonts w:ascii="Times New Roman" w:hAnsi="Times New Roman"/>
          <w:sz w:val="20"/>
          <w:szCs w:val="20"/>
          <w:lang w:val="en-GB"/>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A questão do regionalismo no continente americano voltou a ganhar atenção em tempos recentes. Veja, a este respeito: GALINDO, George Rodrigo Bandeira. Direito Internacional Costumeiro Regional (Em especial no contexto Americano) In COMITÉ JURÍDICO AMERICANO; DEPARTAMENTO DE DERECHO INTERNACIONAL DE LA SECRETARÍA DE ASUNTOS JURÍDICOS DE LA ORGANIZACIÓN DE LOS ESTADOS AMERICANOS. </w:t>
      </w:r>
      <w:r w:rsidRPr="00517045">
        <w:rPr>
          <w:rFonts w:ascii="Times New Roman" w:hAnsi="Times New Roman"/>
          <w:sz w:val="20"/>
          <w:szCs w:val="20"/>
          <w:lang w:val="es-ES"/>
        </w:rPr>
        <w:t xml:space="preserve">(Ed)). Curso de Derecho Internacional XLVI 2019. 1ed.Washington: Organización de los Estados Americanos, 2020, vol. 1, p. 13-27; LIMA, Lucas Carlos. </w:t>
      </w:r>
      <w:r w:rsidRPr="00517045">
        <w:rPr>
          <w:rFonts w:ascii="Times New Roman" w:hAnsi="Times New Roman"/>
          <w:sz w:val="20"/>
          <w:szCs w:val="20"/>
          <w:lang w:val="en-US"/>
        </w:rPr>
        <w:t xml:space="preserve">Regionalism in the codification of international law: the experience of the Inter-American Juridical Committee. </w:t>
      </w:r>
      <w:r w:rsidRPr="00517045">
        <w:rPr>
          <w:rFonts w:ascii="Times New Roman" w:hAnsi="Times New Roman"/>
          <w:sz w:val="20"/>
          <w:szCs w:val="20"/>
        </w:rPr>
        <w:t xml:space="preserve">In: ANNONI, Alessandra.; FORLATI, Serena.; SALERNO, Francesco. (eds) La codificazione nell'ordinamento internazionale e dell'Unione europea. </w:t>
      </w:r>
      <w:r w:rsidRPr="005045EA">
        <w:rPr>
          <w:rFonts w:ascii="Times New Roman" w:hAnsi="Times New Roman"/>
          <w:sz w:val="20"/>
          <w:szCs w:val="20"/>
          <w:lang w:val="en-GB"/>
        </w:rPr>
        <w:t>Milão, 2019.</w:t>
      </w:r>
    </w:p>
  </w:footnote>
  <w:footnote w:id="35">
    <w:p w14:paraId="74784F33" w14:textId="32FC4665" w:rsidR="00E80D93" w:rsidRPr="005045EA" w:rsidRDefault="00E80D93">
      <w:pPr>
        <w:pStyle w:val="FootnoteText"/>
        <w:rPr>
          <w:lang w:val="pt-BR"/>
        </w:rPr>
      </w:pPr>
      <w:r>
        <w:rPr>
          <w:rStyle w:val="FootnoteReference"/>
        </w:rPr>
        <w:footnoteRef/>
      </w:r>
      <w:r w:rsidRPr="005045EA">
        <w:rPr>
          <w:lang w:val="en-GB"/>
        </w:rPr>
        <w:t xml:space="preserve"> </w:t>
      </w:r>
      <w:r w:rsidR="00DC6CC0" w:rsidRPr="00517045">
        <w:rPr>
          <w:rFonts w:ascii="Times New Roman" w:hAnsi="Times New Roman"/>
          <w:sz w:val="20"/>
          <w:szCs w:val="20"/>
          <w:lang w:val="en-US"/>
        </w:rPr>
        <w:t xml:space="preserve">CtIDH. Opinião Consultiva </w:t>
      </w:r>
      <w:r w:rsidR="00DC6CC0" w:rsidRPr="00517045">
        <w:rPr>
          <w:rFonts w:ascii="Times New Roman" w:hAnsi="Times New Roman"/>
          <w:i/>
          <w:iCs/>
          <w:sz w:val="20"/>
          <w:szCs w:val="20"/>
          <w:lang w:val="en-US"/>
        </w:rPr>
        <w:t xml:space="preserve">The Obligations in Matters of Human Rights of a State that has Denounced the American Convention on Human Rights and the Charter of the Organization of American States, </w:t>
      </w:r>
      <w:r w:rsidR="00DC6CC0" w:rsidRPr="00517045">
        <w:rPr>
          <w:rFonts w:ascii="Times New Roman" w:hAnsi="Times New Roman"/>
          <w:sz w:val="20"/>
          <w:szCs w:val="20"/>
          <w:lang w:val="en-US"/>
        </w:rPr>
        <w:t xml:space="preserve">OC-26, 9 de novembro de 2020, IACtHR Série </w:t>
      </w:r>
      <w:proofErr w:type="gramStart"/>
      <w:r w:rsidR="00DC6CC0" w:rsidRPr="00517045">
        <w:rPr>
          <w:rFonts w:ascii="Times New Roman" w:hAnsi="Times New Roman"/>
          <w:sz w:val="20"/>
          <w:szCs w:val="20"/>
          <w:lang w:val="en-US"/>
        </w:rPr>
        <w:t>A</w:t>
      </w:r>
      <w:proofErr w:type="gramEnd"/>
      <w:r w:rsidR="00DC6CC0" w:rsidRPr="00517045">
        <w:rPr>
          <w:rFonts w:ascii="Times New Roman" w:hAnsi="Times New Roman"/>
          <w:sz w:val="20"/>
          <w:szCs w:val="20"/>
          <w:lang w:val="en-US"/>
        </w:rPr>
        <w:t xml:space="preserve"> No.21, para. </w:t>
      </w:r>
      <w:r w:rsidR="00DC6CC0" w:rsidRPr="005045EA">
        <w:rPr>
          <w:rFonts w:ascii="Times New Roman" w:hAnsi="Times New Roman"/>
          <w:sz w:val="20"/>
          <w:szCs w:val="20"/>
          <w:lang w:val="pt-BR"/>
        </w:rPr>
        <w:t>100.</w:t>
      </w:r>
    </w:p>
  </w:footnote>
  <w:footnote w:id="36">
    <w:p w14:paraId="4D57A092" w14:textId="693D6D04"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CtIDH. Caso </w:t>
      </w:r>
      <w:r w:rsidRPr="00517045">
        <w:rPr>
          <w:rFonts w:ascii="Times New Roman" w:hAnsi="Times New Roman"/>
          <w:i/>
          <w:iCs/>
          <w:sz w:val="20"/>
          <w:szCs w:val="20"/>
          <w:lang w:val="pt-BR"/>
        </w:rPr>
        <w:t>Aloeboetoe et al. v. Suriname</w:t>
      </w:r>
      <w:r w:rsidRPr="00517045">
        <w:rPr>
          <w:rFonts w:ascii="Times New Roman" w:hAnsi="Times New Roman"/>
          <w:sz w:val="20"/>
          <w:szCs w:val="20"/>
          <w:lang w:val="pt-BR"/>
        </w:rPr>
        <w:t>, Reparações e Custas, Decisão de 10 de setembro de 1993, IACtHR Série C No. 15, para. 57.</w:t>
      </w:r>
    </w:p>
  </w:footnote>
  <w:footnote w:id="37">
    <w:p w14:paraId="00E96B32" w14:textId="39C3FD30"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CtIDH. Caso </w:t>
      </w:r>
      <w:r w:rsidRPr="00517045">
        <w:rPr>
          <w:rFonts w:ascii="Times New Roman" w:hAnsi="Times New Roman"/>
          <w:i/>
          <w:iCs/>
          <w:sz w:val="20"/>
          <w:szCs w:val="20"/>
          <w:lang w:val="pt-BR"/>
        </w:rPr>
        <w:t>Yatama v. Nicaragua</w:t>
      </w:r>
      <w:r w:rsidRPr="00517045">
        <w:rPr>
          <w:rFonts w:ascii="Times New Roman" w:hAnsi="Times New Roman"/>
          <w:sz w:val="20"/>
          <w:szCs w:val="20"/>
          <w:lang w:val="pt-BR"/>
        </w:rPr>
        <w:t xml:space="preserve">, Objeções preliminares, Mérito, Reparações e Custas, decisão de 23 de junho de 2005, IACtHR Série C No. 127, paras 184 e 185. Ver,sobre isso: DUARTE, Mônica; LIMA, Fernanda da Silva. O princípio da igualdade e não discriminação como norma </w:t>
      </w:r>
      <w:r w:rsidRPr="00517045">
        <w:rPr>
          <w:rFonts w:ascii="Times New Roman" w:hAnsi="Times New Roman"/>
          <w:i/>
          <w:iCs/>
          <w:sz w:val="20"/>
          <w:szCs w:val="20"/>
          <w:lang w:val="pt-BR"/>
        </w:rPr>
        <w:t>jus cogens</w:t>
      </w:r>
      <w:r w:rsidRPr="00517045">
        <w:rPr>
          <w:rFonts w:ascii="Times New Roman" w:hAnsi="Times New Roman"/>
          <w:sz w:val="20"/>
          <w:szCs w:val="20"/>
          <w:lang w:val="pt-BR"/>
        </w:rPr>
        <w:t xml:space="preserve"> na Corte Interamericana de Direitos Humanos. Caderno de Relações Internacionais, vol. 8, n. 15, p. 151-180, 2017. </w:t>
      </w:r>
    </w:p>
  </w:footnote>
  <w:footnote w:id="38">
    <w:p w14:paraId="41F57505" w14:textId="5720964F"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Ver, por exemplo : ABELLO-GALVIS, Ricardo. </w:t>
      </w:r>
      <w:r w:rsidRPr="00517045">
        <w:rPr>
          <w:rFonts w:ascii="Times New Roman" w:hAnsi="Times New Roman"/>
          <w:i/>
          <w:iCs/>
          <w:sz w:val="20"/>
          <w:szCs w:val="20"/>
          <w:lang w:val="fr-FR"/>
        </w:rPr>
        <w:t>La jurisprudence de la Cour Interaméricaine des Droits de l’Homme et le</w:t>
      </w:r>
      <w:r w:rsidRPr="00517045">
        <w:rPr>
          <w:rFonts w:ascii="Times New Roman" w:hAnsi="Times New Roman"/>
          <w:sz w:val="20"/>
          <w:szCs w:val="20"/>
          <w:lang w:val="fr-FR"/>
        </w:rPr>
        <w:t xml:space="preserve"> jus cogens (</w:t>
      </w:r>
      <w:r w:rsidRPr="00517045">
        <w:rPr>
          <w:rFonts w:ascii="Times New Roman" w:hAnsi="Times New Roman"/>
          <w:i/>
          <w:iCs/>
          <w:sz w:val="20"/>
          <w:szCs w:val="20"/>
          <w:lang w:val="fr-FR"/>
        </w:rPr>
        <w:t>2013-fevrier 2016</w:t>
      </w:r>
      <w:r w:rsidRPr="00517045">
        <w:rPr>
          <w:rFonts w:ascii="Times New Roman" w:hAnsi="Times New Roman"/>
          <w:sz w:val="20"/>
          <w:szCs w:val="20"/>
          <w:lang w:val="fr-FR"/>
        </w:rPr>
        <w:t xml:space="preserve">) In CRAWFORD, James et al. </w:t>
      </w:r>
      <w:r w:rsidRPr="00517045">
        <w:rPr>
          <w:rFonts w:ascii="Times New Roman" w:hAnsi="Times New Roman"/>
          <w:sz w:val="20"/>
          <w:szCs w:val="20"/>
          <w:lang w:val="en-US"/>
        </w:rPr>
        <w:t xml:space="preserve">(eds) </w:t>
      </w:r>
      <w:r w:rsidRPr="00517045">
        <w:rPr>
          <w:rFonts w:ascii="Times New Roman" w:hAnsi="Times New Roman"/>
          <w:i/>
          <w:iCs/>
          <w:sz w:val="20"/>
          <w:szCs w:val="20"/>
          <w:lang w:val="en-US"/>
        </w:rPr>
        <w:t>The International Legal Order: Current Needs and Possible Responses: Essays in Honour of Djamchid Momtaz</w:t>
      </w:r>
      <w:r w:rsidRPr="00517045">
        <w:rPr>
          <w:rFonts w:ascii="Times New Roman" w:hAnsi="Times New Roman"/>
          <w:sz w:val="20"/>
          <w:szCs w:val="20"/>
          <w:lang w:val="en-US"/>
        </w:rPr>
        <w:t xml:space="preserve">. </w:t>
      </w:r>
      <w:r w:rsidRPr="00517045">
        <w:rPr>
          <w:rFonts w:ascii="Times New Roman" w:hAnsi="Times New Roman"/>
          <w:sz w:val="20"/>
          <w:szCs w:val="20"/>
          <w:lang w:val="es-ES"/>
        </w:rPr>
        <w:t xml:space="preserve">Haia: Brill, 2017; ABELLO-GALVIS, Ricardo. </w:t>
      </w:r>
      <w:r w:rsidRPr="00517045">
        <w:rPr>
          <w:rFonts w:ascii="Times New Roman" w:hAnsi="Times New Roman"/>
          <w:i/>
          <w:iCs/>
          <w:sz w:val="20"/>
          <w:szCs w:val="20"/>
          <w:lang w:val="es-ES"/>
        </w:rPr>
        <w:t>La Jerarquía Normativa en la Corte Interamericana de Derechos Humanos: Evolución Jurisprudencial del</w:t>
      </w:r>
      <w:r w:rsidRPr="00517045">
        <w:rPr>
          <w:rFonts w:ascii="Times New Roman" w:hAnsi="Times New Roman"/>
          <w:sz w:val="20"/>
          <w:szCs w:val="20"/>
          <w:lang w:val="es-ES"/>
        </w:rPr>
        <w:t xml:space="preserve"> Jus Cogens (1993-2012). </w:t>
      </w:r>
      <w:r w:rsidRPr="00517045">
        <w:rPr>
          <w:rFonts w:ascii="Times New Roman" w:hAnsi="Times New Roman"/>
          <w:sz w:val="20"/>
          <w:szCs w:val="20"/>
          <w:lang w:val="pt-BR"/>
        </w:rPr>
        <w:t xml:space="preserve">Revista do Instituto Brasileiro de Direitos Humanos, vol. 12, n. 1, p.357-375, 2012. </w:t>
      </w:r>
    </w:p>
  </w:footnote>
  <w:footnote w:id="39">
    <w:p w14:paraId="5BF27A3F" w14:textId="417C3FB6"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Rights and guarantees of children in the context of migration and/or in need of international protection, </w:t>
      </w:r>
      <w:r w:rsidRPr="00517045">
        <w:rPr>
          <w:rFonts w:ascii="Times New Roman" w:hAnsi="Times New Roman"/>
          <w:sz w:val="20"/>
          <w:szCs w:val="20"/>
          <w:lang w:val="en-US"/>
        </w:rPr>
        <w:t xml:space="preserve">OC-21, 19 de Agosto de 2014, IACtHR Series A No.21, para. </w:t>
      </w:r>
      <w:r w:rsidRPr="00517045">
        <w:rPr>
          <w:rFonts w:ascii="Times New Roman" w:hAnsi="Times New Roman"/>
          <w:sz w:val="20"/>
          <w:szCs w:val="20"/>
          <w:lang w:val="pt-BR"/>
        </w:rPr>
        <w:t xml:space="preserve">225. Quanto aos desaparecimentos forçados, a referência é </w:t>
      </w:r>
      <w:r w:rsidRPr="00517045">
        <w:rPr>
          <w:rFonts w:ascii="Times New Roman" w:hAnsi="Times New Roman"/>
          <w:i/>
          <w:iCs/>
          <w:sz w:val="20"/>
          <w:szCs w:val="20"/>
          <w:lang w:val="pt-BR"/>
        </w:rPr>
        <w:t>Osorio Rivera and family members v. Peru</w:t>
      </w:r>
      <w:r w:rsidRPr="00517045">
        <w:rPr>
          <w:rFonts w:ascii="Times New Roman" w:hAnsi="Times New Roman"/>
          <w:sz w:val="20"/>
          <w:szCs w:val="20"/>
          <w:lang w:val="pt-BR"/>
        </w:rPr>
        <w:t>, Objeções preliminares, Mérito, Reparações e Custas, decisão de 26 de novembro de 2013, IACHR, Série C No. 274, para. 112.</w:t>
      </w:r>
    </w:p>
  </w:footnote>
  <w:footnote w:id="40">
    <w:p w14:paraId="21F4AD38" w14:textId="60D29EB7" w:rsidR="002C2919" w:rsidRPr="00517045" w:rsidRDefault="002C2919" w:rsidP="00404AA3">
      <w:pPr>
        <w:pStyle w:val="FootnoteText"/>
        <w:spacing w:line="240" w:lineRule="auto"/>
        <w:rPr>
          <w:rFonts w:ascii="Times New Roman" w:hAnsi="Times New Roman"/>
          <w:sz w:val="20"/>
          <w:szCs w:val="20"/>
          <w:lang w:val="en-US"/>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Há uma rica literatura a este respeito, mas, em geral, ver: HENNEBEL, Ludovic. </w:t>
      </w:r>
      <w:r w:rsidRPr="00517045">
        <w:rPr>
          <w:rFonts w:ascii="Times New Roman" w:hAnsi="Times New Roman"/>
          <w:i/>
          <w:iCs/>
          <w:sz w:val="20"/>
          <w:szCs w:val="20"/>
          <w:lang w:val="en-US"/>
        </w:rPr>
        <w:t>The Inter-American Court of Human Rights: The Ambassador of Universalism</w:t>
      </w:r>
      <w:r w:rsidRPr="00517045">
        <w:rPr>
          <w:rFonts w:ascii="Times New Roman" w:hAnsi="Times New Roman"/>
          <w:sz w:val="20"/>
          <w:szCs w:val="20"/>
          <w:lang w:val="en-US"/>
        </w:rPr>
        <w:t xml:space="preserve">. </w:t>
      </w:r>
      <w:r w:rsidRPr="00517045">
        <w:rPr>
          <w:rFonts w:ascii="Times New Roman" w:hAnsi="Times New Roman"/>
          <w:sz w:val="20"/>
          <w:szCs w:val="20"/>
          <w:lang w:val="fr-FR"/>
        </w:rPr>
        <w:t xml:space="preserve">Hors-série Revue québécoise de droit international, p. 57-97 2011, </w:t>
      </w:r>
      <w:proofErr w:type="gramStart"/>
      <w:r w:rsidRPr="00517045">
        <w:rPr>
          <w:rFonts w:ascii="Times New Roman" w:hAnsi="Times New Roman"/>
          <w:sz w:val="20"/>
          <w:szCs w:val="20"/>
          <w:lang w:val="fr-FR"/>
        </w:rPr>
        <w:t>57;</w:t>
      </w:r>
      <w:proofErr w:type="gramEnd"/>
      <w:r w:rsidRPr="00517045">
        <w:rPr>
          <w:rFonts w:ascii="Times New Roman" w:hAnsi="Times New Roman"/>
          <w:sz w:val="20"/>
          <w:szCs w:val="20"/>
          <w:lang w:val="fr-FR"/>
        </w:rPr>
        <w:t xml:space="preserve"> LIXINSKI, Lucas. </w:t>
      </w:r>
      <w:r w:rsidRPr="00517045">
        <w:rPr>
          <w:rFonts w:ascii="Times New Roman" w:hAnsi="Times New Roman"/>
          <w:i/>
          <w:iCs/>
          <w:sz w:val="20"/>
          <w:szCs w:val="20"/>
          <w:lang w:val="en-US"/>
        </w:rPr>
        <w:t>Treaty Interpretation by the Inter-American Court of Human Rights: Expansionism at the Service of the Unity of International Law</w:t>
      </w:r>
      <w:r w:rsidRPr="00517045">
        <w:rPr>
          <w:rFonts w:ascii="Times New Roman" w:hAnsi="Times New Roman"/>
          <w:sz w:val="20"/>
          <w:szCs w:val="20"/>
          <w:lang w:val="en-US"/>
        </w:rPr>
        <w:t>. European Journal of International Law, vol. 21, n.3, p. 585-604, 2010; BURGORGUE-LARSEN, Laurence.</w:t>
      </w:r>
      <w:r w:rsidRPr="00517045" w:rsidDel="00DA0E0E">
        <w:rPr>
          <w:rFonts w:ascii="Times New Roman" w:hAnsi="Times New Roman"/>
          <w:sz w:val="20"/>
          <w:szCs w:val="20"/>
          <w:lang w:val="en-US"/>
        </w:rPr>
        <w:t xml:space="preserve"> </w:t>
      </w:r>
      <w:r w:rsidRPr="00517045">
        <w:rPr>
          <w:rFonts w:ascii="Times New Roman" w:hAnsi="Times New Roman"/>
          <w:i/>
          <w:iCs/>
          <w:sz w:val="20"/>
          <w:szCs w:val="20"/>
          <w:lang w:val="en-US"/>
        </w:rPr>
        <w:t>“Decompartmentalization”: The key technique for interpreting regional human rights treaties</w:t>
      </w:r>
      <w:r w:rsidRPr="00517045">
        <w:rPr>
          <w:rFonts w:ascii="Times New Roman" w:hAnsi="Times New Roman"/>
          <w:sz w:val="20"/>
          <w:szCs w:val="20"/>
          <w:lang w:val="en-US"/>
        </w:rPr>
        <w:t xml:space="preserve">. International Journal of Constitutional Law, vol. 16, n. </w:t>
      </w:r>
      <w:proofErr w:type="gramStart"/>
      <w:r w:rsidRPr="00517045">
        <w:rPr>
          <w:rFonts w:ascii="Times New Roman" w:hAnsi="Times New Roman"/>
          <w:sz w:val="20"/>
          <w:szCs w:val="20"/>
          <w:lang w:val="en-US"/>
        </w:rPr>
        <w:t>2,  2018</w:t>
      </w:r>
      <w:proofErr w:type="gramEnd"/>
      <w:r w:rsidRPr="00517045">
        <w:rPr>
          <w:rFonts w:ascii="Times New Roman" w:hAnsi="Times New Roman"/>
          <w:sz w:val="20"/>
          <w:szCs w:val="20"/>
          <w:lang w:val="en-US"/>
        </w:rPr>
        <w:t>.</w:t>
      </w:r>
    </w:p>
  </w:footnote>
  <w:footnote w:id="41">
    <w:p w14:paraId="396E255E" w14:textId="0003A50B"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CONTESSE, Jorge. </w:t>
      </w:r>
      <w:r w:rsidRPr="00517045">
        <w:rPr>
          <w:rFonts w:ascii="Times New Roman" w:hAnsi="Times New Roman"/>
          <w:i/>
          <w:iCs/>
          <w:sz w:val="20"/>
          <w:szCs w:val="20"/>
          <w:lang w:val="en-US"/>
        </w:rPr>
        <w:t>Resisting the Inter-American Human Rights System</w:t>
      </w:r>
      <w:r w:rsidRPr="00517045">
        <w:rPr>
          <w:rFonts w:ascii="Times New Roman" w:hAnsi="Times New Roman"/>
          <w:sz w:val="20"/>
          <w:szCs w:val="20"/>
          <w:lang w:val="en-US"/>
        </w:rPr>
        <w:t xml:space="preserve">. Yale Journal of International Law, vol. 44, n. 1, 2019; HUNEEUS, Alexandra. </w:t>
      </w:r>
      <w:r w:rsidRPr="00517045">
        <w:rPr>
          <w:rFonts w:ascii="Times New Roman" w:hAnsi="Times New Roman"/>
          <w:i/>
          <w:iCs/>
          <w:sz w:val="20"/>
          <w:szCs w:val="20"/>
          <w:lang w:val="en-US"/>
        </w:rPr>
        <w:t>Courts Resisting Courts: Lessons from the Inter-American Court's Struggle to Enforce Human Rights</w:t>
      </w:r>
      <w:r w:rsidRPr="00517045">
        <w:rPr>
          <w:rFonts w:ascii="Times New Roman" w:hAnsi="Times New Roman"/>
          <w:sz w:val="20"/>
          <w:szCs w:val="20"/>
          <w:lang w:val="en-US"/>
        </w:rPr>
        <w:t xml:space="preserve">. </w:t>
      </w:r>
      <w:r w:rsidRPr="00517045">
        <w:rPr>
          <w:rFonts w:ascii="Times New Roman" w:hAnsi="Times New Roman"/>
          <w:sz w:val="20"/>
          <w:szCs w:val="20"/>
          <w:lang w:val="pt-BR"/>
        </w:rPr>
        <w:t>Cornell International Law Journal, vol. 44, n.3, 2011.</w:t>
      </w:r>
    </w:p>
  </w:footnote>
  <w:footnote w:id="42">
    <w:p w14:paraId="4A3DEEEA" w14:textId="64448F2D"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Ver, por exemplo: CtIDH. Caso </w:t>
      </w:r>
      <w:r w:rsidRPr="00517045">
        <w:rPr>
          <w:rFonts w:ascii="Times New Roman" w:hAnsi="Times New Roman"/>
          <w:i/>
          <w:iCs/>
          <w:sz w:val="20"/>
          <w:szCs w:val="20"/>
          <w:lang w:val="pt-BR"/>
        </w:rPr>
        <w:t>Almonacid Arellano et al. v. Chile</w:t>
      </w:r>
      <w:r w:rsidRPr="00517045">
        <w:rPr>
          <w:rFonts w:ascii="Times New Roman" w:hAnsi="Times New Roman"/>
          <w:sz w:val="20"/>
          <w:szCs w:val="20"/>
          <w:lang w:val="pt-BR"/>
        </w:rPr>
        <w:t xml:space="preserve">, Objeções preliminares, Mérito, Reparações e Custas, decisão e 26 de setembro de 2006, Série C No. 154 e CtIDH. Caso </w:t>
      </w:r>
      <w:r w:rsidRPr="00517045">
        <w:rPr>
          <w:rFonts w:ascii="Times New Roman" w:hAnsi="Times New Roman"/>
          <w:i/>
          <w:iCs/>
          <w:sz w:val="20"/>
          <w:szCs w:val="20"/>
          <w:lang w:val="pt-BR"/>
        </w:rPr>
        <w:t>Herzog et al. v. Brazil</w:t>
      </w:r>
      <w:r w:rsidRPr="00517045">
        <w:rPr>
          <w:rFonts w:ascii="Times New Roman" w:hAnsi="Times New Roman"/>
          <w:sz w:val="20"/>
          <w:szCs w:val="20"/>
          <w:lang w:val="pt-BR"/>
        </w:rPr>
        <w:t>, Objeções preliminares, Mérito, Reparações e Custas, decisão de 15 de março de 2018, Série C No. 353.</w:t>
      </w:r>
    </w:p>
  </w:footnote>
  <w:footnote w:id="43">
    <w:p w14:paraId="4CEF8882" w14:textId="35358B43" w:rsidR="002C2919" w:rsidRPr="00517045" w:rsidRDefault="002C2919" w:rsidP="00404AA3">
      <w:pPr>
        <w:pStyle w:val="FootnoteText"/>
        <w:spacing w:line="240" w:lineRule="auto"/>
        <w:rPr>
          <w:rFonts w:ascii="Times New Roman" w:hAnsi="Times New Roman"/>
          <w:sz w:val="20"/>
          <w:szCs w:val="20"/>
          <w:lang w:val="en-US"/>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The Obligations in Matters of Human Rights of a State that has Denounced the American Convention on Human Rights and the Charter of the Organization of American States, </w:t>
      </w:r>
      <w:r w:rsidRPr="00517045">
        <w:rPr>
          <w:rFonts w:ascii="Times New Roman" w:hAnsi="Times New Roman"/>
          <w:sz w:val="20"/>
          <w:szCs w:val="20"/>
          <w:lang w:val="en-US"/>
        </w:rPr>
        <w:t xml:space="preserve">OC-26, 9 de novembro de 2020, IACtHR Série </w:t>
      </w:r>
      <w:proofErr w:type="gramStart"/>
      <w:r w:rsidRPr="00517045">
        <w:rPr>
          <w:rFonts w:ascii="Times New Roman" w:hAnsi="Times New Roman"/>
          <w:sz w:val="20"/>
          <w:szCs w:val="20"/>
          <w:lang w:val="en-US"/>
        </w:rPr>
        <w:t>A</w:t>
      </w:r>
      <w:proofErr w:type="gramEnd"/>
      <w:r w:rsidRPr="00517045">
        <w:rPr>
          <w:rFonts w:ascii="Times New Roman" w:hAnsi="Times New Roman"/>
          <w:sz w:val="20"/>
          <w:szCs w:val="20"/>
          <w:lang w:val="en-US"/>
        </w:rPr>
        <w:t xml:space="preserve"> No.21, para. 100.</w:t>
      </w:r>
    </w:p>
  </w:footnote>
  <w:footnote w:id="44">
    <w:p w14:paraId="647C755F" w14:textId="622C61FA" w:rsidR="002C2919" w:rsidRPr="00621170" w:rsidRDefault="002C2919" w:rsidP="00404AA3">
      <w:pPr>
        <w:pStyle w:val="FootnoteText"/>
        <w:spacing w:line="240" w:lineRule="auto"/>
        <w:rPr>
          <w:rFonts w:ascii="Times New Roman" w:hAnsi="Times New Roman"/>
          <w:sz w:val="20"/>
          <w:szCs w:val="20"/>
          <w:lang w:val="en-GB"/>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The Obligations in Matters of Human Rights of a State that has Denounced the American Convention on Human Rights and the Charter of the Organization of American States, </w:t>
      </w:r>
      <w:r w:rsidRPr="00517045">
        <w:rPr>
          <w:rFonts w:ascii="Times New Roman" w:hAnsi="Times New Roman"/>
          <w:sz w:val="20"/>
          <w:szCs w:val="20"/>
          <w:lang w:val="en-US"/>
        </w:rPr>
        <w:t xml:space="preserve">OC-26, 9 de novembro de 2020, IACtHR Série </w:t>
      </w:r>
      <w:proofErr w:type="gramStart"/>
      <w:r w:rsidRPr="00517045">
        <w:rPr>
          <w:rFonts w:ascii="Times New Roman" w:hAnsi="Times New Roman"/>
          <w:sz w:val="20"/>
          <w:szCs w:val="20"/>
          <w:lang w:val="en-US"/>
        </w:rPr>
        <w:t>A</w:t>
      </w:r>
      <w:proofErr w:type="gramEnd"/>
      <w:r w:rsidRPr="00517045">
        <w:rPr>
          <w:rFonts w:ascii="Times New Roman" w:hAnsi="Times New Roman"/>
          <w:sz w:val="20"/>
          <w:szCs w:val="20"/>
          <w:lang w:val="en-US"/>
        </w:rPr>
        <w:t xml:space="preserve"> No.21, para. 105. </w:t>
      </w:r>
    </w:p>
  </w:footnote>
  <w:footnote w:id="45">
    <w:p w14:paraId="5C2579DC" w14:textId="5BB7AF73" w:rsidR="002C2919" w:rsidRPr="00517045" w:rsidRDefault="002C2919" w:rsidP="00517045">
      <w:pPr>
        <w:pStyle w:val="FootnoteText"/>
        <w:spacing w:line="240" w:lineRule="auto"/>
        <w:rPr>
          <w:rFonts w:ascii="Times New Roman" w:hAnsi="Times New Roman"/>
          <w:sz w:val="20"/>
          <w:szCs w:val="20"/>
          <w:lang w:val="en-US"/>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The Obligations in Matters of Human Rights of a State that has Denounced the American Convention on Human Rights and the Charter of the Organization of American States, </w:t>
      </w:r>
      <w:r w:rsidRPr="00517045">
        <w:rPr>
          <w:rFonts w:ascii="Times New Roman" w:hAnsi="Times New Roman"/>
          <w:sz w:val="20"/>
          <w:szCs w:val="20"/>
          <w:lang w:val="en-US"/>
        </w:rPr>
        <w:t xml:space="preserve">OC-26, 9 de novembro de 2020, IACtHR Série </w:t>
      </w:r>
      <w:proofErr w:type="gramStart"/>
      <w:r w:rsidRPr="00517045">
        <w:rPr>
          <w:rFonts w:ascii="Times New Roman" w:hAnsi="Times New Roman"/>
          <w:sz w:val="20"/>
          <w:szCs w:val="20"/>
          <w:lang w:val="en-US"/>
        </w:rPr>
        <w:t>A</w:t>
      </w:r>
      <w:proofErr w:type="gramEnd"/>
      <w:r w:rsidRPr="00517045">
        <w:rPr>
          <w:rFonts w:ascii="Times New Roman" w:hAnsi="Times New Roman"/>
          <w:sz w:val="20"/>
          <w:szCs w:val="20"/>
          <w:lang w:val="en-US"/>
        </w:rPr>
        <w:t xml:space="preserve"> No.21, para. 106-107</w:t>
      </w:r>
    </w:p>
  </w:footnote>
  <w:footnote w:id="46">
    <w:p w14:paraId="62E436EC" w14:textId="30D2C3BE" w:rsidR="002C2919" w:rsidRPr="00517045" w:rsidRDefault="002C2919" w:rsidP="00404AA3">
      <w:pPr>
        <w:pStyle w:val="FootnoteText"/>
        <w:spacing w:line="240" w:lineRule="auto"/>
        <w:rPr>
          <w:rFonts w:ascii="Times New Roman" w:hAnsi="Times New Roman"/>
          <w:sz w:val="20"/>
          <w:szCs w:val="20"/>
          <w:lang w:val="pt-BR"/>
        </w:rPr>
      </w:pPr>
      <w:r w:rsidRPr="00517045">
        <w:rPr>
          <w:rStyle w:val="FootnoteReference"/>
          <w:rFonts w:ascii="Times New Roman" w:hAnsi="Times New Roman"/>
          <w:sz w:val="20"/>
          <w:szCs w:val="20"/>
        </w:rPr>
        <w:footnoteRef/>
      </w:r>
      <w:r w:rsidRPr="00517045">
        <w:rPr>
          <w:rFonts w:ascii="Times New Roman" w:hAnsi="Times New Roman"/>
          <w:sz w:val="20"/>
          <w:szCs w:val="20"/>
          <w:lang w:val="en-US"/>
        </w:rPr>
        <w:t xml:space="preserve"> CtIDH. Opinião Consultiva </w:t>
      </w:r>
      <w:r w:rsidRPr="00517045">
        <w:rPr>
          <w:rFonts w:ascii="Times New Roman" w:hAnsi="Times New Roman"/>
          <w:i/>
          <w:iCs/>
          <w:sz w:val="20"/>
          <w:szCs w:val="20"/>
          <w:lang w:val="en-US"/>
        </w:rPr>
        <w:t xml:space="preserve">The Obligations in Matters of Human Rights of a State that has Denounced the American Convention on Human Rights and the Charter of the Organization of American States, </w:t>
      </w:r>
      <w:r w:rsidRPr="00517045">
        <w:rPr>
          <w:rFonts w:ascii="Times New Roman" w:hAnsi="Times New Roman"/>
          <w:sz w:val="20"/>
          <w:szCs w:val="20"/>
          <w:lang w:val="en-US"/>
        </w:rPr>
        <w:t xml:space="preserve">OC-26, 9 de novembro de 2020, IACtHR Série </w:t>
      </w:r>
      <w:proofErr w:type="gramStart"/>
      <w:r w:rsidRPr="00517045">
        <w:rPr>
          <w:rFonts w:ascii="Times New Roman" w:hAnsi="Times New Roman"/>
          <w:sz w:val="20"/>
          <w:szCs w:val="20"/>
          <w:lang w:val="en-US"/>
        </w:rPr>
        <w:t>A</w:t>
      </w:r>
      <w:proofErr w:type="gramEnd"/>
      <w:r w:rsidRPr="00517045">
        <w:rPr>
          <w:rFonts w:ascii="Times New Roman" w:hAnsi="Times New Roman"/>
          <w:sz w:val="20"/>
          <w:szCs w:val="20"/>
          <w:lang w:val="en-US"/>
        </w:rPr>
        <w:t xml:space="preserve"> No.21, para. </w:t>
      </w:r>
      <w:r w:rsidRPr="00517045">
        <w:rPr>
          <w:rFonts w:ascii="Times New Roman" w:hAnsi="Times New Roman"/>
          <w:sz w:val="20"/>
          <w:szCs w:val="20"/>
          <w:lang w:val="pt-BR"/>
        </w:rPr>
        <w:t xml:space="preserve">106. A Corte reconhece as seguintes regras, fazendo referência às sentenças e opiniões consultivas nas quais o reconhecimento ocorreu; Princípio da igualdade e proibição de discriminação; Proibição absoluta de todas as formas de tortura, tanto física quanto psicológica; Proibição de tratamento ou punição cruel, desumana ou degradante; Proibição de desaparecimento forçado de pessoas; Proibição de escravidão e outras práticas similares; Princípio de </w:t>
      </w:r>
      <w:r w:rsidRPr="00517045">
        <w:rPr>
          <w:rFonts w:ascii="Times New Roman" w:hAnsi="Times New Roman"/>
          <w:i/>
          <w:iCs/>
          <w:sz w:val="20"/>
          <w:szCs w:val="20"/>
          <w:lang w:val="pt-BR"/>
        </w:rPr>
        <w:t>non-refoulement</w:t>
      </w:r>
      <w:r w:rsidRPr="00517045">
        <w:rPr>
          <w:rFonts w:ascii="Times New Roman" w:hAnsi="Times New Roman"/>
          <w:sz w:val="20"/>
          <w:szCs w:val="20"/>
          <w:lang w:val="pt-BR"/>
        </w:rPr>
        <w:t xml:space="preserve"> (não-repulsão), incluindo não-rejeição nas fronteiras e repulsão indireta; Proibição de cometer ou tolerar violações graves, massivas ou sistemáticas dos direitos humanos, incluindo execuções extrajudiciais, desaparecimentos forçados e tortura; e Proibição de crimes contra a humanidade e a obrigação associada de processar, investigar e punir esses crimes.</w:t>
      </w:r>
    </w:p>
  </w:footnote>
  <w:footnote w:id="47">
    <w:p w14:paraId="1FA1110A" w14:textId="20AC1842" w:rsidR="002C2919" w:rsidRPr="00517045" w:rsidRDefault="002C2919" w:rsidP="00517045">
      <w:pPr>
        <w:pStyle w:val="FootnoteText"/>
        <w:spacing w:line="240" w:lineRule="auto"/>
        <w:rPr>
          <w:rFonts w:ascii="Times New Roman" w:hAnsi="Times New Roman"/>
          <w:sz w:val="20"/>
          <w:szCs w:val="20"/>
          <w:lang w:val="fr-FR"/>
        </w:rPr>
      </w:pPr>
      <w:r w:rsidRPr="00517045">
        <w:rPr>
          <w:rStyle w:val="FootnoteReference"/>
          <w:rFonts w:ascii="Times New Roman" w:hAnsi="Times New Roman"/>
          <w:sz w:val="20"/>
          <w:szCs w:val="20"/>
        </w:rPr>
        <w:footnoteRef/>
      </w:r>
      <w:r w:rsidRPr="00517045">
        <w:rPr>
          <w:rFonts w:ascii="Times New Roman" w:hAnsi="Times New Roman"/>
          <w:sz w:val="20"/>
          <w:szCs w:val="20"/>
          <w:lang w:val="pt-BR"/>
        </w:rPr>
        <w:t xml:space="preserve"> </w:t>
      </w:r>
      <w:r w:rsidRPr="00517045">
        <w:rPr>
          <w:rFonts w:ascii="Times New Roman" w:hAnsi="Times New Roman"/>
          <w:sz w:val="20"/>
          <w:szCs w:val="20"/>
          <w:lang w:val="pt-BR"/>
        </w:rPr>
        <w:t xml:space="preserve">Este caso não é desconhecido na produção acadêmica. Veja a este respeito GAJA, Giorgio. </w:t>
      </w:r>
      <w:r w:rsidRPr="00517045">
        <w:rPr>
          <w:rFonts w:ascii="Times New Roman" w:hAnsi="Times New Roman"/>
          <w:sz w:val="20"/>
          <w:szCs w:val="20"/>
          <w:lang w:val="fr-FR"/>
        </w:rPr>
        <w:t xml:space="preserve">Jus Cogens </w:t>
      </w:r>
      <w:r w:rsidRPr="00517045">
        <w:rPr>
          <w:rFonts w:ascii="Times New Roman" w:hAnsi="Times New Roman"/>
          <w:i/>
          <w:iCs/>
          <w:sz w:val="20"/>
          <w:szCs w:val="20"/>
          <w:lang w:val="fr-FR"/>
        </w:rPr>
        <w:t>Beyond the Vienna Convention</w:t>
      </w:r>
      <w:r w:rsidRPr="00517045">
        <w:rPr>
          <w:rFonts w:ascii="Times New Roman" w:hAnsi="Times New Roman"/>
          <w:sz w:val="20"/>
          <w:szCs w:val="20"/>
          <w:lang w:val="fr-FR"/>
        </w:rPr>
        <w:t>. Haia : Recueil des Cours,1981.</w:t>
      </w:r>
    </w:p>
  </w:footnote>
  <w:footnote w:id="48">
    <w:p w14:paraId="6173DE49" w14:textId="458A2CBA" w:rsidR="002C2919" w:rsidRPr="00F12A13" w:rsidRDefault="002C2919" w:rsidP="00517045">
      <w:pPr>
        <w:pStyle w:val="FootnoteText"/>
        <w:spacing w:line="240" w:lineRule="auto"/>
        <w:rPr>
          <w:rFonts w:ascii="Times New Roman" w:hAnsi="Times New Roman"/>
          <w:sz w:val="20"/>
          <w:szCs w:val="20"/>
          <w:lang w:val="en-GB"/>
        </w:rPr>
      </w:pPr>
      <w:r w:rsidRPr="00517045">
        <w:rPr>
          <w:rStyle w:val="FootnoteReference"/>
          <w:rFonts w:ascii="Times New Roman" w:hAnsi="Times New Roman"/>
          <w:sz w:val="20"/>
          <w:szCs w:val="20"/>
        </w:rPr>
        <w:footnoteRef/>
      </w:r>
      <w:r w:rsidRPr="00517045">
        <w:rPr>
          <w:rFonts w:ascii="Times New Roman" w:hAnsi="Times New Roman"/>
          <w:sz w:val="20"/>
          <w:szCs w:val="20"/>
          <w:lang w:val="en-GB"/>
        </w:rPr>
        <w:t xml:space="preserve"> </w:t>
      </w:r>
      <w:r w:rsidRPr="00517045">
        <w:rPr>
          <w:rFonts w:ascii="Times New Roman" w:hAnsi="Times New Roman"/>
          <w:sz w:val="20"/>
          <w:szCs w:val="20"/>
          <w:lang w:val="en-US"/>
        </w:rPr>
        <w:t>PELLET, Alain.</w:t>
      </w:r>
      <w:r w:rsidR="00F12A13">
        <w:rPr>
          <w:rFonts w:ascii="Times New Roman" w:hAnsi="Times New Roman"/>
          <w:sz w:val="20"/>
          <w:szCs w:val="20"/>
          <w:lang w:val="en-US"/>
        </w:rPr>
        <w:t xml:space="preserve"> </w:t>
      </w:r>
      <w:r w:rsidRPr="00517045">
        <w:rPr>
          <w:rFonts w:ascii="Times New Roman" w:hAnsi="Times New Roman"/>
          <w:sz w:val="20"/>
          <w:szCs w:val="20"/>
          <w:lang w:val="en-US"/>
        </w:rPr>
        <w:t>Comments in Response to Christine Chinkin and in Defense of Jus Cogens as the Best Bastion against the Excesses of fragmentation. Finnish Yearbook of International Law, vol. XVII,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041E" w14:textId="2EF5F86D" w:rsidR="002C2919" w:rsidRPr="00120406" w:rsidRDefault="004A63CC" w:rsidP="00120406">
    <w:pPr>
      <w:pStyle w:val="Header"/>
      <w:jc w:val="center"/>
      <w:rPr>
        <w:lang w:val="en-GB"/>
      </w:rPr>
    </w:pPr>
    <w:sdt>
      <w:sdtPr>
        <w:id w:val="-1861965274"/>
        <w:docPartObj>
          <w:docPartGallery w:val="Page Numbers (Margins)"/>
          <w:docPartUnique/>
        </w:docPartObj>
      </w:sdtPr>
      <w:sdtEndPr/>
      <w:sdtContent>
        <w:r w:rsidR="002C2919">
          <w:rPr>
            <w:noProof/>
          </w:rPr>
          <mc:AlternateContent>
            <mc:Choice Requires="wps">
              <w:drawing>
                <wp:anchor distT="0" distB="0" distL="114300" distR="114300" simplePos="0" relativeHeight="251659264" behindDoc="0" locked="0" layoutInCell="0" allowOverlap="1" wp14:anchorId="302D4ABD" wp14:editId="53447AC7">
                  <wp:simplePos x="0" y="0"/>
                  <wp:positionH relativeFrom="rightMargin">
                    <wp:align>center</wp:align>
                  </wp:positionH>
                  <wp:positionV relativeFrom="margin">
                    <wp:align>bottom</wp:align>
                  </wp:positionV>
                  <wp:extent cx="510540" cy="2183130"/>
                  <wp:effectExtent l="0" t="0" r="381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91265" w14:textId="239A57AF" w:rsidR="002C2919" w:rsidRDefault="002C2919">
                              <w:pPr>
                                <w:pStyle w:val="Footer"/>
                                <w:rPr>
                                  <w:rFonts w:asciiTheme="majorHAnsi" w:eastAsiaTheme="majorEastAsia" w:hAnsiTheme="majorHAnsi" w:cstheme="majorBidi"/>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02D4ABD" id="Rectangle 1" o:spid="_x0000_s1026"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CB9B3e4BAADC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54991265" w14:textId="239A57AF" w:rsidR="00E34554" w:rsidRDefault="00E34554">
                        <w:pPr>
                          <w:pStyle w:val="Footer"/>
                          <w:rPr>
                            <w:rFonts w:asciiTheme="majorHAnsi" w:eastAsiaTheme="majorEastAsia" w:hAnsiTheme="majorHAnsi" w:cstheme="majorBidi"/>
                            <w:sz w:val="44"/>
                            <w:szCs w:val="44"/>
                          </w:rPr>
                        </w:pP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7EE4D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C193474"/>
    <w:multiLevelType w:val="multilevel"/>
    <w:tmpl w:val="0F5A74BA"/>
    <w:lvl w:ilvl="0">
      <w:start w:val="1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D15C80"/>
    <w:multiLevelType w:val="multilevel"/>
    <w:tmpl w:val="ED08C938"/>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0203C"/>
    <w:multiLevelType w:val="hybridMultilevel"/>
    <w:tmpl w:val="69401E98"/>
    <w:lvl w:ilvl="0" w:tplc="CBCAA36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A84761"/>
    <w:multiLevelType w:val="hybridMultilevel"/>
    <w:tmpl w:val="4DB0BB52"/>
    <w:lvl w:ilvl="0" w:tplc="70D877D2">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313C120B"/>
    <w:multiLevelType w:val="hybridMultilevel"/>
    <w:tmpl w:val="F038206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422540A1"/>
    <w:multiLevelType w:val="multilevel"/>
    <w:tmpl w:val="5F16380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35A1056"/>
    <w:multiLevelType w:val="multilevel"/>
    <w:tmpl w:val="BE3A28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7D7337"/>
    <w:multiLevelType w:val="hybridMultilevel"/>
    <w:tmpl w:val="4514876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6AE3B99"/>
    <w:multiLevelType w:val="multilevel"/>
    <w:tmpl w:val="13528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6633C8"/>
    <w:multiLevelType w:val="multilevel"/>
    <w:tmpl w:val="A0BE25EC"/>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159F0"/>
    <w:multiLevelType w:val="multilevel"/>
    <w:tmpl w:val="2C4CDB12"/>
    <w:styleLink w:val="List0"/>
    <w:lvl w:ilvl="0">
      <w:start w:val="5"/>
      <w:numFmt w:val="decimal"/>
      <w:lvlText w:val="%1."/>
      <w:lvlJc w:val="left"/>
      <w:pPr>
        <w:tabs>
          <w:tab w:val="num" w:pos="284"/>
        </w:tabs>
        <w:ind w:left="284" w:hanging="284"/>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13" w15:restartNumberingAfterBreak="0">
    <w:nsid w:val="5A901B43"/>
    <w:multiLevelType w:val="multilevel"/>
    <w:tmpl w:val="39A61586"/>
    <w:lvl w:ilvl="0">
      <w:start w:val="1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DE6A67"/>
    <w:multiLevelType w:val="hybridMultilevel"/>
    <w:tmpl w:val="47A63830"/>
    <w:lvl w:ilvl="0" w:tplc="16284220">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26A104B"/>
    <w:multiLevelType w:val="multilevel"/>
    <w:tmpl w:val="75A0E8EE"/>
    <w:lvl w:ilvl="0">
      <w:start w:val="1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184330"/>
    <w:multiLevelType w:val="hybridMultilevel"/>
    <w:tmpl w:val="BAF6FE36"/>
    <w:lvl w:ilvl="0" w:tplc="45A2C088">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789D6733"/>
    <w:multiLevelType w:val="hybridMultilevel"/>
    <w:tmpl w:val="1C1CDC74"/>
    <w:lvl w:ilvl="0" w:tplc="74AE95EC">
      <w:start w:val="1"/>
      <w:numFmt w:val="upp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abstractNumId w:val="12"/>
  </w:num>
  <w:num w:numId="2">
    <w:abstractNumId w:val="0"/>
  </w:num>
  <w:num w:numId="3">
    <w:abstractNumId w:val="0"/>
  </w:num>
  <w:num w:numId="4">
    <w:abstractNumId w:val="1"/>
  </w:num>
  <w:num w:numId="5">
    <w:abstractNumId w:val="1"/>
  </w:num>
  <w:num w:numId="6">
    <w:abstractNumId w:val="1"/>
  </w:num>
  <w:num w:numId="7">
    <w:abstractNumId w:val="1"/>
  </w:num>
  <w:num w:numId="8">
    <w:abstractNumId w:val="1"/>
  </w:num>
  <w:num w:numId="9">
    <w:abstractNumId w:val="12"/>
  </w:num>
  <w:num w:numId="10">
    <w:abstractNumId w:val="0"/>
  </w:num>
  <w:num w:numId="11">
    <w:abstractNumId w:val="1"/>
  </w:num>
  <w:num w:numId="12">
    <w:abstractNumId w:val="1"/>
  </w:num>
  <w:num w:numId="13">
    <w:abstractNumId w:val="1"/>
  </w:num>
  <w:num w:numId="14">
    <w:abstractNumId w:val="1"/>
  </w:num>
  <w:num w:numId="15">
    <w:abstractNumId w:val="1"/>
  </w:num>
  <w:num w:numId="16">
    <w:abstractNumId w:val="13"/>
  </w:num>
  <w:num w:numId="17">
    <w:abstractNumId w:val="3"/>
  </w:num>
  <w:num w:numId="18">
    <w:abstractNumId w:val="11"/>
  </w:num>
  <w:num w:numId="19">
    <w:abstractNumId w:val="2"/>
  </w:num>
  <w:num w:numId="20">
    <w:abstractNumId w:val="15"/>
  </w:num>
  <w:num w:numId="21">
    <w:abstractNumId w:val="10"/>
  </w:num>
  <w:num w:numId="22">
    <w:abstractNumId w:val="4"/>
  </w:num>
  <w:num w:numId="23">
    <w:abstractNumId w:val="14"/>
  </w:num>
  <w:num w:numId="24">
    <w:abstractNumId w:val="9"/>
  </w:num>
  <w:num w:numId="25">
    <w:abstractNumId w:val="16"/>
  </w:num>
  <w:num w:numId="26">
    <w:abstractNumId w:val="5"/>
  </w:num>
  <w:num w:numId="27">
    <w:abstractNumId w:val="17"/>
  </w:num>
  <w:num w:numId="28">
    <w:abstractNumId w:val="7"/>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A8"/>
    <w:rsid w:val="00000254"/>
    <w:rsid w:val="00002438"/>
    <w:rsid w:val="00007007"/>
    <w:rsid w:val="0001480F"/>
    <w:rsid w:val="00014E1F"/>
    <w:rsid w:val="000151EE"/>
    <w:rsid w:val="000210FE"/>
    <w:rsid w:val="00023998"/>
    <w:rsid w:val="00026381"/>
    <w:rsid w:val="0002738D"/>
    <w:rsid w:val="000274C4"/>
    <w:rsid w:val="0003013D"/>
    <w:rsid w:val="000306C2"/>
    <w:rsid w:val="00030FDC"/>
    <w:rsid w:val="00044782"/>
    <w:rsid w:val="00047200"/>
    <w:rsid w:val="000502D4"/>
    <w:rsid w:val="000511A0"/>
    <w:rsid w:val="00051AB3"/>
    <w:rsid w:val="000529DF"/>
    <w:rsid w:val="00061194"/>
    <w:rsid w:val="00063DA8"/>
    <w:rsid w:val="00065DB1"/>
    <w:rsid w:val="00067CD1"/>
    <w:rsid w:val="000705F7"/>
    <w:rsid w:val="00075060"/>
    <w:rsid w:val="000802A5"/>
    <w:rsid w:val="00080D59"/>
    <w:rsid w:val="000906D7"/>
    <w:rsid w:val="000911F4"/>
    <w:rsid w:val="000918F9"/>
    <w:rsid w:val="000A131C"/>
    <w:rsid w:val="000A1713"/>
    <w:rsid w:val="000A4E12"/>
    <w:rsid w:val="000B0CE3"/>
    <w:rsid w:val="000B117A"/>
    <w:rsid w:val="000C5D3A"/>
    <w:rsid w:val="000C6384"/>
    <w:rsid w:val="000C7688"/>
    <w:rsid w:val="000E0A9F"/>
    <w:rsid w:val="000E3844"/>
    <w:rsid w:val="000E6C08"/>
    <w:rsid w:val="000F0B16"/>
    <w:rsid w:val="000F0E22"/>
    <w:rsid w:val="000F1E0C"/>
    <w:rsid w:val="000F66C6"/>
    <w:rsid w:val="000F6950"/>
    <w:rsid w:val="001106A0"/>
    <w:rsid w:val="0011267F"/>
    <w:rsid w:val="00114E65"/>
    <w:rsid w:val="00120406"/>
    <w:rsid w:val="00122CC9"/>
    <w:rsid w:val="00122D89"/>
    <w:rsid w:val="00124402"/>
    <w:rsid w:val="001278E3"/>
    <w:rsid w:val="001304F2"/>
    <w:rsid w:val="0013423B"/>
    <w:rsid w:val="00140A30"/>
    <w:rsid w:val="00143071"/>
    <w:rsid w:val="0014308E"/>
    <w:rsid w:val="001433B5"/>
    <w:rsid w:val="00143D21"/>
    <w:rsid w:val="00154467"/>
    <w:rsid w:val="00155035"/>
    <w:rsid w:val="00157C26"/>
    <w:rsid w:val="00160DC9"/>
    <w:rsid w:val="00161800"/>
    <w:rsid w:val="0016351E"/>
    <w:rsid w:val="00163944"/>
    <w:rsid w:val="00171635"/>
    <w:rsid w:val="0018057B"/>
    <w:rsid w:val="00181CCC"/>
    <w:rsid w:val="00185EC4"/>
    <w:rsid w:val="00186BF6"/>
    <w:rsid w:val="001942E4"/>
    <w:rsid w:val="001950B8"/>
    <w:rsid w:val="00195BF4"/>
    <w:rsid w:val="001A2D12"/>
    <w:rsid w:val="001A40EA"/>
    <w:rsid w:val="001A493D"/>
    <w:rsid w:val="001A509C"/>
    <w:rsid w:val="001A5142"/>
    <w:rsid w:val="001A608F"/>
    <w:rsid w:val="001B3080"/>
    <w:rsid w:val="001B60B6"/>
    <w:rsid w:val="001B7F33"/>
    <w:rsid w:val="001C2996"/>
    <w:rsid w:val="001C638B"/>
    <w:rsid w:val="001D3ACD"/>
    <w:rsid w:val="001D5DDD"/>
    <w:rsid w:val="001E0C7B"/>
    <w:rsid w:val="001E4881"/>
    <w:rsid w:val="001E4D5F"/>
    <w:rsid w:val="001E521A"/>
    <w:rsid w:val="001E55B6"/>
    <w:rsid w:val="001E62FC"/>
    <w:rsid w:val="001F653B"/>
    <w:rsid w:val="002001BB"/>
    <w:rsid w:val="002024FF"/>
    <w:rsid w:val="0020273D"/>
    <w:rsid w:val="002057F6"/>
    <w:rsid w:val="00205830"/>
    <w:rsid w:val="00206256"/>
    <w:rsid w:val="002107DD"/>
    <w:rsid w:val="00213685"/>
    <w:rsid w:val="00214C15"/>
    <w:rsid w:val="00216B4F"/>
    <w:rsid w:val="00216B78"/>
    <w:rsid w:val="00221595"/>
    <w:rsid w:val="00227A47"/>
    <w:rsid w:val="00231AEE"/>
    <w:rsid w:val="00234755"/>
    <w:rsid w:val="00237BB6"/>
    <w:rsid w:val="0024008D"/>
    <w:rsid w:val="0024257B"/>
    <w:rsid w:val="00246E54"/>
    <w:rsid w:val="00251592"/>
    <w:rsid w:val="00252C63"/>
    <w:rsid w:val="0025635E"/>
    <w:rsid w:val="0025654E"/>
    <w:rsid w:val="002565DD"/>
    <w:rsid w:val="00257CF2"/>
    <w:rsid w:val="002634C9"/>
    <w:rsid w:val="0026438E"/>
    <w:rsid w:val="00267514"/>
    <w:rsid w:val="002734BE"/>
    <w:rsid w:val="00273F75"/>
    <w:rsid w:val="00276B50"/>
    <w:rsid w:val="00280499"/>
    <w:rsid w:val="00283793"/>
    <w:rsid w:val="002858D4"/>
    <w:rsid w:val="0028696A"/>
    <w:rsid w:val="00287E14"/>
    <w:rsid w:val="00291136"/>
    <w:rsid w:val="002A18C6"/>
    <w:rsid w:val="002A1EBA"/>
    <w:rsid w:val="002A7016"/>
    <w:rsid w:val="002A7EB6"/>
    <w:rsid w:val="002B5876"/>
    <w:rsid w:val="002B6903"/>
    <w:rsid w:val="002C2919"/>
    <w:rsid w:val="002C6B6E"/>
    <w:rsid w:val="002D3AE9"/>
    <w:rsid w:val="002D541D"/>
    <w:rsid w:val="002D685E"/>
    <w:rsid w:val="002E60BD"/>
    <w:rsid w:val="002E7538"/>
    <w:rsid w:val="002E7AB1"/>
    <w:rsid w:val="002F5692"/>
    <w:rsid w:val="003001D3"/>
    <w:rsid w:val="003003C3"/>
    <w:rsid w:val="00301CA2"/>
    <w:rsid w:val="003026C0"/>
    <w:rsid w:val="00302B77"/>
    <w:rsid w:val="00304CBC"/>
    <w:rsid w:val="00310034"/>
    <w:rsid w:val="00310F26"/>
    <w:rsid w:val="00313997"/>
    <w:rsid w:val="00324632"/>
    <w:rsid w:val="00326139"/>
    <w:rsid w:val="003266F8"/>
    <w:rsid w:val="00331B62"/>
    <w:rsid w:val="00334302"/>
    <w:rsid w:val="00335F66"/>
    <w:rsid w:val="0034550B"/>
    <w:rsid w:val="00347330"/>
    <w:rsid w:val="00353FE1"/>
    <w:rsid w:val="00355F28"/>
    <w:rsid w:val="0036086E"/>
    <w:rsid w:val="00360949"/>
    <w:rsid w:val="003644D0"/>
    <w:rsid w:val="003671B0"/>
    <w:rsid w:val="00367504"/>
    <w:rsid w:val="003721D2"/>
    <w:rsid w:val="00373063"/>
    <w:rsid w:val="00373718"/>
    <w:rsid w:val="003771D9"/>
    <w:rsid w:val="0038041F"/>
    <w:rsid w:val="00380B8E"/>
    <w:rsid w:val="00380FEE"/>
    <w:rsid w:val="00381A0F"/>
    <w:rsid w:val="003858F4"/>
    <w:rsid w:val="00385C68"/>
    <w:rsid w:val="003872A8"/>
    <w:rsid w:val="00387543"/>
    <w:rsid w:val="00393D5F"/>
    <w:rsid w:val="00397059"/>
    <w:rsid w:val="00397673"/>
    <w:rsid w:val="003A33F5"/>
    <w:rsid w:val="003A3B80"/>
    <w:rsid w:val="003A682A"/>
    <w:rsid w:val="003C3713"/>
    <w:rsid w:val="003D29FE"/>
    <w:rsid w:val="003D5385"/>
    <w:rsid w:val="003D5ED2"/>
    <w:rsid w:val="003F1059"/>
    <w:rsid w:val="003F1725"/>
    <w:rsid w:val="003F65CC"/>
    <w:rsid w:val="00400C5E"/>
    <w:rsid w:val="00402CCE"/>
    <w:rsid w:val="00404AA3"/>
    <w:rsid w:val="00406AE7"/>
    <w:rsid w:val="004160E2"/>
    <w:rsid w:val="004176F6"/>
    <w:rsid w:val="004200DC"/>
    <w:rsid w:val="004209BD"/>
    <w:rsid w:val="004229A4"/>
    <w:rsid w:val="00423A6F"/>
    <w:rsid w:val="004254D5"/>
    <w:rsid w:val="00430EC6"/>
    <w:rsid w:val="004337B8"/>
    <w:rsid w:val="00434B3D"/>
    <w:rsid w:val="004375EC"/>
    <w:rsid w:val="004378F0"/>
    <w:rsid w:val="00437DE6"/>
    <w:rsid w:val="00441008"/>
    <w:rsid w:val="0044403C"/>
    <w:rsid w:val="004471BB"/>
    <w:rsid w:val="00447A06"/>
    <w:rsid w:val="00450D3F"/>
    <w:rsid w:val="00453829"/>
    <w:rsid w:val="00453B29"/>
    <w:rsid w:val="004555CB"/>
    <w:rsid w:val="0045618F"/>
    <w:rsid w:val="0046024A"/>
    <w:rsid w:val="004603DB"/>
    <w:rsid w:val="00462C42"/>
    <w:rsid w:val="004669EF"/>
    <w:rsid w:val="00467E58"/>
    <w:rsid w:val="0047246F"/>
    <w:rsid w:val="00475234"/>
    <w:rsid w:val="004761E0"/>
    <w:rsid w:val="00480C45"/>
    <w:rsid w:val="00482447"/>
    <w:rsid w:val="00482DFE"/>
    <w:rsid w:val="00487621"/>
    <w:rsid w:val="004A01AA"/>
    <w:rsid w:val="004A13E3"/>
    <w:rsid w:val="004A5E93"/>
    <w:rsid w:val="004A63CC"/>
    <w:rsid w:val="004B122B"/>
    <w:rsid w:val="004B19E8"/>
    <w:rsid w:val="004C133F"/>
    <w:rsid w:val="004C1F66"/>
    <w:rsid w:val="004C525A"/>
    <w:rsid w:val="004C636E"/>
    <w:rsid w:val="004D11DF"/>
    <w:rsid w:val="004D494F"/>
    <w:rsid w:val="004F0451"/>
    <w:rsid w:val="004F3698"/>
    <w:rsid w:val="004F5D13"/>
    <w:rsid w:val="004F7882"/>
    <w:rsid w:val="00500BF9"/>
    <w:rsid w:val="005038AD"/>
    <w:rsid w:val="005045EA"/>
    <w:rsid w:val="00505B6A"/>
    <w:rsid w:val="0051029C"/>
    <w:rsid w:val="00510308"/>
    <w:rsid w:val="00512B4B"/>
    <w:rsid w:val="00513673"/>
    <w:rsid w:val="00513BB3"/>
    <w:rsid w:val="00515BD9"/>
    <w:rsid w:val="00517045"/>
    <w:rsid w:val="005211F9"/>
    <w:rsid w:val="00524F42"/>
    <w:rsid w:val="005305F5"/>
    <w:rsid w:val="00530BED"/>
    <w:rsid w:val="005316A5"/>
    <w:rsid w:val="005334AE"/>
    <w:rsid w:val="00533C91"/>
    <w:rsid w:val="00536108"/>
    <w:rsid w:val="00541241"/>
    <w:rsid w:val="00543526"/>
    <w:rsid w:val="00543DFF"/>
    <w:rsid w:val="005468E6"/>
    <w:rsid w:val="005477BE"/>
    <w:rsid w:val="00552CAC"/>
    <w:rsid w:val="00555A22"/>
    <w:rsid w:val="00555A9D"/>
    <w:rsid w:val="00561600"/>
    <w:rsid w:val="00572502"/>
    <w:rsid w:val="00575CA9"/>
    <w:rsid w:val="0058006F"/>
    <w:rsid w:val="00580B10"/>
    <w:rsid w:val="00580F79"/>
    <w:rsid w:val="0058341C"/>
    <w:rsid w:val="0058469F"/>
    <w:rsid w:val="00587CF5"/>
    <w:rsid w:val="00592713"/>
    <w:rsid w:val="00593C9C"/>
    <w:rsid w:val="00594473"/>
    <w:rsid w:val="0059690B"/>
    <w:rsid w:val="005A1FA7"/>
    <w:rsid w:val="005A24F7"/>
    <w:rsid w:val="005A29B0"/>
    <w:rsid w:val="005A2B14"/>
    <w:rsid w:val="005A74B4"/>
    <w:rsid w:val="005B1057"/>
    <w:rsid w:val="005B1224"/>
    <w:rsid w:val="005B2E15"/>
    <w:rsid w:val="005B5659"/>
    <w:rsid w:val="005B5B70"/>
    <w:rsid w:val="005C7564"/>
    <w:rsid w:val="005C77CC"/>
    <w:rsid w:val="005D0139"/>
    <w:rsid w:val="005D21A3"/>
    <w:rsid w:val="005E2BCD"/>
    <w:rsid w:val="005E674C"/>
    <w:rsid w:val="005E6EB1"/>
    <w:rsid w:val="005F2101"/>
    <w:rsid w:val="005F2985"/>
    <w:rsid w:val="00604DC1"/>
    <w:rsid w:val="0060510D"/>
    <w:rsid w:val="0061350B"/>
    <w:rsid w:val="006154C5"/>
    <w:rsid w:val="00617216"/>
    <w:rsid w:val="00621170"/>
    <w:rsid w:val="00621773"/>
    <w:rsid w:val="00621C63"/>
    <w:rsid w:val="006232EB"/>
    <w:rsid w:val="00634324"/>
    <w:rsid w:val="00636D47"/>
    <w:rsid w:val="00646F26"/>
    <w:rsid w:val="006472FA"/>
    <w:rsid w:val="00647C91"/>
    <w:rsid w:val="00651660"/>
    <w:rsid w:val="00652486"/>
    <w:rsid w:val="00652493"/>
    <w:rsid w:val="00655FB5"/>
    <w:rsid w:val="0066139E"/>
    <w:rsid w:val="0066162D"/>
    <w:rsid w:val="006643A6"/>
    <w:rsid w:val="00667637"/>
    <w:rsid w:val="006708F4"/>
    <w:rsid w:val="00671BCA"/>
    <w:rsid w:val="0068156C"/>
    <w:rsid w:val="00682A4B"/>
    <w:rsid w:val="00682C77"/>
    <w:rsid w:val="0069175A"/>
    <w:rsid w:val="0069477C"/>
    <w:rsid w:val="00696A00"/>
    <w:rsid w:val="006A0104"/>
    <w:rsid w:val="006A0C74"/>
    <w:rsid w:val="006A69B5"/>
    <w:rsid w:val="006A7590"/>
    <w:rsid w:val="006A78C5"/>
    <w:rsid w:val="006A7AE2"/>
    <w:rsid w:val="006B54EC"/>
    <w:rsid w:val="006B77C6"/>
    <w:rsid w:val="006B7B31"/>
    <w:rsid w:val="006C35E6"/>
    <w:rsid w:val="006C64A5"/>
    <w:rsid w:val="006C6B6B"/>
    <w:rsid w:val="006C7B97"/>
    <w:rsid w:val="006D39FC"/>
    <w:rsid w:val="006D4C74"/>
    <w:rsid w:val="006E19AE"/>
    <w:rsid w:val="006E1D9F"/>
    <w:rsid w:val="006E33D4"/>
    <w:rsid w:val="006F0BE2"/>
    <w:rsid w:val="006F2DAB"/>
    <w:rsid w:val="006F3A80"/>
    <w:rsid w:val="006F726A"/>
    <w:rsid w:val="006F76E1"/>
    <w:rsid w:val="006F7DDD"/>
    <w:rsid w:val="007009E5"/>
    <w:rsid w:val="007026FE"/>
    <w:rsid w:val="007078B4"/>
    <w:rsid w:val="0071000D"/>
    <w:rsid w:val="00713CB4"/>
    <w:rsid w:val="00716AB5"/>
    <w:rsid w:val="00716B97"/>
    <w:rsid w:val="00717ABD"/>
    <w:rsid w:val="00717F73"/>
    <w:rsid w:val="00721231"/>
    <w:rsid w:val="00723DE0"/>
    <w:rsid w:val="007301B8"/>
    <w:rsid w:val="007305C3"/>
    <w:rsid w:val="00735616"/>
    <w:rsid w:val="00736AB1"/>
    <w:rsid w:val="00744472"/>
    <w:rsid w:val="00747ADA"/>
    <w:rsid w:val="00747E70"/>
    <w:rsid w:val="007545C6"/>
    <w:rsid w:val="00757BFA"/>
    <w:rsid w:val="00760774"/>
    <w:rsid w:val="00761337"/>
    <w:rsid w:val="0076218A"/>
    <w:rsid w:val="0076323E"/>
    <w:rsid w:val="0076644A"/>
    <w:rsid w:val="007677CF"/>
    <w:rsid w:val="007724C2"/>
    <w:rsid w:val="00774078"/>
    <w:rsid w:val="007805F7"/>
    <w:rsid w:val="00781CA8"/>
    <w:rsid w:val="00784E1D"/>
    <w:rsid w:val="00786AF6"/>
    <w:rsid w:val="00790FA4"/>
    <w:rsid w:val="00791BB6"/>
    <w:rsid w:val="007A7038"/>
    <w:rsid w:val="007B1F1B"/>
    <w:rsid w:val="007B1F4A"/>
    <w:rsid w:val="007B1F59"/>
    <w:rsid w:val="007B7217"/>
    <w:rsid w:val="007C005E"/>
    <w:rsid w:val="007C32C5"/>
    <w:rsid w:val="007C3489"/>
    <w:rsid w:val="007C7B91"/>
    <w:rsid w:val="007D0D78"/>
    <w:rsid w:val="007D1C33"/>
    <w:rsid w:val="007D2482"/>
    <w:rsid w:val="007D3193"/>
    <w:rsid w:val="007D3A0F"/>
    <w:rsid w:val="007D3DC2"/>
    <w:rsid w:val="007D4112"/>
    <w:rsid w:val="007D6D65"/>
    <w:rsid w:val="007E6661"/>
    <w:rsid w:val="007E742A"/>
    <w:rsid w:val="007F1A11"/>
    <w:rsid w:val="007F317D"/>
    <w:rsid w:val="00801A47"/>
    <w:rsid w:val="008102A7"/>
    <w:rsid w:val="00813A35"/>
    <w:rsid w:val="00827667"/>
    <w:rsid w:val="00834FCE"/>
    <w:rsid w:val="008440A9"/>
    <w:rsid w:val="008522A2"/>
    <w:rsid w:val="0085719C"/>
    <w:rsid w:val="00862E9C"/>
    <w:rsid w:val="008664D1"/>
    <w:rsid w:val="0086688A"/>
    <w:rsid w:val="00866DA4"/>
    <w:rsid w:val="008706C3"/>
    <w:rsid w:val="008709F8"/>
    <w:rsid w:val="00876546"/>
    <w:rsid w:val="00882A85"/>
    <w:rsid w:val="00896211"/>
    <w:rsid w:val="008A16A6"/>
    <w:rsid w:val="008A17B6"/>
    <w:rsid w:val="008A441B"/>
    <w:rsid w:val="008A4B61"/>
    <w:rsid w:val="008A63D9"/>
    <w:rsid w:val="008B16AE"/>
    <w:rsid w:val="008B33BF"/>
    <w:rsid w:val="008B42C5"/>
    <w:rsid w:val="008C3784"/>
    <w:rsid w:val="008C4DA0"/>
    <w:rsid w:val="008C5025"/>
    <w:rsid w:val="008C7B3F"/>
    <w:rsid w:val="008D1DBF"/>
    <w:rsid w:val="008D259E"/>
    <w:rsid w:val="008D281B"/>
    <w:rsid w:val="008D4F9E"/>
    <w:rsid w:val="008D655D"/>
    <w:rsid w:val="008D6B5A"/>
    <w:rsid w:val="008D7409"/>
    <w:rsid w:val="008E3416"/>
    <w:rsid w:val="008E57C8"/>
    <w:rsid w:val="008E5A66"/>
    <w:rsid w:val="008F0EDA"/>
    <w:rsid w:val="008F2A43"/>
    <w:rsid w:val="008F414F"/>
    <w:rsid w:val="008F6219"/>
    <w:rsid w:val="008F6EBD"/>
    <w:rsid w:val="008F7C52"/>
    <w:rsid w:val="00906ECF"/>
    <w:rsid w:val="009074D4"/>
    <w:rsid w:val="00912973"/>
    <w:rsid w:val="009160EA"/>
    <w:rsid w:val="009216A9"/>
    <w:rsid w:val="00921DFA"/>
    <w:rsid w:val="00921E2F"/>
    <w:rsid w:val="00922766"/>
    <w:rsid w:val="00925233"/>
    <w:rsid w:val="00925BEC"/>
    <w:rsid w:val="00925DAA"/>
    <w:rsid w:val="009263FD"/>
    <w:rsid w:val="0092792C"/>
    <w:rsid w:val="00927B09"/>
    <w:rsid w:val="00927B44"/>
    <w:rsid w:val="00935A03"/>
    <w:rsid w:val="009438BF"/>
    <w:rsid w:val="00944813"/>
    <w:rsid w:val="00944DA6"/>
    <w:rsid w:val="00945635"/>
    <w:rsid w:val="00955966"/>
    <w:rsid w:val="00961D30"/>
    <w:rsid w:val="009644E8"/>
    <w:rsid w:val="00971C37"/>
    <w:rsid w:val="009722BF"/>
    <w:rsid w:val="009738AA"/>
    <w:rsid w:val="00975D6D"/>
    <w:rsid w:val="00977538"/>
    <w:rsid w:val="00982356"/>
    <w:rsid w:val="00982B20"/>
    <w:rsid w:val="00983EB2"/>
    <w:rsid w:val="00991356"/>
    <w:rsid w:val="00992221"/>
    <w:rsid w:val="009937C9"/>
    <w:rsid w:val="0099485C"/>
    <w:rsid w:val="009968EF"/>
    <w:rsid w:val="009A1628"/>
    <w:rsid w:val="009A231E"/>
    <w:rsid w:val="009B628B"/>
    <w:rsid w:val="009B7AA5"/>
    <w:rsid w:val="009C0B4C"/>
    <w:rsid w:val="009C2A56"/>
    <w:rsid w:val="009C3189"/>
    <w:rsid w:val="009C7A2E"/>
    <w:rsid w:val="009D23E9"/>
    <w:rsid w:val="009D6F17"/>
    <w:rsid w:val="009E1936"/>
    <w:rsid w:val="009E1BC0"/>
    <w:rsid w:val="009E61AC"/>
    <w:rsid w:val="009F0859"/>
    <w:rsid w:val="009F0B55"/>
    <w:rsid w:val="009F1100"/>
    <w:rsid w:val="00A11478"/>
    <w:rsid w:val="00A1509C"/>
    <w:rsid w:val="00A16180"/>
    <w:rsid w:val="00A17EA7"/>
    <w:rsid w:val="00A2579D"/>
    <w:rsid w:val="00A27D43"/>
    <w:rsid w:val="00A310E7"/>
    <w:rsid w:val="00A32655"/>
    <w:rsid w:val="00A32849"/>
    <w:rsid w:val="00A335E5"/>
    <w:rsid w:val="00A3698F"/>
    <w:rsid w:val="00A3784D"/>
    <w:rsid w:val="00A41463"/>
    <w:rsid w:val="00A517A7"/>
    <w:rsid w:val="00A54DAF"/>
    <w:rsid w:val="00A56134"/>
    <w:rsid w:val="00A5613C"/>
    <w:rsid w:val="00A57E74"/>
    <w:rsid w:val="00A6021E"/>
    <w:rsid w:val="00A612F6"/>
    <w:rsid w:val="00A624EF"/>
    <w:rsid w:val="00A66566"/>
    <w:rsid w:val="00A7012F"/>
    <w:rsid w:val="00A70A5E"/>
    <w:rsid w:val="00A70C7D"/>
    <w:rsid w:val="00A716A6"/>
    <w:rsid w:val="00A72A67"/>
    <w:rsid w:val="00A77DB1"/>
    <w:rsid w:val="00A80825"/>
    <w:rsid w:val="00A81F1A"/>
    <w:rsid w:val="00A821CA"/>
    <w:rsid w:val="00A82A96"/>
    <w:rsid w:val="00A85305"/>
    <w:rsid w:val="00A90825"/>
    <w:rsid w:val="00A96027"/>
    <w:rsid w:val="00A96595"/>
    <w:rsid w:val="00A967D3"/>
    <w:rsid w:val="00AA1228"/>
    <w:rsid w:val="00AA437B"/>
    <w:rsid w:val="00AA5667"/>
    <w:rsid w:val="00AA6F55"/>
    <w:rsid w:val="00AA7A5D"/>
    <w:rsid w:val="00AC05AF"/>
    <w:rsid w:val="00AC16DB"/>
    <w:rsid w:val="00AC4BFB"/>
    <w:rsid w:val="00AD689B"/>
    <w:rsid w:val="00AD68F1"/>
    <w:rsid w:val="00AE255D"/>
    <w:rsid w:val="00AE2E3D"/>
    <w:rsid w:val="00AF091E"/>
    <w:rsid w:val="00B01B6F"/>
    <w:rsid w:val="00B02C79"/>
    <w:rsid w:val="00B03FD5"/>
    <w:rsid w:val="00B04DB8"/>
    <w:rsid w:val="00B05C0C"/>
    <w:rsid w:val="00B05D7C"/>
    <w:rsid w:val="00B07DA7"/>
    <w:rsid w:val="00B11809"/>
    <w:rsid w:val="00B14461"/>
    <w:rsid w:val="00B2264B"/>
    <w:rsid w:val="00B26EA9"/>
    <w:rsid w:val="00B27041"/>
    <w:rsid w:val="00B30C9F"/>
    <w:rsid w:val="00B3128D"/>
    <w:rsid w:val="00B41B6C"/>
    <w:rsid w:val="00B5303B"/>
    <w:rsid w:val="00B541DC"/>
    <w:rsid w:val="00B54843"/>
    <w:rsid w:val="00B54D53"/>
    <w:rsid w:val="00B625EA"/>
    <w:rsid w:val="00B6516D"/>
    <w:rsid w:val="00B6582C"/>
    <w:rsid w:val="00B658D4"/>
    <w:rsid w:val="00B65E10"/>
    <w:rsid w:val="00B714A5"/>
    <w:rsid w:val="00B72967"/>
    <w:rsid w:val="00B8003C"/>
    <w:rsid w:val="00B842FD"/>
    <w:rsid w:val="00B91EE6"/>
    <w:rsid w:val="00B92116"/>
    <w:rsid w:val="00B92B2C"/>
    <w:rsid w:val="00B94BB2"/>
    <w:rsid w:val="00BA1425"/>
    <w:rsid w:val="00BA1487"/>
    <w:rsid w:val="00BA2006"/>
    <w:rsid w:val="00BB0A81"/>
    <w:rsid w:val="00BB3FBA"/>
    <w:rsid w:val="00BB4B8C"/>
    <w:rsid w:val="00BC4DFE"/>
    <w:rsid w:val="00BC5040"/>
    <w:rsid w:val="00BC7C2B"/>
    <w:rsid w:val="00BC7D88"/>
    <w:rsid w:val="00BD08AC"/>
    <w:rsid w:val="00BD0E60"/>
    <w:rsid w:val="00BD1A74"/>
    <w:rsid w:val="00BD4DCB"/>
    <w:rsid w:val="00BE1837"/>
    <w:rsid w:val="00BF0DE0"/>
    <w:rsid w:val="00BF7043"/>
    <w:rsid w:val="00C00490"/>
    <w:rsid w:val="00C06FB2"/>
    <w:rsid w:val="00C07FCF"/>
    <w:rsid w:val="00C14232"/>
    <w:rsid w:val="00C20FA7"/>
    <w:rsid w:val="00C23FB6"/>
    <w:rsid w:val="00C275E6"/>
    <w:rsid w:val="00C32F6B"/>
    <w:rsid w:val="00C34085"/>
    <w:rsid w:val="00C356BD"/>
    <w:rsid w:val="00C41413"/>
    <w:rsid w:val="00C4333F"/>
    <w:rsid w:val="00C43683"/>
    <w:rsid w:val="00C5215D"/>
    <w:rsid w:val="00C600E9"/>
    <w:rsid w:val="00C62805"/>
    <w:rsid w:val="00C64870"/>
    <w:rsid w:val="00C65C11"/>
    <w:rsid w:val="00C66AFB"/>
    <w:rsid w:val="00C71598"/>
    <w:rsid w:val="00C72DAD"/>
    <w:rsid w:val="00C7303A"/>
    <w:rsid w:val="00C770F7"/>
    <w:rsid w:val="00C7716C"/>
    <w:rsid w:val="00C820B6"/>
    <w:rsid w:val="00C8582C"/>
    <w:rsid w:val="00C9110C"/>
    <w:rsid w:val="00C914F3"/>
    <w:rsid w:val="00C91867"/>
    <w:rsid w:val="00C9657E"/>
    <w:rsid w:val="00C97D02"/>
    <w:rsid w:val="00CA1354"/>
    <w:rsid w:val="00CA168F"/>
    <w:rsid w:val="00CA2D12"/>
    <w:rsid w:val="00CB0877"/>
    <w:rsid w:val="00CB45A3"/>
    <w:rsid w:val="00CB799D"/>
    <w:rsid w:val="00CB7C0E"/>
    <w:rsid w:val="00CC06EF"/>
    <w:rsid w:val="00CC0DD9"/>
    <w:rsid w:val="00CC16EC"/>
    <w:rsid w:val="00CC3DC1"/>
    <w:rsid w:val="00CC4BF8"/>
    <w:rsid w:val="00CD20F2"/>
    <w:rsid w:val="00CD32AE"/>
    <w:rsid w:val="00CE151A"/>
    <w:rsid w:val="00CE4CC6"/>
    <w:rsid w:val="00CE5EE5"/>
    <w:rsid w:val="00CE68B7"/>
    <w:rsid w:val="00CE758F"/>
    <w:rsid w:val="00CF048E"/>
    <w:rsid w:val="00CF0EBD"/>
    <w:rsid w:val="00CF1E6B"/>
    <w:rsid w:val="00CF4E11"/>
    <w:rsid w:val="00CF572B"/>
    <w:rsid w:val="00CF6A21"/>
    <w:rsid w:val="00CF7E28"/>
    <w:rsid w:val="00D031EE"/>
    <w:rsid w:val="00D042CD"/>
    <w:rsid w:val="00D05CF2"/>
    <w:rsid w:val="00D05F32"/>
    <w:rsid w:val="00D1382D"/>
    <w:rsid w:val="00D16911"/>
    <w:rsid w:val="00D25282"/>
    <w:rsid w:val="00D333FB"/>
    <w:rsid w:val="00D3768D"/>
    <w:rsid w:val="00D455D8"/>
    <w:rsid w:val="00D51456"/>
    <w:rsid w:val="00D5472A"/>
    <w:rsid w:val="00D60765"/>
    <w:rsid w:val="00D66262"/>
    <w:rsid w:val="00D67162"/>
    <w:rsid w:val="00D728DF"/>
    <w:rsid w:val="00D734B3"/>
    <w:rsid w:val="00D7366F"/>
    <w:rsid w:val="00D74749"/>
    <w:rsid w:val="00D750C6"/>
    <w:rsid w:val="00D76228"/>
    <w:rsid w:val="00D77372"/>
    <w:rsid w:val="00D825AC"/>
    <w:rsid w:val="00D91219"/>
    <w:rsid w:val="00D9216F"/>
    <w:rsid w:val="00D9282F"/>
    <w:rsid w:val="00D940C6"/>
    <w:rsid w:val="00D97737"/>
    <w:rsid w:val="00DA0418"/>
    <w:rsid w:val="00DA0E0E"/>
    <w:rsid w:val="00DA665F"/>
    <w:rsid w:val="00DB6381"/>
    <w:rsid w:val="00DC363F"/>
    <w:rsid w:val="00DC471F"/>
    <w:rsid w:val="00DC4DE7"/>
    <w:rsid w:val="00DC6836"/>
    <w:rsid w:val="00DC6CC0"/>
    <w:rsid w:val="00DC708A"/>
    <w:rsid w:val="00DD18DF"/>
    <w:rsid w:val="00DD2FD1"/>
    <w:rsid w:val="00DD43FB"/>
    <w:rsid w:val="00DD6532"/>
    <w:rsid w:val="00DE1393"/>
    <w:rsid w:val="00DE228D"/>
    <w:rsid w:val="00DE710F"/>
    <w:rsid w:val="00DF1BFD"/>
    <w:rsid w:val="00DF2C73"/>
    <w:rsid w:val="00DF3E5F"/>
    <w:rsid w:val="00DF7943"/>
    <w:rsid w:val="00E02FE1"/>
    <w:rsid w:val="00E14A78"/>
    <w:rsid w:val="00E15598"/>
    <w:rsid w:val="00E16722"/>
    <w:rsid w:val="00E1707F"/>
    <w:rsid w:val="00E2287B"/>
    <w:rsid w:val="00E30CD4"/>
    <w:rsid w:val="00E321A7"/>
    <w:rsid w:val="00E34554"/>
    <w:rsid w:val="00E356C4"/>
    <w:rsid w:val="00E37143"/>
    <w:rsid w:val="00E3727E"/>
    <w:rsid w:val="00E374BD"/>
    <w:rsid w:val="00E415C7"/>
    <w:rsid w:val="00E419B3"/>
    <w:rsid w:val="00E44BB4"/>
    <w:rsid w:val="00E46FE0"/>
    <w:rsid w:val="00E53F8A"/>
    <w:rsid w:val="00E6042E"/>
    <w:rsid w:val="00E62FAC"/>
    <w:rsid w:val="00E63554"/>
    <w:rsid w:val="00E65134"/>
    <w:rsid w:val="00E70D6F"/>
    <w:rsid w:val="00E75609"/>
    <w:rsid w:val="00E80D93"/>
    <w:rsid w:val="00E81509"/>
    <w:rsid w:val="00E81764"/>
    <w:rsid w:val="00E845C5"/>
    <w:rsid w:val="00E91160"/>
    <w:rsid w:val="00E91C28"/>
    <w:rsid w:val="00E92606"/>
    <w:rsid w:val="00E92BB8"/>
    <w:rsid w:val="00E93789"/>
    <w:rsid w:val="00E953A5"/>
    <w:rsid w:val="00EA2198"/>
    <w:rsid w:val="00EA2DF2"/>
    <w:rsid w:val="00EA3994"/>
    <w:rsid w:val="00EA4704"/>
    <w:rsid w:val="00EA6079"/>
    <w:rsid w:val="00EB1174"/>
    <w:rsid w:val="00EB1427"/>
    <w:rsid w:val="00EB484F"/>
    <w:rsid w:val="00EC0C03"/>
    <w:rsid w:val="00ED01D2"/>
    <w:rsid w:val="00ED2452"/>
    <w:rsid w:val="00ED308E"/>
    <w:rsid w:val="00ED5CCC"/>
    <w:rsid w:val="00EE0276"/>
    <w:rsid w:val="00EE27A2"/>
    <w:rsid w:val="00EF21E8"/>
    <w:rsid w:val="00EF31E0"/>
    <w:rsid w:val="00EF55F0"/>
    <w:rsid w:val="00F019CD"/>
    <w:rsid w:val="00F01FF5"/>
    <w:rsid w:val="00F02784"/>
    <w:rsid w:val="00F10CF5"/>
    <w:rsid w:val="00F12A13"/>
    <w:rsid w:val="00F13DA7"/>
    <w:rsid w:val="00F20469"/>
    <w:rsid w:val="00F22E06"/>
    <w:rsid w:val="00F24DA4"/>
    <w:rsid w:val="00F30CD4"/>
    <w:rsid w:val="00F375F4"/>
    <w:rsid w:val="00F4063E"/>
    <w:rsid w:val="00F43DBB"/>
    <w:rsid w:val="00F47F8B"/>
    <w:rsid w:val="00F557A1"/>
    <w:rsid w:val="00F57E4B"/>
    <w:rsid w:val="00F643F1"/>
    <w:rsid w:val="00F70783"/>
    <w:rsid w:val="00F7441E"/>
    <w:rsid w:val="00F745C7"/>
    <w:rsid w:val="00F753FD"/>
    <w:rsid w:val="00F75CCE"/>
    <w:rsid w:val="00F82817"/>
    <w:rsid w:val="00F92877"/>
    <w:rsid w:val="00F95C2A"/>
    <w:rsid w:val="00FA09E8"/>
    <w:rsid w:val="00FA1B8E"/>
    <w:rsid w:val="00FA710E"/>
    <w:rsid w:val="00FB5244"/>
    <w:rsid w:val="00FC1A31"/>
    <w:rsid w:val="00FC65B1"/>
    <w:rsid w:val="00FD0F86"/>
    <w:rsid w:val="00FD30F3"/>
    <w:rsid w:val="00FD3778"/>
    <w:rsid w:val="00FD4D80"/>
    <w:rsid w:val="00FD5CC7"/>
    <w:rsid w:val="00FD6A74"/>
    <w:rsid w:val="00FD7394"/>
    <w:rsid w:val="00FD79C8"/>
    <w:rsid w:val="00FE0C9A"/>
    <w:rsid w:val="00FE17B1"/>
    <w:rsid w:val="00FE1B3C"/>
    <w:rsid w:val="00FE3B49"/>
    <w:rsid w:val="00FE4586"/>
    <w:rsid w:val="00FE55FC"/>
    <w:rsid w:val="00FE6A1F"/>
    <w:rsid w:val="00FE6F59"/>
    <w:rsid w:val="00FF0FB6"/>
    <w:rsid w:val="00FF79B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19F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A40EA"/>
    <w:pPr>
      <w:suppressAutoHyphens/>
    </w:pPr>
    <w:rPr>
      <w:rFonts w:ascii="Times New Roman" w:hAnsi="Times New Roman" w:cs="Times New Roman"/>
      <w:lang w:eastAsia="ar-SA"/>
    </w:rPr>
  </w:style>
  <w:style w:type="paragraph" w:styleId="Heading1">
    <w:name w:val="heading 1"/>
    <w:basedOn w:val="Intestazione1"/>
    <w:next w:val="BodyText"/>
    <w:link w:val="Heading1Char"/>
    <w:qFormat/>
    <w:rsid w:val="001A40EA"/>
    <w:pPr>
      <w:numPr>
        <w:numId w:val="15"/>
      </w:numPr>
      <w:outlineLvl w:val="0"/>
    </w:pPr>
    <w:rPr>
      <w:rFonts w:ascii="Times New Roman" w:eastAsia="Arial Unicode MS" w:hAnsi="Times New Roman"/>
      <w:b/>
      <w:bCs/>
      <w:sz w:val="48"/>
      <w:szCs w:val="48"/>
    </w:rPr>
  </w:style>
  <w:style w:type="paragraph" w:styleId="Heading2">
    <w:name w:val="heading 2"/>
    <w:basedOn w:val="Normal"/>
    <w:next w:val="Normal"/>
    <w:link w:val="Heading2Char"/>
    <w:qFormat/>
    <w:rsid w:val="001A40EA"/>
    <w:pPr>
      <w:keepNext/>
      <w:numPr>
        <w:ilvl w:val="1"/>
        <w:numId w:val="15"/>
      </w:numPr>
      <w:spacing w:before="280" w:after="280" w:line="360" w:lineRule="auto"/>
      <w:ind w:right="540"/>
      <w:jc w:val="both"/>
      <w:outlineLvl w:val="1"/>
    </w:pPr>
    <w:rPr>
      <w:sz w:val="28"/>
      <w:szCs w:val="22"/>
      <w:lang w:val="en-US"/>
    </w:rPr>
  </w:style>
  <w:style w:type="paragraph" w:styleId="Heading3">
    <w:name w:val="heading 3"/>
    <w:basedOn w:val="Normal"/>
    <w:next w:val="Normal"/>
    <w:link w:val="Heading3Char"/>
    <w:qFormat/>
    <w:rsid w:val="001A40EA"/>
    <w:pPr>
      <w:keepNext/>
      <w:numPr>
        <w:ilvl w:val="2"/>
        <w:numId w:val="15"/>
      </w:numPr>
      <w:spacing w:before="240" w:after="60"/>
      <w:outlineLvl w:val="2"/>
    </w:pPr>
    <w:rPr>
      <w:rFonts w:ascii="Arial" w:hAnsi="Arial" w:cs="Arial"/>
      <w:b/>
      <w:bCs/>
      <w:sz w:val="26"/>
      <w:szCs w:val="26"/>
    </w:rPr>
  </w:style>
  <w:style w:type="paragraph" w:styleId="Heading4">
    <w:name w:val="heading 4"/>
    <w:basedOn w:val="Intestazione1"/>
    <w:next w:val="BodyText"/>
    <w:link w:val="Heading4Char"/>
    <w:qFormat/>
    <w:rsid w:val="001A40EA"/>
    <w:pPr>
      <w:numPr>
        <w:ilvl w:val="3"/>
        <w:numId w:val="15"/>
      </w:numPr>
      <w:outlineLvl w:val="3"/>
    </w:pPr>
    <w:rPr>
      <w:rFonts w:ascii="Times New Roman" w:eastAsia="Arial Unicode MS" w:hAnsi="Times New Roman"/>
      <w:b/>
      <w:bCs/>
      <w:sz w:val="24"/>
      <w:szCs w:val="24"/>
    </w:rPr>
  </w:style>
  <w:style w:type="paragraph" w:styleId="Heading7">
    <w:name w:val="heading 7"/>
    <w:basedOn w:val="Normal"/>
    <w:next w:val="Normal"/>
    <w:link w:val="Heading7Char"/>
    <w:qFormat/>
    <w:rsid w:val="001A40EA"/>
    <w:pPr>
      <w:numPr>
        <w:ilvl w:val="6"/>
        <w:numId w:val="15"/>
      </w:numPr>
      <w:spacing w:before="240" w:after="60"/>
      <w:outlineLvl w:val="6"/>
    </w:pPr>
  </w:style>
  <w:style w:type="paragraph" w:styleId="Heading8">
    <w:name w:val="heading 8"/>
    <w:basedOn w:val="Normal"/>
    <w:next w:val="Normal"/>
    <w:link w:val="Heading8Char"/>
    <w:uiPriority w:val="9"/>
    <w:unhideWhenUsed/>
    <w:qFormat/>
    <w:rsid w:val="001A40E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1A40EA"/>
  </w:style>
  <w:style w:type="character" w:customStyle="1" w:styleId="Altrasuddivisione">
    <w:name w:val="Altra suddivisione"/>
    <w:basedOn w:val="DefaultParagraphFont"/>
    <w:uiPriority w:val="1"/>
    <w:qFormat/>
    <w:rsid w:val="001A40EA"/>
    <w:rPr>
      <w:rFonts w:ascii="ZapfHumnst BT" w:hAnsi="ZapfHumnst BT"/>
      <w:sz w:val="22"/>
    </w:rPr>
  </w:style>
  <w:style w:type="character" w:customStyle="1" w:styleId="apple-converted-space">
    <w:name w:val="apple-converted-space"/>
    <w:basedOn w:val="DefaultParagraphFont"/>
    <w:rsid w:val="001A40EA"/>
  </w:style>
  <w:style w:type="character" w:customStyle="1" w:styleId="apple-style-span">
    <w:name w:val="apple-style-span"/>
    <w:basedOn w:val="DefaultParagraphFont"/>
    <w:rsid w:val="001A40EA"/>
  </w:style>
  <w:style w:type="paragraph" w:customStyle="1" w:styleId="Capoverso">
    <w:name w:val="Capoverso"/>
    <w:qFormat/>
    <w:rsid w:val="001A40EA"/>
    <w:pPr>
      <w:widowControl w:val="0"/>
      <w:spacing w:line="248" w:lineRule="exact"/>
      <w:ind w:firstLine="284"/>
      <w:jc w:val="both"/>
    </w:pPr>
    <w:rPr>
      <w:rFonts w:ascii="Simoncini Garamond Std" w:hAnsi="Simoncini Garamond Std" w:cs="Times New Roman"/>
      <w:sz w:val="22"/>
      <w:lang w:eastAsia="ar-SA"/>
    </w:rPr>
  </w:style>
  <w:style w:type="paragraph" w:customStyle="1" w:styleId="Capoversoaltrasuddivisione">
    <w:name w:val="Capoverso + altra suddivisione"/>
    <w:basedOn w:val="Capoverso"/>
    <w:qFormat/>
    <w:rsid w:val="001A40EA"/>
    <w:pPr>
      <w:spacing w:before="248"/>
      <w:ind w:firstLine="0"/>
    </w:pPr>
  </w:style>
  <w:style w:type="paragraph" w:customStyle="1" w:styleId="Capoversospaziosopra">
    <w:name w:val="Capoverso spazio sopra"/>
    <w:basedOn w:val="Capoverso"/>
    <w:qFormat/>
    <w:rsid w:val="001A40EA"/>
    <w:pPr>
      <w:spacing w:before="248"/>
    </w:pPr>
  </w:style>
  <w:style w:type="character" w:customStyle="1" w:styleId="Caratterepredefinitoparagrafo1">
    <w:name w:val="Carattere predefinito paragrafo1"/>
    <w:rsid w:val="001A40EA"/>
  </w:style>
  <w:style w:type="character" w:customStyle="1" w:styleId="Caratteredellanota">
    <w:name w:val="Carattere della nota"/>
    <w:basedOn w:val="Caratterepredefinitoparagrafo1"/>
    <w:rsid w:val="001A40EA"/>
    <w:rPr>
      <w:vertAlign w:val="superscript"/>
    </w:rPr>
  </w:style>
  <w:style w:type="character" w:customStyle="1" w:styleId="Caratteredinumerazione">
    <w:name w:val="Carattere di numerazione"/>
    <w:rsid w:val="001A40EA"/>
    <w:rPr>
      <w:b/>
      <w:bCs/>
      <w:i w:val="0"/>
      <w:iCs w:val="0"/>
    </w:rPr>
  </w:style>
  <w:style w:type="character" w:customStyle="1" w:styleId="Caratterenotadichiusura">
    <w:name w:val="Carattere nota di chiusura"/>
    <w:rsid w:val="001A40EA"/>
    <w:rPr>
      <w:vertAlign w:val="superscript"/>
    </w:rPr>
  </w:style>
  <w:style w:type="paragraph" w:customStyle="1" w:styleId="Default">
    <w:name w:val="Default"/>
    <w:rsid w:val="001A40EA"/>
    <w:pPr>
      <w:suppressAutoHyphens/>
      <w:autoSpaceDE w:val="0"/>
    </w:pPr>
    <w:rPr>
      <w:rFonts w:ascii="EFFKIP+CourierNewPSMT" w:hAnsi="EFFKIP+CourierNewPSMT" w:cs="EFFKIP+CourierNewPSMT"/>
      <w:color w:val="000000"/>
      <w:lang w:eastAsia="ar-SA"/>
    </w:rPr>
  </w:style>
  <w:style w:type="paragraph" w:customStyle="1" w:styleId="CM11">
    <w:name w:val="CM11"/>
    <w:basedOn w:val="Default"/>
    <w:next w:val="Default"/>
    <w:rsid w:val="001A40EA"/>
    <w:pPr>
      <w:spacing w:line="266" w:lineRule="atLeast"/>
    </w:pPr>
    <w:rPr>
      <w:rFonts w:ascii="Times New Roman" w:eastAsia="Arial Unicode MS" w:hAnsi="Times New Roman" w:cs="Tahoma"/>
      <w:color w:val="auto"/>
    </w:rPr>
  </w:style>
  <w:style w:type="paragraph" w:customStyle="1" w:styleId="CM35">
    <w:name w:val="CM35"/>
    <w:basedOn w:val="Default"/>
    <w:next w:val="Default"/>
    <w:rsid w:val="001A40EA"/>
    <w:pPr>
      <w:spacing w:line="220" w:lineRule="atLeast"/>
    </w:pPr>
    <w:rPr>
      <w:rFonts w:ascii="Times New Roman" w:eastAsia="Arial Unicode MS" w:hAnsi="Times New Roman" w:cs="Tahoma"/>
      <w:color w:val="auto"/>
    </w:rPr>
  </w:style>
  <w:style w:type="paragraph" w:customStyle="1" w:styleId="CM4">
    <w:name w:val="CM4"/>
    <w:basedOn w:val="Default"/>
    <w:next w:val="Default"/>
    <w:rsid w:val="001A40EA"/>
    <w:rPr>
      <w:rFonts w:ascii="Times New Roman" w:eastAsia="Arial Unicode MS" w:hAnsi="Times New Roman" w:cs="Tahoma"/>
      <w:color w:val="auto"/>
    </w:rPr>
  </w:style>
  <w:style w:type="character" w:styleId="Hyperlink">
    <w:name w:val="Hyperlink"/>
    <w:basedOn w:val="Caratterepredefinitoparagrafo1"/>
    <w:uiPriority w:val="99"/>
    <w:rsid w:val="001A40EA"/>
    <w:rPr>
      <w:color w:val="0000FF"/>
      <w:u w:val="single"/>
    </w:rPr>
  </w:style>
  <w:style w:type="character" w:styleId="FollowedHyperlink">
    <w:name w:val="FollowedHyperlink"/>
    <w:uiPriority w:val="99"/>
    <w:rsid w:val="001A40EA"/>
    <w:rPr>
      <w:color w:val="800000"/>
      <w:u w:val="single"/>
    </w:rPr>
  </w:style>
  <w:style w:type="paragraph" w:styleId="BodyText">
    <w:name w:val="Body Text"/>
    <w:basedOn w:val="Normal"/>
    <w:link w:val="BodyTextChar"/>
    <w:rsid w:val="001A40EA"/>
    <w:pPr>
      <w:spacing w:after="120"/>
    </w:pPr>
  </w:style>
  <w:style w:type="character" w:customStyle="1" w:styleId="BodyTextChar">
    <w:name w:val="Body Text Char"/>
    <w:basedOn w:val="DefaultParagraphFont"/>
    <w:link w:val="BodyText"/>
    <w:rsid w:val="001A40EA"/>
    <w:rPr>
      <w:rFonts w:ascii="Times New Roman" w:eastAsia="Times New Roman" w:hAnsi="Times New Roman" w:cs="Times New Roman"/>
      <w:lang w:eastAsia="ar-SA"/>
    </w:rPr>
  </w:style>
  <w:style w:type="paragraph" w:customStyle="1" w:styleId="Contenutocornice">
    <w:name w:val="Contenuto cornice"/>
    <w:basedOn w:val="BodyText"/>
    <w:rsid w:val="001A40EA"/>
  </w:style>
  <w:style w:type="paragraph" w:customStyle="1" w:styleId="Contenutoelenco">
    <w:name w:val="Contenuto elenco"/>
    <w:basedOn w:val="Normal"/>
    <w:rsid w:val="001A40EA"/>
    <w:pPr>
      <w:ind w:left="567"/>
    </w:pPr>
  </w:style>
  <w:style w:type="paragraph" w:customStyle="1" w:styleId="Corpointermedio">
    <w:name w:val="Corpo intermedio"/>
    <w:qFormat/>
    <w:rsid w:val="001A40EA"/>
    <w:pPr>
      <w:spacing w:line="228" w:lineRule="exact"/>
      <w:ind w:left="284" w:firstLine="284"/>
      <w:jc w:val="both"/>
    </w:pPr>
    <w:rPr>
      <w:rFonts w:ascii="Simoncini Garamond" w:hAnsi="Simoncini Garamond" w:cs="Times New Roman"/>
      <w:sz w:val="20"/>
      <w:lang w:val="en-GB" w:eastAsia="ar-SA"/>
    </w:rPr>
  </w:style>
  <w:style w:type="character" w:customStyle="1" w:styleId="datecolor">
    <w:name w:val="datecolor"/>
    <w:basedOn w:val="Caratterepredefinitoparagrafo1"/>
    <w:rsid w:val="001A40EA"/>
  </w:style>
  <w:style w:type="paragraph" w:customStyle="1" w:styleId="Dicituracapitolo">
    <w:name w:val="Dicitura capitolo"/>
    <w:qFormat/>
    <w:rsid w:val="001A40EA"/>
    <w:pPr>
      <w:spacing w:before="1240" w:after="140" w:line="320" w:lineRule="exact"/>
      <w:jc w:val="center"/>
    </w:pPr>
    <w:rPr>
      <w:rFonts w:ascii="ZapfHumnst BT" w:hAnsi="ZapfHumnst BT" w:cs="Times New Roman"/>
      <w:sz w:val="26"/>
      <w:lang w:eastAsia="ar-SA"/>
    </w:rPr>
  </w:style>
  <w:style w:type="paragraph" w:customStyle="1" w:styleId="Diciturasezione">
    <w:name w:val="Dicitura sezione"/>
    <w:qFormat/>
    <w:rsid w:val="001A40EA"/>
    <w:pPr>
      <w:spacing w:line="320" w:lineRule="exact"/>
      <w:ind w:left="284" w:hanging="284"/>
      <w:jc w:val="both"/>
    </w:pPr>
    <w:rPr>
      <w:rFonts w:ascii="ZapfHumnst BT" w:hAnsi="ZapfHumnst BT" w:cs="Times New Roman"/>
      <w:sz w:val="26"/>
      <w:lang w:eastAsia="ar-SA"/>
    </w:rPr>
  </w:style>
  <w:style w:type="paragraph" w:customStyle="1" w:styleId="Didascalia1">
    <w:name w:val="Didascalia1"/>
    <w:basedOn w:val="Normal"/>
    <w:rsid w:val="001A40EA"/>
    <w:pPr>
      <w:suppressLineNumbers/>
      <w:spacing w:before="120" w:after="120"/>
    </w:pPr>
    <w:rPr>
      <w:rFonts w:cs="Tahoma"/>
      <w:i/>
      <w:iCs/>
    </w:rPr>
  </w:style>
  <w:style w:type="character" w:customStyle="1" w:styleId="documentbody">
    <w:name w:val="documentbody"/>
    <w:basedOn w:val="Caratterepredefinitoparagrafo1"/>
    <w:rsid w:val="001A40EA"/>
  </w:style>
  <w:style w:type="paragraph" w:styleId="List">
    <w:name w:val="List"/>
    <w:basedOn w:val="BodyText"/>
    <w:rsid w:val="001A40EA"/>
    <w:rPr>
      <w:rFonts w:cs="Tahoma"/>
    </w:rPr>
  </w:style>
  <w:style w:type="character" w:styleId="Emphasis">
    <w:name w:val="Emphasis"/>
    <w:basedOn w:val="Caratterepredefinitoparagrafo1"/>
    <w:qFormat/>
    <w:rsid w:val="001A40EA"/>
    <w:rPr>
      <w:i/>
      <w:iCs/>
    </w:rPr>
  </w:style>
  <w:style w:type="character" w:styleId="Strong">
    <w:name w:val="Strong"/>
    <w:basedOn w:val="Caratterepredefinitoparagrafo1"/>
    <w:qFormat/>
    <w:rsid w:val="001A40EA"/>
    <w:rPr>
      <w:b/>
      <w:bCs/>
    </w:rPr>
  </w:style>
  <w:style w:type="table" w:styleId="TableGrid">
    <w:name w:val="Table Grid"/>
    <w:basedOn w:val="TableNormal"/>
    <w:uiPriority w:val="59"/>
    <w:rsid w:val="001A40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text">
    <w:name w:val="headertext"/>
    <w:basedOn w:val="Caratterepredefinitoparagrafo1"/>
    <w:rsid w:val="001A40EA"/>
  </w:style>
  <w:style w:type="paragraph" w:customStyle="1" w:styleId="Indice">
    <w:name w:val="Indice"/>
    <w:basedOn w:val="Normal"/>
    <w:rsid w:val="001A40EA"/>
    <w:pPr>
      <w:suppressLineNumbers/>
    </w:pPr>
    <w:rPr>
      <w:rFonts w:cs="Tahoma"/>
    </w:rPr>
  </w:style>
  <w:style w:type="paragraph" w:customStyle="1" w:styleId="Intermedio">
    <w:name w:val="Intermedio"/>
    <w:qFormat/>
    <w:rsid w:val="001A40EA"/>
    <w:pPr>
      <w:spacing w:before="252" w:after="252" w:line="230" w:lineRule="exact"/>
      <w:ind w:left="284" w:firstLine="284"/>
      <w:contextualSpacing/>
      <w:jc w:val="both"/>
    </w:pPr>
    <w:rPr>
      <w:rFonts w:ascii="Simoncini Garamond Std" w:hAnsi="Simoncini Garamond Std" w:cs="Times New Roman"/>
      <w:sz w:val="20"/>
      <w:lang w:eastAsia="ar-SA"/>
    </w:rPr>
  </w:style>
  <w:style w:type="paragraph" w:styleId="Header">
    <w:name w:val="header"/>
    <w:basedOn w:val="Normal"/>
    <w:link w:val="HeaderChar"/>
    <w:uiPriority w:val="99"/>
    <w:rsid w:val="001A40EA"/>
    <w:pPr>
      <w:tabs>
        <w:tab w:val="center" w:pos="4819"/>
        <w:tab w:val="right" w:pos="9638"/>
      </w:tabs>
    </w:pPr>
  </w:style>
  <w:style w:type="character" w:customStyle="1" w:styleId="HeaderChar">
    <w:name w:val="Header Char"/>
    <w:basedOn w:val="DefaultParagraphFont"/>
    <w:link w:val="Header"/>
    <w:uiPriority w:val="99"/>
    <w:rsid w:val="001A40EA"/>
    <w:rPr>
      <w:rFonts w:ascii="Times New Roman" w:eastAsia="Times New Roman" w:hAnsi="Times New Roman" w:cs="Times New Roman"/>
      <w:lang w:eastAsia="ar-SA"/>
    </w:rPr>
  </w:style>
  <w:style w:type="paragraph" w:customStyle="1" w:styleId="Intestazioneepidipagina">
    <w:name w:val="Intestazione e piè di pagina"/>
    <w:rsid w:val="001A40EA"/>
    <w:pPr>
      <w:pBdr>
        <w:top w:val="nil"/>
        <w:left w:val="nil"/>
        <w:bottom w:val="nil"/>
        <w:right w:val="nil"/>
        <w:between w:val="nil"/>
        <w:bar w:val="nil"/>
      </w:pBdr>
      <w:tabs>
        <w:tab w:val="right" w:pos="9020"/>
      </w:tabs>
    </w:pPr>
    <w:rPr>
      <w:rFonts w:ascii="Helvetica" w:eastAsia="Arial Unicode MS" w:hAnsi="Arial Unicode MS" w:cs="Arial Unicode MS"/>
      <w:color w:val="000000"/>
      <w:bdr w:val="nil"/>
      <w:lang w:eastAsia="it-IT"/>
    </w:rPr>
  </w:style>
  <w:style w:type="paragraph" w:customStyle="1" w:styleId="Intestazioneelenco">
    <w:name w:val="Intestazione elenco"/>
    <w:basedOn w:val="Normal"/>
    <w:next w:val="Contenutoelenco"/>
    <w:rsid w:val="001A40EA"/>
  </w:style>
  <w:style w:type="paragraph" w:customStyle="1" w:styleId="Intestazione1">
    <w:name w:val="Intestazione1"/>
    <w:basedOn w:val="Normal"/>
    <w:next w:val="BodyText"/>
    <w:rsid w:val="001A40EA"/>
    <w:pPr>
      <w:keepNext/>
      <w:spacing w:before="240" w:after="120"/>
    </w:pPr>
    <w:rPr>
      <w:rFonts w:ascii="Arial" w:eastAsia="Lucida Sans Unicode" w:hAnsi="Arial" w:cs="Tahoma"/>
      <w:sz w:val="28"/>
      <w:szCs w:val="28"/>
    </w:rPr>
  </w:style>
  <w:style w:type="character" w:customStyle="1" w:styleId="ks-bilio-note">
    <w:name w:val="ks-bilio-note"/>
    <w:basedOn w:val="Caratterepredefinitoparagrafo1"/>
    <w:rsid w:val="001A40EA"/>
  </w:style>
  <w:style w:type="character" w:customStyle="1" w:styleId="legamended">
    <w:name w:val="legamended"/>
    <w:basedOn w:val="Caratterepredefinitoparagrafo1"/>
    <w:rsid w:val="001A40EA"/>
  </w:style>
  <w:style w:type="character" w:customStyle="1" w:styleId="legdslegrhslegp3text">
    <w:name w:val="legds legrhs legp3text"/>
    <w:basedOn w:val="Caratterepredefinitoparagrafo1"/>
    <w:rsid w:val="001A40EA"/>
  </w:style>
  <w:style w:type="numbering" w:customStyle="1" w:styleId="Stileimportato1">
    <w:name w:val="Stile importato 1"/>
    <w:rsid w:val="001A40EA"/>
  </w:style>
  <w:style w:type="numbering" w:customStyle="1" w:styleId="List0">
    <w:name w:val="List 0"/>
    <w:basedOn w:val="Stileimportato1"/>
    <w:rsid w:val="001A40EA"/>
    <w:pPr>
      <w:numPr>
        <w:numId w:val="1"/>
      </w:numPr>
    </w:pPr>
  </w:style>
  <w:style w:type="paragraph" w:styleId="NoSpacing">
    <w:name w:val="No Spacing"/>
    <w:uiPriority w:val="1"/>
    <w:qFormat/>
    <w:rsid w:val="001A40EA"/>
    <w:rPr>
      <w:sz w:val="22"/>
      <w:szCs w:val="22"/>
    </w:rPr>
  </w:style>
  <w:style w:type="character" w:styleId="PageNumber">
    <w:name w:val="page number"/>
    <w:basedOn w:val="Caratterepredefinitoparagrafo1"/>
    <w:uiPriority w:val="99"/>
    <w:rsid w:val="001A40EA"/>
  </w:style>
  <w:style w:type="paragraph" w:customStyle="1" w:styleId="Pa2">
    <w:name w:val="Pa2"/>
    <w:basedOn w:val="Default"/>
    <w:next w:val="Default"/>
    <w:rsid w:val="001A40EA"/>
    <w:pPr>
      <w:spacing w:line="361" w:lineRule="atLeast"/>
    </w:pPr>
    <w:rPr>
      <w:rFonts w:ascii="Gill Sans MT" w:hAnsi="Gill Sans MT" w:cs="Times New Roman"/>
    </w:rPr>
  </w:style>
  <w:style w:type="paragraph" w:customStyle="1" w:styleId="Paragrafo">
    <w:name w:val="Paragrafo"/>
    <w:qFormat/>
    <w:rsid w:val="001A40EA"/>
    <w:pPr>
      <w:tabs>
        <w:tab w:val="left" w:pos="284"/>
      </w:tabs>
      <w:spacing w:before="600" w:after="360" w:line="280" w:lineRule="exact"/>
      <w:ind w:left="284" w:hanging="284"/>
      <w:jc w:val="both"/>
    </w:pPr>
    <w:rPr>
      <w:rFonts w:ascii="ZapfHumnst BT" w:hAnsi="ZapfHumnst BT" w:cs="Times New Roman"/>
      <w:lang w:eastAsia="ar-SA"/>
    </w:rPr>
  </w:style>
  <w:style w:type="paragraph" w:styleId="ListParagraph">
    <w:name w:val="List Paragraph"/>
    <w:basedOn w:val="Normal"/>
    <w:uiPriority w:val="34"/>
    <w:qFormat/>
    <w:rsid w:val="001A40EA"/>
    <w:pPr>
      <w:ind w:left="720"/>
      <w:contextualSpacing/>
    </w:pPr>
  </w:style>
  <w:style w:type="paragraph" w:styleId="Footer">
    <w:name w:val="footer"/>
    <w:basedOn w:val="Normal"/>
    <w:link w:val="FooterChar"/>
    <w:uiPriority w:val="99"/>
    <w:rsid w:val="001A40EA"/>
    <w:pPr>
      <w:tabs>
        <w:tab w:val="center" w:pos="4819"/>
        <w:tab w:val="right" w:pos="9638"/>
      </w:tabs>
    </w:pPr>
  </w:style>
  <w:style w:type="character" w:customStyle="1" w:styleId="FooterChar">
    <w:name w:val="Footer Char"/>
    <w:basedOn w:val="DefaultParagraphFont"/>
    <w:link w:val="Footer"/>
    <w:uiPriority w:val="99"/>
    <w:rsid w:val="001A40EA"/>
    <w:rPr>
      <w:rFonts w:ascii="Times New Roman" w:eastAsia="Times New Roman" w:hAnsi="Times New Roman" w:cs="Times New Roman"/>
      <w:lang w:eastAsia="ar-SA"/>
    </w:rPr>
  </w:style>
  <w:style w:type="paragraph" w:styleId="HTMLPreformatted">
    <w:name w:val="HTML Preformatted"/>
    <w:basedOn w:val="Normal"/>
    <w:link w:val="HTMLPreformattedChar"/>
    <w:rsid w:val="001A4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A40EA"/>
    <w:rPr>
      <w:rFonts w:ascii="Courier New" w:eastAsia="Times New Roman" w:hAnsi="Courier New" w:cs="Courier New"/>
      <w:sz w:val="20"/>
      <w:szCs w:val="20"/>
      <w:lang w:eastAsia="ar-SA"/>
    </w:rPr>
  </w:style>
  <w:style w:type="character" w:customStyle="1" w:styleId="ptext-1">
    <w:name w:val="ptext-1"/>
    <w:basedOn w:val="Caratterepredefinitoparagrafo1"/>
    <w:rsid w:val="001A40EA"/>
  </w:style>
  <w:style w:type="character" w:customStyle="1" w:styleId="Punti">
    <w:name w:val="Punti"/>
    <w:rsid w:val="001A40EA"/>
    <w:rPr>
      <w:rFonts w:ascii="OpenSymbol" w:eastAsia="OpenSymbol" w:hAnsi="OpenSymbol" w:cs="OpenSymbol"/>
    </w:rPr>
  </w:style>
  <w:style w:type="paragraph" w:styleId="ListBullet">
    <w:name w:val="List Bullet"/>
    <w:basedOn w:val="Normal"/>
    <w:uiPriority w:val="99"/>
    <w:unhideWhenUsed/>
    <w:rsid w:val="001A40EA"/>
    <w:pPr>
      <w:numPr>
        <w:numId w:val="10"/>
      </w:numPr>
      <w:contextualSpacing/>
    </w:pPr>
  </w:style>
  <w:style w:type="character" w:styleId="CommentReference">
    <w:name w:val="annotation reference"/>
    <w:basedOn w:val="DefaultParagraphFont"/>
    <w:uiPriority w:val="99"/>
    <w:semiHidden/>
    <w:unhideWhenUsed/>
    <w:rsid w:val="001A40EA"/>
    <w:rPr>
      <w:sz w:val="18"/>
      <w:szCs w:val="18"/>
    </w:rPr>
  </w:style>
  <w:style w:type="character" w:styleId="FootnoteReference">
    <w:name w:val="footnote reference"/>
    <w:uiPriority w:val="99"/>
    <w:rsid w:val="001A40EA"/>
    <w:rPr>
      <w:vertAlign w:val="superscript"/>
    </w:rPr>
  </w:style>
  <w:style w:type="character" w:styleId="EndnoteReference">
    <w:name w:val="endnote reference"/>
    <w:rsid w:val="001A40EA"/>
    <w:rPr>
      <w:vertAlign w:val="superscript"/>
    </w:rPr>
  </w:style>
  <w:style w:type="paragraph" w:customStyle="1" w:styleId="sdfootnote">
    <w:name w:val="sdfootnote"/>
    <w:basedOn w:val="Normal"/>
    <w:rsid w:val="001A40EA"/>
    <w:pPr>
      <w:suppressAutoHyphens w:val="0"/>
      <w:spacing w:before="100" w:beforeAutospacing="1" w:after="100" w:afterAutospacing="1"/>
    </w:pPr>
    <w:rPr>
      <w:rFonts w:ascii="Times" w:eastAsiaTheme="minorEastAsia" w:hAnsi="Times" w:cstheme="minorBidi"/>
      <w:sz w:val="20"/>
      <w:szCs w:val="20"/>
      <w:lang w:eastAsia="it-IT"/>
    </w:rPr>
  </w:style>
  <w:style w:type="character" w:customStyle="1" w:styleId="searchword">
    <w:name w:val="searchword"/>
    <w:basedOn w:val="DefaultParagraphFont"/>
    <w:rsid w:val="001A40EA"/>
  </w:style>
  <w:style w:type="paragraph" w:styleId="CommentText">
    <w:name w:val="annotation text"/>
    <w:basedOn w:val="Normal"/>
    <w:link w:val="CommentTextChar"/>
    <w:uiPriority w:val="99"/>
    <w:unhideWhenUsed/>
    <w:rsid w:val="001A40EA"/>
    <w:pPr>
      <w:pBdr>
        <w:top w:val="nil"/>
        <w:left w:val="nil"/>
        <w:bottom w:val="nil"/>
        <w:right w:val="nil"/>
        <w:between w:val="nil"/>
        <w:bar w:val="nil"/>
      </w:pBdr>
      <w:suppressAutoHyphens w:val="0"/>
      <w:ind w:firstLine="284"/>
      <w:jc w:val="both"/>
    </w:pPr>
    <w:rPr>
      <w:rFonts w:eastAsia="Arial Unicode MS" w:hAnsi="Arial Unicode MS" w:cs="Arial Unicode MS"/>
      <w:color w:val="000000"/>
      <w:u w:color="000000"/>
      <w:bdr w:val="nil"/>
      <w:lang w:eastAsia="en-US"/>
    </w:rPr>
  </w:style>
  <w:style w:type="character" w:customStyle="1" w:styleId="CommentTextChar">
    <w:name w:val="Comment Text Char"/>
    <w:basedOn w:val="DefaultParagraphFont"/>
    <w:link w:val="CommentText"/>
    <w:uiPriority w:val="99"/>
    <w:rsid w:val="001A40EA"/>
    <w:rPr>
      <w:rFonts w:ascii="Times New Roman" w:eastAsia="Arial Unicode MS" w:hAnsi="Arial Unicode MS" w:cs="Arial Unicode MS"/>
      <w:color w:val="000000"/>
      <w:u w:color="000000"/>
      <w:bdr w:val="nil"/>
    </w:rPr>
  </w:style>
  <w:style w:type="paragraph" w:styleId="CommentSubject">
    <w:name w:val="annotation subject"/>
    <w:basedOn w:val="CommentText"/>
    <w:next w:val="CommentText"/>
    <w:link w:val="CommentSubjectChar"/>
    <w:uiPriority w:val="99"/>
    <w:semiHidden/>
    <w:unhideWhenUsed/>
    <w:rsid w:val="001A40EA"/>
    <w:rPr>
      <w:b/>
      <w:bCs/>
      <w:sz w:val="20"/>
      <w:szCs w:val="20"/>
    </w:rPr>
  </w:style>
  <w:style w:type="character" w:customStyle="1" w:styleId="CommentSubjectChar">
    <w:name w:val="Comment Subject Char"/>
    <w:basedOn w:val="CommentTextChar"/>
    <w:link w:val="CommentSubject"/>
    <w:uiPriority w:val="99"/>
    <w:semiHidden/>
    <w:rsid w:val="001A40EA"/>
    <w:rPr>
      <w:rFonts w:ascii="Times New Roman" w:eastAsia="Arial Unicode MS" w:hAnsi="Arial Unicode MS" w:cs="Arial Unicode MS"/>
      <w:b/>
      <w:bCs/>
      <w:color w:val="000000"/>
      <w:sz w:val="20"/>
      <w:szCs w:val="20"/>
      <w:u w:color="000000"/>
      <w:bdr w:val="nil"/>
    </w:rPr>
  </w:style>
  <w:style w:type="paragraph" w:customStyle="1" w:styleId="Sommario">
    <w:name w:val="Sommario"/>
    <w:qFormat/>
    <w:rsid w:val="001A40EA"/>
    <w:pPr>
      <w:spacing w:after="700" w:line="220" w:lineRule="exact"/>
      <w:ind w:left="284" w:hanging="284"/>
      <w:jc w:val="both"/>
    </w:pPr>
    <w:rPr>
      <w:rFonts w:ascii="Simoncini Garamond Std" w:hAnsi="Simoncini Garamond Std" w:cs="Times New Roman"/>
      <w:sz w:val="19"/>
      <w:szCs w:val="20"/>
      <w:lang w:eastAsia="ar-SA"/>
    </w:rPr>
  </w:style>
  <w:style w:type="paragraph" w:customStyle="1" w:styleId="Sottoparagrafo">
    <w:name w:val="Sottoparagrafo"/>
    <w:qFormat/>
    <w:rsid w:val="001A40EA"/>
    <w:pPr>
      <w:spacing w:before="496" w:after="248" w:line="260" w:lineRule="exact"/>
      <w:ind w:left="284" w:hanging="284"/>
      <w:jc w:val="both"/>
    </w:pPr>
    <w:rPr>
      <w:rFonts w:ascii="ZapfHumnst BT" w:hAnsi="ZapfHumnst BT" w:cs="Times New Roman"/>
      <w:sz w:val="23"/>
      <w:lang w:eastAsia="ar-SA"/>
    </w:rPr>
  </w:style>
  <w:style w:type="paragraph" w:customStyle="1" w:styleId="Sottosottoparagrafo">
    <w:name w:val="Sottosottoparagrafo"/>
    <w:qFormat/>
    <w:rsid w:val="001A40EA"/>
    <w:pPr>
      <w:widowControl w:val="0"/>
      <w:spacing w:before="380" w:after="120" w:line="260" w:lineRule="exact"/>
      <w:ind w:left="284" w:hanging="284"/>
      <w:jc w:val="both"/>
    </w:pPr>
    <w:rPr>
      <w:rFonts w:ascii="ZapfHumnst BT" w:hAnsi="ZapfHumnst BT" w:cs="Times New Roman"/>
      <w:sz w:val="22"/>
      <w:lang w:eastAsia="ar-SA"/>
    </w:rPr>
  </w:style>
  <w:style w:type="paragraph" w:customStyle="1" w:styleId="Stile1">
    <w:name w:val="Stile1"/>
    <w:basedOn w:val="Corpointermedio"/>
    <w:qFormat/>
    <w:rsid w:val="001A40EA"/>
  </w:style>
  <w:style w:type="table" w:customStyle="1" w:styleId="TableNormal1">
    <w:name w:val="Table Normal1"/>
    <w:rsid w:val="001A40EA"/>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1A40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40EA"/>
    <w:rPr>
      <w:rFonts w:ascii="Lucida Grande" w:eastAsia="Times New Roman" w:hAnsi="Lucida Grande" w:cs="Lucida Grande"/>
      <w:sz w:val="18"/>
      <w:szCs w:val="18"/>
      <w:lang w:eastAsia="ar-SA"/>
    </w:rPr>
  </w:style>
  <w:style w:type="paragraph" w:customStyle="1" w:styleId="Testonormale1">
    <w:name w:val="Testo normale1"/>
    <w:basedOn w:val="Normal"/>
    <w:next w:val="Normal"/>
    <w:rsid w:val="001A40EA"/>
    <w:pPr>
      <w:autoSpaceDE w:val="0"/>
    </w:pPr>
    <w:rPr>
      <w:rFonts w:ascii="EFFKIP+CourierNewPSMT" w:hAnsi="EFFKIP+CourierNewPSMT"/>
    </w:rPr>
  </w:style>
  <w:style w:type="paragraph" w:styleId="FootnoteText">
    <w:name w:val="footnote text"/>
    <w:link w:val="FootnoteTextChar"/>
    <w:uiPriority w:val="99"/>
    <w:rsid w:val="001A40EA"/>
    <w:pPr>
      <w:widowControl w:val="0"/>
      <w:spacing w:before="60" w:line="202" w:lineRule="exact"/>
      <w:ind w:firstLine="284"/>
      <w:jc w:val="both"/>
    </w:pPr>
    <w:rPr>
      <w:rFonts w:ascii="Simoncini Garamond Std" w:hAnsi="Simoncini Garamond Std" w:cs="Times New Roman"/>
      <w:sz w:val="18"/>
      <w:lang w:eastAsia="ar-SA"/>
    </w:rPr>
  </w:style>
  <w:style w:type="character" w:customStyle="1" w:styleId="FootnoteTextChar">
    <w:name w:val="Footnote Text Char"/>
    <w:basedOn w:val="DefaultParagraphFont"/>
    <w:link w:val="FootnoteText"/>
    <w:uiPriority w:val="99"/>
    <w:rsid w:val="001A40EA"/>
    <w:rPr>
      <w:rFonts w:ascii="Simoncini Garamond Std" w:eastAsia="Times New Roman" w:hAnsi="Simoncini Garamond Std" w:cs="Times New Roman"/>
      <w:sz w:val="18"/>
      <w:lang w:eastAsia="ar-SA"/>
    </w:rPr>
  </w:style>
  <w:style w:type="character" w:customStyle="1" w:styleId="Testonotaapidipagina1">
    <w:name w:val="Testo nota a piè di pagina1"/>
    <w:basedOn w:val="Caratterepredefinitoparagrafo1"/>
    <w:rsid w:val="001A40EA"/>
    <w:rPr>
      <w:sz w:val="24"/>
      <w:szCs w:val="24"/>
      <w:lang w:val="it-IT" w:eastAsia="ar-SA" w:bidi="ar-SA"/>
    </w:rPr>
  </w:style>
  <w:style w:type="character" w:customStyle="1" w:styleId="Testonotaapidipagina3">
    <w:name w:val="Testo nota a piè di pagina3"/>
    <w:basedOn w:val="Caratterepredefinitoparagrafo1"/>
    <w:rsid w:val="001A40EA"/>
    <w:rPr>
      <w:sz w:val="24"/>
      <w:szCs w:val="24"/>
      <w:lang w:val="it-IT" w:eastAsia="ar-SA" w:bidi="ar-SA"/>
    </w:rPr>
  </w:style>
  <w:style w:type="paragraph" w:customStyle="1" w:styleId="Testopreformattato">
    <w:name w:val="Testo preformattato"/>
    <w:basedOn w:val="Normal"/>
    <w:rsid w:val="001A40EA"/>
    <w:rPr>
      <w:rFonts w:ascii="Courier New" w:eastAsia="Courier New" w:hAnsi="Courier New" w:cs="Courier New"/>
      <w:sz w:val="20"/>
      <w:szCs w:val="20"/>
    </w:rPr>
  </w:style>
  <w:style w:type="paragraph" w:customStyle="1" w:styleId="text-level1">
    <w:name w:val="text-level1"/>
    <w:basedOn w:val="Normal"/>
    <w:rsid w:val="001A40EA"/>
    <w:pPr>
      <w:spacing w:before="280" w:after="280"/>
    </w:pPr>
  </w:style>
  <w:style w:type="paragraph" w:customStyle="1" w:styleId="text-level2">
    <w:name w:val="text-level2"/>
    <w:basedOn w:val="Normal"/>
    <w:rsid w:val="001A40EA"/>
    <w:pPr>
      <w:spacing w:before="280" w:after="280"/>
    </w:pPr>
  </w:style>
  <w:style w:type="character" w:customStyle="1" w:styleId="Heading1Char">
    <w:name w:val="Heading 1 Char"/>
    <w:basedOn w:val="DefaultParagraphFont"/>
    <w:link w:val="Heading1"/>
    <w:rsid w:val="001A40EA"/>
    <w:rPr>
      <w:rFonts w:ascii="Times New Roman" w:eastAsia="Arial Unicode MS" w:hAnsi="Times New Roman" w:cs="Tahoma"/>
      <w:b/>
      <w:bCs/>
      <w:sz w:val="48"/>
      <w:szCs w:val="48"/>
      <w:lang w:eastAsia="ar-SA"/>
    </w:rPr>
  </w:style>
  <w:style w:type="character" w:customStyle="1" w:styleId="Heading2Char">
    <w:name w:val="Heading 2 Char"/>
    <w:basedOn w:val="DefaultParagraphFont"/>
    <w:link w:val="Heading2"/>
    <w:rsid w:val="001A40EA"/>
    <w:rPr>
      <w:rFonts w:ascii="Times New Roman" w:eastAsia="Times New Roman" w:hAnsi="Times New Roman" w:cs="Times New Roman"/>
      <w:sz w:val="28"/>
      <w:szCs w:val="22"/>
      <w:lang w:val="en-US" w:eastAsia="ar-SA"/>
    </w:rPr>
  </w:style>
  <w:style w:type="character" w:customStyle="1" w:styleId="Heading3Char">
    <w:name w:val="Heading 3 Char"/>
    <w:basedOn w:val="DefaultParagraphFont"/>
    <w:link w:val="Heading3"/>
    <w:rsid w:val="001A40EA"/>
    <w:rPr>
      <w:rFonts w:ascii="Arial" w:eastAsia="Times New Roman" w:hAnsi="Arial" w:cs="Arial"/>
      <w:b/>
      <w:bCs/>
      <w:sz w:val="26"/>
      <w:szCs w:val="26"/>
      <w:lang w:eastAsia="ar-SA"/>
    </w:rPr>
  </w:style>
  <w:style w:type="character" w:customStyle="1" w:styleId="Heading4Char">
    <w:name w:val="Heading 4 Char"/>
    <w:basedOn w:val="DefaultParagraphFont"/>
    <w:link w:val="Heading4"/>
    <w:rsid w:val="001A40EA"/>
    <w:rPr>
      <w:rFonts w:ascii="Times New Roman" w:eastAsia="Arial Unicode MS" w:hAnsi="Times New Roman" w:cs="Tahoma"/>
      <w:b/>
      <w:bCs/>
      <w:lang w:eastAsia="ar-SA"/>
    </w:rPr>
  </w:style>
  <w:style w:type="character" w:customStyle="1" w:styleId="Heading7Char">
    <w:name w:val="Heading 7 Char"/>
    <w:basedOn w:val="DefaultParagraphFont"/>
    <w:link w:val="Heading7"/>
    <w:rsid w:val="001A40EA"/>
    <w:rPr>
      <w:rFonts w:ascii="Times New Roman" w:eastAsia="Times New Roman" w:hAnsi="Times New Roman" w:cs="Times New Roman"/>
      <w:lang w:eastAsia="ar-SA"/>
    </w:rPr>
  </w:style>
  <w:style w:type="character" w:customStyle="1" w:styleId="Heading8Char">
    <w:name w:val="Heading 8 Char"/>
    <w:basedOn w:val="DefaultParagraphFont"/>
    <w:link w:val="Heading8"/>
    <w:uiPriority w:val="9"/>
    <w:rsid w:val="001A40EA"/>
    <w:rPr>
      <w:rFonts w:asciiTheme="majorHAnsi" w:eastAsiaTheme="majorEastAsia" w:hAnsiTheme="majorHAnsi" w:cstheme="majorBidi"/>
      <w:color w:val="272727" w:themeColor="text1" w:themeTint="D8"/>
      <w:sz w:val="21"/>
      <w:szCs w:val="21"/>
      <w:lang w:eastAsia="ar-SA"/>
    </w:rPr>
  </w:style>
  <w:style w:type="paragraph" w:customStyle="1" w:styleId="Titolodelcapitolo">
    <w:name w:val="Titolo del capitolo"/>
    <w:qFormat/>
    <w:rsid w:val="001A40EA"/>
    <w:pPr>
      <w:spacing w:after="520" w:line="360" w:lineRule="exact"/>
      <w:jc w:val="center"/>
    </w:pPr>
    <w:rPr>
      <w:rFonts w:ascii="ZapfHumnst BT" w:eastAsia="Arial Unicode MS" w:hAnsi="ZapfHumnst BT" w:cs="Tahoma"/>
      <w:sz w:val="32"/>
      <w:lang w:eastAsia="ar-SA"/>
    </w:rPr>
  </w:style>
  <w:style w:type="paragraph" w:customStyle="1" w:styleId="Titolodellasezione">
    <w:name w:val="Titolo della sezione"/>
    <w:qFormat/>
    <w:rsid w:val="001A40EA"/>
    <w:pPr>
      <w:spacing w:line="320" w:lineRule="exact"/>
      <w:jc w:val="both"/>
    </w:pPr>
    <w:rPr>
      <w:rFonts w:ascii="ZapfHumnst BT" w:hAnsi="ZapfHumnst BT" w:cs="Times New Roman"/>
      <w:i/>
      <w:sz w:val="26"/>
      <w:lang w:eastAsia="ar-SA"/>
    </w:rPr>
  </w:style>
  <w:style w:type="character" w:customStyle="1" w:styleId="txt">
    <w:name w:val="txt"/>
    <w:basedOn w:val="Caratterepredefinitoparagrafo1"/>
    <w:rsid w:val="001A40EA"/>
  </w:style>
  <w:style w:type="character" w:customStyle="1" w:styleId="updatebodytest">
    <w:name w:val="updatebodytest"/>
    <w:basedOn w:val="Caratterepredefinitoparagrafo1"/>
    <w:rsid w:val="001A40EA"/>
  </w:style>
  <w:style w:type="character" w:customStyle="1" w:styleId="WW-Absatz-Standardschriftart">
    <w:name w:val="WW-Absatz-Standardschriftart"/>
    <w:rsid w:val="001A40EA"/>
  </w:style>
  <w:style w:type="character" w:customStyle="1" w:styleId="WW-Absatz-Standardschriftart1">
    <w:name w:val="WW-Absatz-Standardschriftart1"/>
    <w:rsid w:val="001A40EA"/>
  </w:style>
  <w:style w:type="character" w:customStyle="1" w:styleId="WW-Absatz-Standardschriftart11">
    <w:name w:val="WW-Absatz-Standardschriftart11"/>
    <w:rsid w:val="001A40EA"/>
  </w:style>
  <w:style w:type="character" w:customStyle="1" w:styleId="WW-Absatz-Standardschriftart111">
    <w:name w:val="WW-Absatz-Standardschriftart111"/>
    <w:rsid w:val="001A40EA"/>
  </w:style>
  <w:style w:type="character" w:customStyle="1" w:styleId="WW-Absatz-Standardschriftart1111">
    <w:name w:val="WW-Absatz-Standardschriftart1111"/>
    <w:rsid w:val="001A40EA"/>
  </w:style>
  <w:style w:type="character" w:customStyle="1" w:styleId="WW-Absatz-Standardschriftart11111">
    <w:name w:val="WW-Absatz-Standardschriftart11111"/>
    <w:rsid w:val="001A40EA"/>
  </w:style>
  <w:style w:type="character" w:customStyle="1" w:styleId="WW-Absatz-Standardschriftart111111">
    <w:name w:val="WW-Absatz-Standardschriftart111111"/>
    <w:rsid w:val="001A40EA"/>
  </w:style>
  <w:style w:type="character" w:customStyle="1" w:styleId="WW-Absatz-Standardschriftart1111111">
    <w:name w:val="WW-Absatz-Standardschriftart1111111"/>
    <w:rsid w:val="001A40EA"/>
  </w:style>
  <w:style w:type="character" w:customStyle="1" w:styleId="WW-Absatz-Standardschriftart11111111">
    <w:name w:val="WW-Absatz-Standardschriftart11111111"/>
    <w:rsid w:val="001A40EA"/>
  </w:style>
  <w:style w:type="character" w:customStyle="1" w:styleId="WW-Absatz-Standardschriftart111111111">
    <w:name w:val="WW-Absatz-Standardschriftart111111111"/>
    <w:rsid w:val="001A40EA"/>
  </w:style>
  <w:style w:type="character" w:customStyle="1" w:styleId="WW-Absatz-Standardschriftart1111111111">
    <w:name w:val="WW-Absatz-Standardschriftart1111111111"/>
    <w:rsid w:val="001A40EA"/>
  </w:style>
  <w:style w:type="character" w:customStyle="1" w:styleId="WW-Absatz-Standardschriftart11111111111">
    <w:name w:val="WW-Absatz-Standardschriftart11111111111"/>
    <w:rsid w:val="001A40EA"/>
  </w:style>
  <w:style w:type="character" w:customStyle="1" w:styleId="WW-Absatz-Standardschriftart111111111111">
    <w:name w:val="WW-Absatz-Standardschriftart111111111111"/>
    <w:rsid w:val="001A40EA"/>
  </w:style>
  <w:style w:type="character" w:customStyle="1" w:styleId="WW-Absatz-Standardschriftart1111111111111">
    <w:name w:val="WW-Absatz-Standardschriftart1111111111111"/>
    <w:rsid w:val="001A40EA"/>
  </w:style>
  <w:style w:type="character" w:customStyle="1" w:styleId="WW-Absatz-Standardschriftart11111111111111">
    <w:name w:val="WW-Absatz-Standardschriftart11111111111111"/>
    <w:rsid w:val="001A40EA"/>
  </w:style>
  <w:style w:type="character" w:customStyle="1" w:styleId="WW-Absatz-Standardschriftart111111111111111">
    <w:name w:val="WW-Absatz-Standardschriftart111111111111111"/>
    <w:rsid w:val="001A40EA"/>
  </w:style>
  <w:style w:type="character" w:customStyle="1" w:styleId="WW-Absatz-Standardschriftart1111111111111111">
    <w:name w:val="WW-Absatz-Standardschriftart1111111111111111"/>
    <w:rsid w:val="001A40EA"/>
  </w:style>
  <w:style w:type="character" w:customStyle="1" w:styleId="WW-Absatz-Standardschriftart11111111111111111">
    <w:name w:val="WW-Absatz-Standardschriftart11111111111111111"/>
    <w:rsid w:val="001A40EA"/>
  </w:style>
  <w:style w:type="character" w:customStyle="1" w:styleId="WW-Absatz-Standardschriftart111111111111111111">
    <w:name w:val="WW-Absatz-Standardschriftart111111111111111111"/>
    <w:rsid w:val="001A40EA"/>
  </w:style>
  <w:style w:type="character" w:customStyle="1" w:styleId="WW-Absatz-Standardschriftart1111111111111111111">
    <w:name w:val="WW-Absatz-Standardschriftart1111111111111111111"/>
    <w:rsid w:val="001A40EA"/>
  </w:style>
  <w:style w:type="character" w:customStyle="1" w:styleId="WW-Absatz-Standardschriftart11111111111111111111">
    <w:name w:val="WW-Absatz-Standardschriftart11111111111111111111"/>
    <w:rsid w:val="001A40EA"/>
  </w:style>
  <w:style w:type="character" w:customStyle="1" w:styleId="WW-Absatz-Standardschriftart111111111111111111111">
    <w:name w:val="WW-Absatz-Standardschriftart111111111111111111111"/>
    <w:rsid w:val="001A40EA"/>
  </w:style>
  <w:style w:type="character" w:customStyle="1" w:styleId="WW-Absatz-Standardschriftart1111111111111111111111">
    <w:name w:val="WW-Absatz-Standardschriftart1111111111111111111111"/>
    <w:rsid w:val="001A40EA"/>
  </w:style>
  <w:style w:type="character" w:customStyle="1" w:styleId="WW-Absatz-Standardschriftart11111111111111111111111">
    <w:name w:val="WW-Absatz-Standardschriftart11111111111111111111111"/>
    <w:rsid w:val="001A40EA"/>
  </w:style>
  <w:style w:type="character" w:customStyle="1" w:styleId="WW-Absatz-Standardschriftart111111111111111111111111">
    <w:name w:val="WW-Absatz-Standardschriftart111111111111111111111111"/>
    <w:rsid w:val="001A40EA"/>
  </w:style>
  <w:style w:type="character" w:customStyle="1" w:styleId="WW-Absatz-Standardschriftart1111111111111111111111111">
    <w:name w:val="WW-Absatz-Standardschriftart1111111111111111111111111"/>
    <w:rsid w:val="001A40EA"/>
  </w:style>
  <w:style w:type="character" w:customStyle="1" w:styleId="WW-Absatz-Standardschriftart11111111111111111111111111">
    <w:name w:val="WW-Absatz-Standardschriftart11111111111111111111111111"/>
    <w:rsid w:val="001A40EA"/>
  </w:style>
  <w:style w:type="character" w:customStyle="1" w:styleId="WW-Absatz-Standardschriftart111111111111111111111111111">
    <w:name w:val="WW-Absatz-Standardschriftart111111111111111111111111111"/>
    <w:rsid w:val="001A40EA"/>
  </w:style>
  <w:style w:type="character" w:customStyle="1" w:styleId="WW-Absatz-Standardschriftart1111111111111111111111111111">
    <w:name w:val="WW-Absatz-Standardschriftart1111111111111111111111111111"/>
    <w:rsid w:val="001A40EA"/>
  </w:style>
  <w:style w:type="character" w:customStyle="1" w:styleId="WW-Absatz-Standardschriftart11111111111111111111111111111">
    <w:name w:val="WW-Absatz-Standardschriftart11111111111111111111111111111"/>
    <w:rsid w:val="001A40EA"/>
  </w:style>
  <w:style w:type="character" w:customStyle="1" w:styleId="WW-Absatz-Standardschriftart111111111111111111111111111111">
    <w:name w:val="WW-Absatz-Standardschriftart111111111111111111111111111111"/>
    <w:rsid w:val="001A40EA"/>
  </w:style>
  <w:style w:type="character" w:customStyle="1" w:styleId="WW-Absatz-Standardschriftart1111111111111111111111111111111">
    <w:name w:val="WW-Absatz-Standardschriftart1111111111111111111111111111111"/>
    <w:rsid w:val="001A40EA"/>
  </w:style>
  <w:style w:type="character" w:customStyle="1" w:styleId="WW-Absatz-Standardschriftart11111111111111111111111111111111">
    <w:name w:val="WW-Absatz-Standardschriftart11111111111111111111111111111111"/>
    <w:rsid w:val="001A40EA"/>
  </w:style>
  <w:style w:type="character" w:customStyle="1" w:styleId="WW-Absatz-Standardschriftart111111111111111111111111111111111">
    <w:name w:val="WW-Absatz-Standardschriftart111111111111111111111111111111111"/>
    <w:rsid w:val="001A40EA"/>
  </w:style>
  <w:style w:type="character" w:customStyle="1" w:styleId="WW-Absatz-Standardschriftart1111111111111111111111111111111111">
    <w:name w:val="WW-Absatz-Standardschriftart1111111111111111111111111111111111"/>
    <w:rsid w:val="001A40EA"/>
  </w:style>
  <w:style w:type="character" w:customStyle="1" w:styleId="WW-Absatz-Standardschriftart11111111111111111111111111111111111">
    <w:name w:val="WW-Absatz-Standardschriftart11111111111111111111111111111111111"/>
    <w:rsid w:val="001A40EA"/>
  </w:style>
  <w:style w:type="character" w:customStyle="1" w:styleId="WW-Absatz-Standardschriftart111111111111111111111111111111111111">
    <w:name w:val="WW-Absatz-Standardschriftart111111111111111111111111111111111111"/>
    <w:rsid w:val="001A40EA"/>
  </w:style>
  <w:style w:type="character" w:customStyle="1" w:styleId="WW-Absatz-Standardschriftart1111111111111111111111111111111111111">
    <w:name w:val="WW-Absatz-Standardschriftart1111111111111111111111111111111111111"/>
    <w:rsid w:val="001A40EA"/>
  </w:style>
  <w:style w:type="character" w:customStyle="1" w:styleId="WW-Absatz-Standardschriftart11111111111111111111111111111111111111">
    <w:name w:val="WW-Absatz-Standardschriftart11111111111111111111111111111111111111"/>
    <w:rsid w:val="001A40EA"/>
  </w:style>
  <w:style w:type="character" w:customStyle="1" w:styleId="WW-Absatz-Standardschriftart111111111111111111111111111111111111111">
    <w:name w:val="WW-Absatz-Standardschriftart111111111111111111111111111111111111111"/>
    <w:rsid w:val="001A40EA"/>
  </w:style>
  <w:style w:type="character" w:customStyle="1" w:styleId="WW-Absatz-Standardschriftart1111111111111111111111111111111111111111">
    <w:name w:val="WW-Absatz-Standardschriftart1111111111111111111111111111111111111111"/>
    <w:rsid w:val="001A40EA"/>
  </w:style>
  <w:style w:type="character" w:customStyle="1" w:styleId="WW-Absatz-Standardschriftart11111111111111111111111111111111111111111">
    <w:name w:val="WW-Absatz-Standardschriftart11111111111111111111111111111111111111111"/>
    <w:rsid w:val="001A40EA"/>
  </w:style>
  <w:style w:type="character" w:customStyle="1" w:styleId="WW-Absatz-Standardschriftart111111111111111111111111111111111111111111">
    <w:name w:val="WW-Absatz-Standardschriftart111111111111111111111111111111111111111111"/>
    <w:rsid w:val="001A40EA"/>
  </w:style>
  <w:style w:type="character" w:customStyle="1" w:styleId="WW-Absatz-Standardschriftart1111111111111111111111111111111111111111111">
    <w:name w:val="WW-Absatz-Standardschriftart1111111111111111111111111111111111111111111"/>
    <w:rsid w:val="001A40EA"/>
  </w:style>
  <w:style w:type="character" w:customStyle="1" w:styleId="WW-Absatz-Standardschriftart11111111111111111111111111111111111111111111">
    <w:name w:val="WW-Absatz-Standardschriftart11111111111111111111111111111111111111111111"/>
    <w:rsid w:val="001A40EA"/>
  </w:style>
  <w:style w:type="character" w:customStyle="1" w:styleId="WW-Absatz-Standardschriftart111111111111111111111111111111111111111111111">
    <w:name w:val="WW-Absatz-Standardschriftart111111111111111111111111111111111111111111111"/>
    <w:rsid w:val="001A40EA"/>
  </w:style>
  <w:style w:type="character" w:customStyle="1" w:styleId="WW-Absatz-Standardschriftart1111111111111111111111111111111111111111111111">
    <w:name w:val="WW-Absatz-Standardschriftart1111111111111111111111111111111111111111111111"/>
    <w:rsid w:val="001A40EA"/>
  </w:style>
  <w:style w:type="character" w:customStyle="1" w:styleId="WW-Absatz-Standardschriftart11111111111111111111111111111111111111111111111">
    <w:name w:val="WW-Absatz-Standardschriftart11111111111111111111111111111111111111111111111"/>
    <w:rsid w:val="001A40EA"/>
  </w:style>
  <w:style w:type="character" w:customStyle="1" w:styleId="WW-Absatz-Standardschriftart111111111111111111111111111111111111111111111111">
    <w:name w:val="WW-Absatz-Standardschriftart111111111111111111111111111111111111111111111111"/>
    <w:rsid w:val="001A40EA"/>
  </w:style>
  <w:style w:type="character" w:customStyle="1" w:styleId="WW-Absatz-Standardschriftart1111111111111111111111111111111111111111111111111">
    <w:name w:val="WW-Absatz-Standardschriftart1111111111111111111111111111111111111111111111111"/>
    <w:rsid w:val="001A40EA"/>
  </w:style>
  <w:style w:type="character" w:customStyle="1" w:styleId="WW-Absatz-Standardschriftart11111111111111111111111111111111111111111111111111">
    <w:name w:val="WW-Absatz-Standardschriftart11111111111111111111111111111111111111111111111111"/>
    <w:rsid w:val="001A40EA"/>
  </w:style>
  <w:style w:type="character" w:customStyle="1" w:styleId="WW-Absatz-Standardschriftart111111111111111111111111111111111111111111111111111">
    <w:name w:val="WW-Absatz-Standardschriftart111111111111111111111111111111111111111111111111111"/>
    <w:rsid w:val="001A40EA"/>
  </w:style>
  <w:style w:type="character" w:customStyle="1" w:styleId="WW-Absatz-Standardschriftart1111111111111111111111111111111111111111111111111111">
    <w:name w:val="WW-Absatz-Standardschriftart1111111111111111111111111111111111111111111111111111"/>
    <w:rsid w:val="001A40EA"/>
  </w:style>
  <w:style w:type="character" w:customStyle="1" w:styleId="WW-Absatz-Standardschriftart11111111111111111111111111111111111111111111111111111">
    <w:name w:val="WW-Absatz-Standardschriftart11111111111111111111111111111111111111111111111111111"/>
    <w:rsid w:val="001A40EA"/>
  </w:style>
  <w:style w:type="character" w:customStyle="1" w:styleId="WW-Absatz-Standardschriftart111111111111111111111111111111111111111111111111111111">
    <w:name w:val="WW-Absatz-Standardschriftart111111111111111111111111111111111111111111111111111111"/>
    <w:rsid w:val="001A40EA"/>
  </w:style>
  <w:style w:type="character" w:customStyle="1" w:styleId="WW-Absatz-Standardschriftart1111111111111111111111111111111111111111111111111111111">
    <w:name w:val="WW-Absatz-Standardschriftart1111111111111111111111111111111111111111111111111111111"/>
    <w:rsid w:val="001A40EA"/>
  </w:style>
  <w:style w:type="character" w:customStyle="1" w:styleId="WW-Absatz-Standardschriftart11111111111111111111111111111111111111111111111111111111">
    <w:name w:val="WW-Absatz-Standardschriftart11111111111111111111111111111111111111111111111111111111"/>
    <w:rsid w:val="001A40EA"/>
  </w:style>
  <w:style w:type="character" w:customStyle="1" w:styleId="WW-Absatz-Standardschriftart111111111111111111111111111111111111111111111111111111111">
    <w:name w:val="WW-Absatz-Standardschriftart111111111111111111111111111111111111111111111111111111111"/>
    <w:rsid w:val="001A40EA"/>
  </w:style>
  <w:style w:type="character" w:customStyle="1" w:styleId="WW-Absatz-Standardschriftart1111111111111111111111111111111111111111111111111111111111">
    <w:name w:val="WW-Absatz-Standardschriftart1111111111111111111111111111111111111111111111111111111111"/>
    <w:rsid w:val="001A40EA"/>
  </w:style>
  <w:style w:type="character" w:customStyle="1" w:styleId="WW-Absatz-Standardschriftart11111111111111111111111111111111111111111111111111111111111">
    <w:name w:val="WW-Absatz-Standardschriftart11111111111111111111111111111111111111111111111111111111111"/>
    <w:rsid w:val="001A40EA"/>
  </w:style>
  <w:style w:type="character" w:customStyle="1" w:styleId="WW-Absatz-Standardschriftart111111111111111111111111111111111111111111111111111111111111">
    <w:name w:val="WW-Absatz-Standardschriftart111111111111111111111111111111111111111111111111111111111111"/>
    <w:rsid w:val="001A40EA"/>
  </w:style>
  <w:style w:type="character" w:customStyle="1" w:styleId="WW-Absatz-Standardschriftart1111111111111111111111111111111111111111111111111111111111111">
    <w:name w:val="WW-Absatz-Standardschriftart1111111111111111111111111111111111111111111111111111111111111"/>
    <w:rsid w:val="001A40EA"/>
  </w:style>
  <w:style w:type="character" w:customStyle="1" w:styleId="WW-Absatz-Standardschriftart11111111111111111111111111111111111111111111111111111111111111">
    <w:name w:val="WW-Absatz-Standardschriftart11111111111111111111111111111111111111111111111111111111111111"/>
    <w:rsid w:val="001A40EA"/>
  </w:style>
  <w:style w:type="character" w:customStyle="1" w:styleId="WW-Absatz-Standardschriftart111111111111111111111111111111111111111111111111111111111111111">
    <w:name w:val="WW-Absatz-Standardschriftart111111111111111111111111111111111111111111111111111111111111111"/>
    <w:rsid w:val="001A40EA"/>
  </w:style>
  <w:style w:type="character" w:customStyle="1" w:styleId="WW-Absatz-Standardschriftart1111111111111111111111111111111111111111111111111111111111111111">
    <w:name w:val="WW-Absatz-Standardschriftart1111111111111111111111111111111111111111111111111111111111111111"/>
    <w:rsid w:val="001A40EA"/>
  </w:style>
  <w:style w:type="character" w:customStyle="1" w:styleId="WW-Absatz-Standardschriftart11111111111111111111111111111111111111111111111111111111111111111">
    <w:name w:val="WW-Absatz-Standardschriftart11111111111111111111111111111111111111111111111111111111111111111"/>
    <w:rsid w:val="001A40EA"/>
  </w:style>
  <w:style w:type="character" w:customStyle="1" w:styleId="WW-Absatz-Standardschriftart111111111111111111111111111111111111111111111111111111111111111111">
    <w:name w:val="WW-Absatz-Standardschriftart111111111111111111111111111111111111111111111111111111111111111111"/>
    <w:rsid w:val="001A40EA"/>
  </w:style>
  <w:style w:type="character" w:customStyle="1" w:styleId="WW-Absatz-Standardschriftart1111111111111111111111111111111111111111111111111111111111111111111">
    <w:name w:val="WW-Absatz-Standardschriftart1111111111111111111111111111111111111111111111111111111111111111111"/>
    <w:rsid w:val="001A40EA"/>
  </w:style>
  <w:style w:type="character" w:customStyle="1" w:styleId="WW-Absatz-Standardschriftart11111111111111111111111111111111111111111111111111111111111111111111">
    <w:name w:val="WW-Absatz-Standardschriftart11111111111111111111111111111111111111111111111111111111111111111111"/>
    <w:rsid w:val="001A40EA"/>
  </w:style>
  <w:style w:type="character" w:customStyle="1" w:styleId="WW-Absatz-Standardschriftart111111111111111111111111111111111111111111111111111111111111111111111">
    <w:name w:val="WW-Absatz-Standardschriftart111111111111111111111111111111111111111111111111111111111111111111111"/>
    <w:rsid w:val="001A40EA"/>
  </w:style>
  <w:style w:type="character" w:customStyle="1" w:styleId="WW-Absatz-Standardschriftart1111111111111111111111111111111111111111111111111111111111111111111111">
    <w:name w:val="WW-Absatz-Standardschriftart1111111111111111111111111111111111111111111111111111111111111111111111"/>
    <w:rsid w:val="001A40EA"/>
  </w:style>
  <w:style w:type="character" w:customStyle="1" w:styleId="WW-Absatz-Standardschriftart11111111111111111111111111111111111111111111111111111111111111111111111">
    <w:name w:val="WW-Absatz-Standardschriftart11111111111111111111111111111111111111111111111111111111111111111111111"/>
    <w:rsid w:val="001A40EA"/>
  </w:style>
  <w:style w:type="character" w:customStyle="1" w:styleId="WW-Absatz-Standardschriftart111111111111111111111111111111111111111111111111111111111111111111111111">
    <w:name w:val="WW-Absatz-Standardschriftart111111111111111111111111111111111111111111111111111111111111111111111111"/>
    <w:rsid w:val="001A40EA"/>
  </w:style>
  <w:style w:type="character" w:customStyle="1" w:styleId="WW-Absatz-Standardschriftart1111111111111111111111111111111111111111111111111111111111111111111111111">
    <w:name w:val="WW-Absatz-Standardschriftart1111111111111111111111111111111111111111111111111111111111111111111111111"/>
    <w:rsid w:val="001A40EA"/>
  </w:style>
  <w:style w:type="character" w:customStyle="1" w:styleId="WW-Absatz-Standardschriftart11111111111111111111111111111111111111111111111111111111111111111111111111">
    <w:name w:val="WW-Absatz-Standardschriftart11111111111111111111111111111111111111111111111111111111111111111111111111"/>
    <w:rsid w:val="001A40EA"/>
  </w:style>
  <w:style w:type="character" w:customStyle="1" w:styleId="WW-Absatz-Standardschriftart111111111111111111111111111111111111111111111111111111111111111111111111111">
    <w:name w:val="WW-Absatz-Standardschriftart111111111111111111111111111111111111111111111111111111111111111111111111111"/>
    <w:rsid w:val="001A40EA"/>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1A40EA"/>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1A40EA"/>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1A40EA"/>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1A40EA"/>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1A40EA"/>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1A40EA"/>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1A40EA"/>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1A40EA"/>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1A40EA"/>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1A40EA"/>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1A40EA"/>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1A40EA"/>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1A40EA"/>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1A40EA"/>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1A40EA"/>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1A40EA"/>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1A40EA"/>
  </w:style>
  <w:style w:type="character" w:customStyle="1" w:styleId="WW-Caratterenotadichiusura">
    <w:name w:val="WW-Carattere nota di chiusura"/>
    <w:rsid w:val="001A40EA"/>
  </w:style>
  <w:style w:type="character" w:customStyle="1" w:styleId="WW8Num10z0">
    <w:name w:val="WW8Num10z0"/>
    <w:rsid w:val="001A40EA"/>
    <w:rPr>
      <w:rFonts w:ascii="Times New Roman" w:eastAsia="Times New Roman" w:hAnsi="Times New Roman" w:cs="Times New Roman"/>
    </w:rPr>
  </w:style>
  <w:style w:type="character" w:customStyle="1" w:styleId="WW8Num10z1">
    <w:name w:val="WW8Num10z1"/>
    <w:rsid w:val="001A40EA"/>
    <w:rPr>
      <w:rFonts w:ascii="Courier New" w:hAnsi="Courier New" w:cs="Courier New"/>
    </w:rPr>
  </w:style>
  <w:style w:type="character" w:customStyle="1" w:styleId="WW8Num10z2">
    <w:name w:val="WW8Num10z2"/>
    <w:rsid w:val="001A40EA"/>
    <w:rPr>
      <w:rFonts w:ascii="Wingdings" w:hAnsi="Wingdings"/>
    </w:rPr>
  </w:style>
  <w:style w:type="character" w:customStyle="1" w:styleId="WW8Num10z3">
    <w:name w:val="WW8Num10z3"/>
    <w:rsid w:val="001A40EA"/>
    <w:rPr>
      <w:rFonts w:ascii="Symbol" w:hAnsi="Symbol"/>
    </w:rPr>
  </w:style>
  <w:style w:type="character" w:customStyle="1" w:styleId="WW8Num11z0">
    <w:name w:val="WW8Num11z0"/>
    <w:rsid w:val="001A40EA"/>
    <w:rPr>
      <w:b w:val="0"/>
      <w:i w:val="0"/>
      <w:sz w:val="24"/>
    </w:rPr>
  </w:style>
  <w:style w:type="character" w:customStyle="1" w:styleId="WW8Num12z0">
    <w:name w:val="WW8Num12z0"/>
    <w:rsid w:val="001A40EA"/>
    <w:rPr>
      <w:i w:val="0"/>
    </w:rPr>
  </w:style>
  <w:style w:type="character" w:customStyle="1" w:styleId="WW8Num14z0">
    <w:name w:val="WW8Num14z0"/>
    <w:rsid w:val="001A40EA"/>
    <w:rPr>
      <w:i w:val="0"/>
    </w:rPr>
  </w:style>
  <w:style w:type="character" w:customStyle="1" w:styleId="WW8Num18z0">
    <w:name w:val="WW8Num18z0"/>
    <w:rsid w:val="001A40EA"/>
    <w:rPr>
      <w:rFonts w:ascii="Times New Roman" w:eastAsia="Times New Roman" w:hAnsi="Times New Roman" w:cs="Times New Roman"/>
    </w:rPr>
  </w:style>
  <w:style w:type="character" w:customStyle="1" w:styleId="WW8Num18z1">
    <w:name w:val="WW8Num18z1"/>
    <w:rsid w:val="001A40EA"/>
    <w:rPr>
      <w:rFonts w:ascii="Courier New" w:hAnsi="Courier New" w:cs="Courier New"/>
    </w:rPr>
  </w:style>
  <w:style w:type="character" w:customStyle="1" w:styleId="WW8Num18z2">
    <w:name w:val="WW8Num18z2"/>
    <w:rsid w:val="001A40EA"/>
    <w:rPr>
      <w:rFonts w:ascii="Wingdings" w:hAnsi="Wingdings"/>
    </w:rPr>
  </w:style>
  <w:style w:type="character" w:customStyle="1" w:styleId="WW8Num18z3">
    <w:name w:val="WW8Num18z3"/>
    <w:rsid w:val="001A40EA"/>
    <w:rPr>
      <w:rFonts w:ascii="Symbol" w:hAnsi="Symbol"/>
    </w:rPr>
  </w:style>
  <w:style w:type="character" w:customStyle="1" w:styleId="WW8Num21z0">
    <w:name w:val="WW8Num21z0"/>
    <w:rsid w:val="001A40EA"/>
    <w:rPr>
      <w:b w:val="0"/>
    </w:rPr>
  </w:style>
  <w:style w:type="character" w:customStyle="1" w:styleId="WW8Num24z0">
    <w:name w:val="WW8Num24z0"/>
    <w:rsid w:val="001A40EA"/>
    <w:rPr>
      <w:rFonts w:ascii="Symbol" w:hAnsi="Symbol"/>
    </w:rPr>
  </w:style>
  <w:style w:type="character" w:customStyle="1" w:styleId="WW8Num24z1">
    <w:name w:val="WW8Num24z1"/>
    <w:rsid w:val="001A40EA"/>
    <w:rPr>
      <w:rFonts w:ascii="Courier New" w:hAnsi="Courier New" w:cs="Courier New"/>
    </w:rPr>
  </w:style>
  <w:style w:type="character" w:customStyle="1" w:styleId="WW8Num24z2">
    <w:name w:val="WW8Num24z2"/>
    <w:rsid w:val="001A40EA"/>
    <w:rPr>
      <w:rFonts w:ascii="Wingdings" w:hAnsi="Wingdings"/>
    </w:rPr>
  </w:style>
  <w:style w:type="character" w:customStyle="1" w:styleId="WW8Num2z0">
    <w:name w:val="WW8Num2z0"/>
    <w:rsid w:val="001A40EA"/>
    <w:rPr>
      <w:i w:val="0"/>
    </w:rPr>
  </w:style>
  <w:style w:type="character" w:customStyle="1" w:styleId="WW8Num3z0">
    <w:name w:val="WW8Num3z0"/>
    <w:rsid w:val="001A40EA"/>
    <w:rPr>
      <w:i w:val="0"/>
    </w:rPr>
  </w:style>
  <w:style w:type="character" w:customStyle="1" w:styleId="WW8Num3z3">
    <w:name w:val="WW8Num3z3"/>
    <w:rsid w:val="001A40EA"/>
    <w:rPr>
      <w:b/>
      <w:bCs/>
      <w:i w:val="0"/>
      <w:iCs w:val="0"/>
    </w:rPr>
  </w:style>
  <w:style w:type="character" w:customStyle="1" w:styleId="WW8Num4z0">
    <w:name w:val="WW8Num4z0"/>
    <w:rsid w:val="001A40EA"/>
    <w:rPr>
      <w:b/>
      <w:bCs/>
      <w:i w:val="0"/>
      <w:iCs w:val="0"/>
    </w:rPr>
  </w:style>
  <w:style w:type="character" w:customStyle="1" w:styleId="WW8Num4z1">
    <w:name w:val="WW8Num4z1"/>
    <w:rsid w:val="001A40EA"/>
    <w:rPr>
      <w:i w:val="0"/>
    </w:rPr>
  </w:style>
  <w:style w:type="character" w:customStyle="1" w:styleId="WW8Num4z2">
    <w:name w:val="WW8Num4z2"/>
    <w:rsid w:val="001A40EA"/>
    <w:rPr>
      <w:b/>
      <w:bCs/>
      <w:i w:val="0"/>
      <w:iCs w:val="0"/>
    </w:rPr>
  </w:style>
  <w:style w:type="character" w:customStyle="1" w:styleId="WW8Num5z0">
    <w:name w:val="WW8Num5z0"/>
    <w:rsid w:val="001A40EA"/>
    <w:rPr>
      <w:b w:val="0"/>
    </w:rPr>
  </w:style>
  <w:style w:type="character" w:customStyle="1" w:styleId="WW8Num5z2">
    <w:name w:val="WW8Num5z2"/>
    <w:rsid w:val="001A40EA"/>
    <w:rPr>
      <w:b/>
      <w:bCs/>
      <w:i w:val="0"/>
      <w:iCs w:val="0"/>
    </w:rPr>
  </w:style>
  <w:style w:type="character" w:customStyle="1" w:styleId="WW8Num6z2">
    <w:name w:val="WW8Num6z2"/>
    <w:rsid w:val="001A40EA"/>
    <w:rPr>
      <w:b/>
      <w:bCs/>
      <w:i w:val="0"/>
      <w:iCs w:val="0"/>
    </w:rPr>
  </w:style>
  <w:style w:type="character" w:customStyle="1" w:styleId="WW8Num8z0">
    <w:name w:val="WW8Num8z0"/>
    <w:rsid w:val="001A40EA"/>
    <w:rPr>
      <w:rFonts w:ascii="Times New Roman" w:eastAsia="Times New Roman" w:hAnsi="Times New Roman" w:cs="Times New Roman"/>
    </w:rPr>
  </w:style>
  <w:style w:type="character" w:customStyle="1" w:styleId="WW8Num8z1">
    <w:name w:val="WW8Num8z1"/>
    <w:rsid w:val="001A40EA"/>
    <w:rPr>
      <w:rFonts w:ascii="Courier New" w:hAnsi="Courier New" w:cs="Courier New"/>
    </w:rPr>
  </w:style>
  <w:style w:type="character" w:customStyle="1" w:styleId="WW8Num8z2">
    <w:name w:val="WW8Num8z2"/>
    <w:rsid w:val="001A40EA"/>
    <w:rPr>
      <w:rFonts w:ascii="Wingdings" w:hAnsi="Wingdings"/>
    </w:rPr>
  </w:style>
  <w:style w:type="character" w:customStyle="1" w:styleId="WW8Num8z3">
    <w:name w:val="WW8Num8z3"/>
    <w:rsid w:val="001A40EA"/>
    <w:rPr>
      <w:rFonts w:ascii="Symbol" w:hAnsi="Symbol"/>
    </w:rPr>
  </w:style>
  <w:style w:type="paragraph" w:styleId="NormalWeb">
    <w:name w:val="Normal (Web)"/>
    <w:basedOn w:val="Normal"/>
    <w:uiPriority w:val="99"/>
    <w:semiHidden/>
    <w:unhideWhenUsed/>
    <w:rsid w:val="001C2996"/>
    <w:pPr>
      <w:suppressAutoHyphens w:val="0"/>
      <w:spacing w:before="100" w:beforeAutospacing="1" w:after="100" w:afterAutospacing="1"/>
    </w:pPr>
    <w:rPr>
      <w:lang w:eastAsia="it-IT"/>
    </w:rPr>
  </w:style>
  <w:style w:type="paragraph" w:customStyle="1" w:styleId="Texto">
    <w:name w:val="Texto"/>
    <w:basedOn w:val="Normal"/>
    <w:link w:val="TextoChar"/>
    <w:qFormat/>
    <w:rsid w:val="00DE228D"/>
    <w:pPr>
      <w:spacing w:line="360" w:lineRule="auto"/>
      <w:ind w:firstLine="851"/>
      <w:jc w:val="both"/>
    </w:pPr>
    <w:rPr>
      <w:rFonts w:ascii="Garamond" w:hAnsi="Garamond"/>
      <w:lang w:val="en-US"/>
    </w:rPr>
  </w:style>
  <w:style w:type="character" w:customStyle="1" w:styleId="TextoChar">
    <w:name w:val="Texto Char"/>
    <w:basedOn w:val="DefaultParagraphFont"/>
    <w:link w:val="Texto"/>
    <w:rsid w:val="00DE228D"/>
    <w:rPr>
      <w:rFonts w:ascii="Garamond" w:hAnsi="Garamond" w:cs="Times New Roman"/>
      <w:lang w:val="en-US" w:eastAsia="ar-SA"/>
    </w:rPr>
  </w:style>
  <w:style w:type="paragraph" w:styleId="Revision">
    <w:name w:val="Revision"/>
    <w:hidden/>
    <w:uiPriority w:val="99"/>
    <w:semiHidden/>
    <w:rsid w:val="00A32655"/>
    <w:rPr>
      <w:rFonts w:ascii="Times New Roman" w:hAnsi="Times New Roma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1421">
      <w:bodyDiv w:val="1"/>
      <w:marLeft w:val="0"/>
      <w:marRight w:val="0"/>
      <w:marTop w:val="0"/>
      <w:marBottom w:val="0"/>
      <w:divBdr>
        <w:top w:val="none" w:sz="0" w:space="0" w:color="auto"/>
        <w:left w:val="none" w:sz="0" w:space="0" w:color="auto"/>
        <w:bottom w:val="none" w:sz="0" w:space="0" w:color="auto"/>
        <w:right w:val="none" w:sz="0" w:space="0" w:color="auto"/>
      </w:divBdr>
      <w:divsChild>
        <w:div w:id="1739592348">
          <w:marLeft w:val="0"/>
          <w:marRight w:val="0"/>
          <w:marTop w:val="0"/>
          <w:marBottom w:val="0"/>
          <w:divBdr>
            <w:top w:val="none" w:sz="0" w:space="0" w:color="auto"/>
            <w:left w:val="none" w:sz="0" w:space="0" w:color="auto"/>
            <w:bottom w:val="none" w:sz="0" w:space="0" w:color="auto"/>
            <w:right w:val="none" w:sz="0" w:space="0" w:color="auto"/>
          </w:divBdr>
          <w:divsChild>
            <w:div w:id="1856066685">
              <w:marLeft w:val="0"/>
              <w:marRight w:val="0"/>
              <w:marTop w:val="0"/>
              <w:marBottom w:val="0"/>
              <w:divBdr>
                <w:top w:val="none" w:sz="0" w:space="0" w:color="auto"/>
                <w:left w:val="none" w:sz="0" w:space="0" w:color="auto"/>
                <w:bottom w:val="none" w:sz="0" w:space="0" w:color="auto"/>
                <w:right w:val="none" w:sz="0" w:space="0" w:color="auto"/>
              </w:divBdr>
              <w:divsChild>
                <w:div w:id="213439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7202">
      <w:bodyDiv w:val="1"/>
      <w:marLeft w:val="0"/>
      <w:marRight w:val="0"/>
      <w:marTop w:val="0"/>
      <w:marBottom w:val="0"/>
      <w:divBdr>
        <w:top w:val="none" w:sz="0" w:space="0" w:color="auto"/>
        <w:left w:val="none" w:sz="0" w:space="0" w:color="auto"/>
        <w:bottom w:val="none" w:sz="0" w:space="0" w:color="auto"/>
        <w:right w:val="none" w:sz="0" w:space="0" w:color="auto"/>
      </w:divBdr>
      <w:divsChild>
        <w:div w:id="1681927054">
          <w:marLeft w:val="0"/>
          <w:marRight w:val="0"/>
          <w:marTop w:val="0"/>
          <w:marBottom w:val="0"/>
          <w:divBdr>
            <w:top w:val="none" w:sz="0" w:space="0" w:color="auto"/>
            <w:left w:val="none" w:sz="0" w:space="0" w:color="auto"/>
            <w:bottom w:val="none" w:sz="0" w:space="0" w:color="auto"/>
            <w:right w:val="none" w:sz="0" w:space="0" w:color="auto"/>
          </w:divBdr>
          <w:divsChild>
            <w:div w:id="1007901818">
              <w:marLeft w:val="0"/>
              <w:marRight w:val="0"/>
              <w:marTop w:val="0"/>
              <w:marBottom w:val="0"/>
              <w:divBdr>
                <w:top w:val="none" w:sz="0" w:space="0" w:color="auto"/>
                <w:left w:val="none" w:sz="0" w:space="0" w:color="auto"/>
                <w:bottom w:val="none" w:sz="0" w:space="0" w:color="auto"/>
                <w:right w:val="none" w:sz="0" w:space="0" w:color="auto"/>
              </w:divBdr>
              <w:divsChild>
                <w:div w:id="303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4699">
      <w:bodyDiv w:val="1"/>
      <w:marLeft w:val="0"/>
      <w:marRight w:val="0"/>
      <w:marTop w:val="0"/>
      <w:marBottom w:val="0"/>
      <w:divBdr>
        <w:top w:val="none" w:sz="0" w:space="0" w:color="auto"/>
        <w:left w:val="none" w:sz="0" w:space="0" w:color="auto"/>
        <w:bottom w:val="none" w:sz="0" w:space="0" w:color="auto"/>
        <w:right w:val="none" w:sz="0" w:space="0" w:color="auto"/>
      </w:divBdr>
      <w:divsChild>
        <w:div w:id="993067665">
          <w:marLeft w:val="0"/>
          <w:marRight w:val="0"/>
          <w:marTop w:val="0"/>
          <w:marBottom w:val="0"/>
          <w:divBdr>
            <w:top w:val="none" w:sz="0" w:space="0" w:color="auto"/>
            <w:left w:val="none" w:sz="0" w:space="0" w:color="auto"/>
            <w:bottom w:val="none" w:sz="0" w:space="0" w:color="auto"/>
            <w:right w:val="none" w:sz="0" w:space="0" w:color="auto"/>
          </w:divBdr>
          <w:divsChild>
            <w:div w:id="972756902">
              <w:marLeft w:val="0"/>
              <w:marRight w:val="0"/>
              <w:marTop w:val="0"/>
              <w:marBottom w:val="0"/>
              <w:divBdr>
                <w:top w:val="none" w:sz="0" w:space="0" w:color="auto"/>
                <w:left w:val="none" w:sz="0" w:space="0" w:color="auto"/>
                <w:bottom w:val="none" w:sz="0" w:space="0" w:color="auto"/>
                <w:right w:val="none" w:sz="0" w:space="0" w:color="auto"/>
              </w:divBdr>
              <w:divsChild>
                <w:div w:id="11006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0524">
      <w:bodyDiv w:val="1"/>
      <w:marLeft w:val="0"/>
      <w:marRight w:val="0"/>
      <w:marTop w:val="0"/>
      <w:marBottom w:val="0"/>
      <w:divBdr>
        <w:top w:val="none" w:sz="0" w:space="0" w:color="auto"/>
        <w:left w:val="none" w:sz="0" w:space="0" w:color="auto"/>
        <w:bottom w:val="none" w:sz="0" w:space="0" w:color="auto"/>
        <w:right w:val="none" w:sz="0" w:space="0" w:color="auto"/>
      </w:divBdr>
    </w:div>
    <w:div w:id="345059127">
      <w:bodyDiv w:val="1"/>
      <w:marLeft w:val="0"/>
      <w:marRight w:val="0"/>
      <w:marTop w:val="0"/>
      <w:marBottom w:val="0"/>
      <w:divBdr>
        <w:top w:val="none" w:sz="0" w:space="0" w:color="auto"/>
        <w:left w:val="none" w:sz="0" w:space="0" w:color="auto"/>
        <w:bottom w:val="none" w:sz="0" w:space="0" w:color="auto"/>
        <w:right w:val="none" w:sz="0" w:space="0" w:color="auto"/>
      </w:divBdr>
      <w:divsChild>
        <w:div w:id="1309357107">
          <w:marLeft w:val="0"/>
          <w:marRight w:val="0"/>
          <w:marTop w:val="0"/>
          <w:marBottom w:val="0"/>
          <w:divBdr>
            <w:top w:val="none" w:sz="0" w:space="0" w:color="auto"/>
            <w:left w:val="none" w:sz="0" w:space="0" w:color="auto"/>
            <w:bottom w:val="none" w:sz="0" w:space="0" w:color="auto"/>
            <w:right w:val="none" w:sz="0" w:space="0" w:color="auto"/>
          </w:divBdr>
          <w:divsChild>
            <w:div w:id="990981048">
              <w:marLeft w:val="0"/>
              <w:marRight w:val="0"/>
              <w:marTop w:val="0"/>
              <w:marBottom w:val="0"/>
              <w:divBdr>
                <w:top w:val="none" w:sz="0" w:space="0" w:color="auto"/>
                <w:left w:val="none" w:sz="0" w:space="0" w:color="auto"/>
                <w:bottom w:val="none" w:sz="0" w:space="0" w:color="auto"/>
                <w:right w:val="none" w:sz="0" w:space="0" w:color="auto"/>
              </w:divBdr>
              <w:divsChild>
                <w:div w:id="188949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100181">
      <w:bodyDiv w:val="1"/>
      <w:marLeft w:val="0"/>
      <w:marRight w:val="0"/>
      <w:marTop w:val="0"/>
      <w:marBottom w:val="0"/>
      <w:divBdr>
        <w:top w:val="none" w:sz="0" w:space="0" w:color="auto"/>
        <w:left w:val="none" w:sz="0" w:space="0" w:color="auto"/>
        <w:bottom w:val="none" w:sz="0" w:space="0" w:color="auto"/>
        <w:right w:val="none" w:sz="0" w:space="0" w:color="auto"/>
      </w:divBdr>
    </w:div>
    <w:div w:id="600533229">
      <w:bodyDiv w:val="1"/>
      <w:marLeft w:val="0"/>
      <w:marRight w:val="0"/>
      <w:marTop w:val="0"/>
      <w:marBottom w:val="0"/>
      <w:divBdr>
        <w:top w:val="none" w:sz="0" w:space="0" w:color="auto"/>
        <w:left w:val="none" w:sz="0" w:space="0" w:color="auto"/>
        <w:bottom w:val="none" w:sz="0" w:space="0" w:color="auto"/>
        <w:right w:val="none" w:sz="0" w:space="0" w:color="auto"/>
      </w:divBdr>
    </w:div>
    <w:div w:id="662664210">
      <w:bodyDiv w:val="1"/>
      <w:marLeft w:val="0"/>
      <w:marRight w:val="0"/>
      <w:marTop w:val="0"/>
      <w:marBottom w:val="0"/>
      <w:divBdr>
        <w:top w:val="none" w:sz="0" w:space="0" w:color="auto"/>
        <w:left w:val="none" w:sz="0" w:space="0" w:color="auto"/>
        <w:bottom w:val="none" w:sz="0" w:space="0" w:color="auto"/>
        <w:right w:val="none" w:sz="0" w:space="0" w:color="auto"/>
      </w:divBdr>
    </w:div>
    <w:div w:id="667055930">
      <w:bodyDiv w:val="1"/>
      <w:marLeft w:val="0"/>
      <w:marRight w:val="0"/>
      <w:marTop w:val="0"/>
      <w:marBottom w:val="0"/>
      <w:divBdr>
        <w:top w:val="none" w:sz="0" w:space="0" w:color="auto"/>
        <w:left w:val="none" w:sz="0" w:space="0" w:color="auto"/>
        <w:bottom w:val="none" w:sz="0" w:space="0" w:color="auto"/>
        <w:right w:val="none" w:sz="0" w:space="0" w:color="auto"/>
      </w:divBdr>
    </w:div>
    <w:div w:id="935865167">
      <w:bodyDiv w:val="1"/>
      <w:marLeft w:val="0"/>
      <w:marRight w:val="0"/>
      <w:marTop w:val="0"/>
      <w:marBottom w:val="0"/>
      <w:divBdr>
        <w:top w:val="none" w:sz="0" w:space="0" w:color="auto"/>
        <w:left w:val="none" w:sz="0" w:space="0" w:color="auto"/>
        <w:bottom w:val="none" w:sz="0" w:space="0" w:color="auto"/>
        <w:right w:val="none" w:sz="0" w:space="0" w:color="auto"/>
      </w:divBdr>
      <w:divsChild>
        <w:div w:id="400300782">
          <w:marLeft w:val="0"/>
          <w:marRight w:val="0"/>
          <w:marTop w:val="0"/>
          <w:marBottom w:val="0"/>
          <w:divBdr>
            <w:top w:val="none" w:sz="0" w:space="0" w:color="auto"/>
            <w:left w:val="none" w:sz="0" w:space="0" w:color="auto"/>
            <w:bottom w:val="none" w:sz="0" w:space="0" w:color="auto"/>
            <w:right w:val="none" w:sz="0" w:space="0" w:color="auto"/>
          </w:divBdr>
          <w:divsChild>
            <w:div w:id="1653564764">
              <w:marLeft w:val="0"/>
              <w:marRight w:val="0"/>
              <w:marTop w:val="0"/>
              <w:marBottom w:val="0"/>
              <w:divBdr>
                <w:top w:val="none" w:sz="0" w:space="0" w:color="auto"/>
                <w:left w:val="none" w:sz="0" w:space="0" w:color="auto"/>
                <w:bottom w:val="none" w:sz="0" w:space="0" w:color="auto"/>
                <w:right w:val="none" w:sz="0" w:space="0" w:color="auto"/>
              </w:divBdr>
              <w:divsChild>
                <w:div w:id="120201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903614">
      <w:bodyDiv w:val="1"/>
      <w:marLeft w:val="0"/>
      <w:marRight w:val="0"/>
      <w:marTop w:val="0"/>
      <w:marBottom w:val="0"/>
      <w:divBdr>
        <w:top w:val="none" w:sz="0" w:space="0" w:color="auto"/>
        <w:left w:val="none" w:sz="0" w:space="0" w:color="auto"/>
        <w:bottom w:val="none" w:sz="0" w:space="0" w:color="auto"/>
        <w:right w:val="none" w:sz="0" w:space="0" w:color="auto"/>
      </w:divBdr>
      <w:divsChild>
        <w:div w:id="52966568">
          <w:marLeft w:val="0"/>
          <w:marRight w:val="0"/>
          <w:marTop w:val="0"/>
          <w:marBottom w:val="0"/>
          <w:divBdr>
            <w:top w:val="none" w:sz="0" w:space="0" w:color="auto"/>
            <w:left w:val="none" w:sz="0" w:space="0" w:color="auto"/>
            <w:bottom w:val="none" w:sz="0" w:space="0" w:color="auto"/>
            <w:right w:val="none" w:sz="0" w:space="0" w:color="auto"/>
          </w:divBdr>
          <w:divsChild>
            <w:div w:id="172229679">
              <w:marLeft w:val="0"/>
              <w:marRight w:val="0"/>
              <w:marTop w:val="0"/>
              <w:marBottom w:val="0"/>
              <w:divBdr>
                <w:top w:val="none" w:sz="0" w:space="0" w:color="auto"/>
                <w:left w:val="none" w:sz="0" w:space="0" w:color="auto"/>
                <w:bottom w:val="none" w:sz="0" w:space="0" w:color="auto"/>
                <w:right w:val="none" w:sz="0" w:space="0" w:color="auto"/>
              </w:divBdr>
              <w:divsChild>
                <w:div w:id="535239292">
                  <w:marLeft w:val="0"/>
                  <w:marRight w:val="0"/>
                  <w:marTop w:val="0"/>
                  <w:marBottom w:val="0"/>
                  <w:divBdr>
                    <w:top w:val="none" w:sz="0" w:space="0" w:color="auto"/>
                    <w:left w:val="none" w:sz="0" w:space="0" w:color="auto"/>
                    <w:bottom w:val="none" w:sz="0" w:space="0" w:color="auto"/>
                    <w:right w:val="none" w:sz="0" w:space="0" w:color="auto"/>
                  </w:divBdr>
                </w:div>
              </w:divsChild>
            </w:div>
            <w:div w:id="1982541698">
              <w:marLeft w:val="0"/>
              <w:marRight w:val="0"/>
              <w:marTop w:val="0"/>
              <w:marBottom w:val="0"/>
              <w:divBdr>
                <w:top w:val="none" w:sz="0" w:space="0" w:color="auto"/>
                <w:left w:val="none" w:sz="0" w:space="0" w:color="auto"/>
                <w:bottom w:val="none" w:sz="0" w:space="0" w:color="auto"/>
                <w:right w:val="none" w:sz="0" w:space="0" w:color="auto"/>
              </w:divBdr>
              <w:divsChild>
                <w:div w:id="8329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2373">
          <w:marLeft w:val="0"/>
          <w:marRight w:val="0"/>
          <w:marTop w:val="0"/>
          <w:marBottom w:val="0"/>
          <w:divBdr>
            <w:top w:val="none" w:sz="0" w:space="0" w:color="auto"/>
            <w:left w:val="none" w:sz="0" w:space="0" w:color="auto"/>
            <w:bottom w:val="none" w:sz="0" w:space="0" w:color="auto"/>
            <w:right w:val="none" w:sz="0" w:space="0" w:color="auto"/>
          </w:divBdr>
          <w:divsChild>
            <w:div w:id="612900616">
              <w:marLeft w:val="0"/>
              <w:marRight w:val="0"/>
              <w:marTop w:val="0"/>
              <w:marBottom w:val="0"/>
              <w:divBdr>
                <w:top w:val="none" w:sz="0" w:space="0" w:color="auto"/>
                <w:left w:val="none" w:sz="0" w:space="0" w:color="auto"/>
                <w:bottom w:val="none" w:sz="0" w:space="0" w:color="auto"/>
                <w:right w:val="none" w:sz="0" w:space="0" w:color="auto"/>
              </w:divBdr>
              <w:divsChild>
                <w:div w:id="43838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17088">
          <w:marLeft w:val="0"/>
          <w:marRight w:val="0"/>
          <w:marTop w:val="0"/>
          <w:marBottom w:val="0"/>
          <w:divBdr>
            <w:top w:val="none" w:sz="0" w:space="0" w:color="auto"/>
            <w:left w:val="none" w:sz="0" w:space="0" w:color="auto"/>
            <w:bottom w:val="none" w:sz="0" w:space="0" w:color="auto"/>
            <w:right w:val="none" w:sz="0" w:space="0" w:color="auto"/>
          </w:divBdr>
          <w:divsChild>
            <w:div w:id="80568936">
              <w:marLeft w:val="0"/>
              <w:marRight w:val="0"/>
              <w:marTop w:val="0"/>
              <w:marBottom w:val="0"/>
              <w:divBdr>
                <w:top w:val="none" w:sz="0" w:space="0" w:color="auto"/>
                <w:left w:val="none" w:sz="0" w:space="0" w:color="auto"/>
                <w:bottom w:val="none" w:sz="0" w:space="0" w:color="auto"/>
                <w:right w:val="none" w:sz="0" w:space="0" w:color="auto"/>
              </w:divBdr>
              <w:divsChild>
                <w:div w:id="463278545">
                  <w:marLeft w:val="0"/>
                  <w:marRight w:val="0"/>
                  <w:marTop w:val="0"/>
                  <w:marBottom w:val="0"/>
                  <w:divBdr>
                    <w:top w:val="none" w:sz="0" w:space="0" w:color="auto"/>
                    <w:left w:val="none" w:sz="0" w:space="0" w:color="auto"/>
                    <w:bottom w:val="none" w:sz="0" w:space="0" w:color="auto"/>
                    <w:right w:val="none" w:sz="0" w:space="0" w:color="auto"/>
                  </w:divBdr>
                </w:div>
              </w:divsChild>
            </w:div>
            <w:div w:id="1212495616">
              <w:marLeft w:val="0"/>
              <w:marRight w:val="0"/>
              <w:marTop w:val="0"/>
              <w:marBottom w:val="0"/>
              <w:divBdr>
                <w:top w:val="none" w:sz="0" w:space="0" w:color="auto"/>
                <w:left w:val="none" w:sz="0" w:space="0" w:color="auto"/>
                <w:bottom w:val="none" w:sz="0" w:space="0" w:color="auto"/>
                <w:right w:val="none" w:sz="0" w:space="0" w:color="auto"/>
              </w:divBdr>
              <w:divsChild>
                <w:div w:id="129231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8041">
          <w:marLeft w:val="0"/>
          <w:marRight w:val="0"/>
          <w:marTop w:val="0"/>
          <w:marBottom w:val="0"/>
          <w:divBdr>
            <w:top w:val="none" w:sz="0" w:space="0" w:color="auto"/>
            <w:left w:val="none" w:sz="0" w:space="0" w:color="auto"/>
            <w:bottom w:val="none" w:sz="0" w:space="0" w:color="auto"/>
            <w:right w:val="none" w:sz="0" w:space="0" w:color="auto"/>
          </w:divBdr>
          <w:divsChild>
            <w:div w:id="395133459">
              <w:marLeft w:val="0"/>
              <w:marRight w:val="0"/>
              <w:marTop w:val="0"/>
              <w:marBottom w:val="0"/>
              <w:divBdr>
                <w:top w:val="none" w:sz="0" w:space="0" w:color="auto"/>
                <w:left w:val="none" w:sz="0" w:space="0" w:color="auto"/>
                <w:bottom w:val="none" w:sz="0" w:space="0" w:color="auto"/>
                <w:right w:val="none" w:sz="0" w:space="0" w:color="auto"/>
              </w:divBdr>
              <w:divsChild>
                <w:div w:id="562985082">
                  <w:marLeft w:val="0"/>
                  <w:marRight w:val="0"/>
                  <w:marTop w:val="0"/>
                  <w:marBottom w:val="0"/>
                  <w:divBdr>
                    <w:top w:val="none" w:sz="0" w:space="0" w:color="auto"/>
                    <w:left w:val="none" w:sz="0" w:space="0" w:color="auto"/>
                    <w:bottom w:val="none" w:sz="0" w:space="0" w:color="auto"/>
                    <w:right w:val="none" w:sz="0" w:space="0" w:color="auto"/>
                  </w:divBdr>
                </w:div>
              </w:divsChild>
            </w:div>
            <w:div w:id="1813448892">
              <w:marLeft w:val="0"/>
              <w:marRight w:val="0"/>
              <w:marTop w:val="0"/>
              <w:marBottom w:val="0"/>
              <w:divBdr>
                <w:top w:val="none" w:sz="0" w:space="0" w:color="auto"/>
                <w:left w:val="none" w:sz="0" w:space="0" w:color="auto"/>
                <w:bottom w:val="none" w:sz="0" w:space="0" w:color="auto"/>
                <w:right w:val="none" w:sz="0" w:space="0" w:color="auto"/>
              </w:divBdr>
              <w:divsChild>
                <w:div w:id="10939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5525">
      <w:bodyDiv w:val="1"/>
      <w:marLeft w:val="0"/>
      <w:marRight w:val="0"/>
      <w:marTop w:val="0"/>
      <w:marBottom w:val="0"/>
      <w:divBdr>
        <w:top w:val="none" w:sz="0" w:space="0" w:color="auto"/>
        <w:left w:val="none" w:sz="0" w:space="0" w:color="auto"/>
        <w:bottom w:val="none" w:sz="0" w:space="0" w:color="auto"/>
        <w:right w:val="none" w:sz="0" w:space="0" w:color="auto"/>
      </w:divBdr>
      <w:divsChild>
        <w:div w:id="200745788">
          <w:marLeft w:val="0"/>
          <w:marRight w:val="0"/>
          <w:marTop w:val="0"/>
          <w:marBottom w:val="0"/>
          <w:divBdr>
            <w:top w:val="none" w:sz="0" w:space="0" w:color="auto"/>
            <w:left w:val="none" w:sz="0" w:space="0" w:color="auto"/>
            <w:bottom w:val="none" w:sz="0" w:space="0" w:color="auto"/>
            <w:right w:val="none" w:sz="0" w:space="0" w:color="auto"/>
          </w:divBdr>
          <w:divsChild>
            <w:div w:id="1790471906">
              <w:marLeft w:val="0"/>
              <w:marRight w:val="0"/>
              <w:marTop w:val="0"/>
              <w:marBottom w:val="0"/>
              <w:divBdr>
                <w:top w:val="none" w:sz="0" w:space="0" w:color="auto"/>
                <w:left w:val="none" w:sz="0" w:space="0" w:color="auto"/>
                <w:bottom w:val="none" w:sz="0" w:space="0" w:color="auto"/>
                <w:right w:val="none" w:sz="0" w:space="0" w:color="auto"/>
              </w:divBdr>
              <w:divsChild>
                <w:div w:id="13968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19349">
      <w:bodyDiv w:val="1"/>
      <w:marLeft w:val="0"/>
      <w:marRight w:val="0"/>
      <w:marTop w:val="0"/>
      <w:marBottom w:val="0"/>
      <w:divBdr>
        <w:top w:val="none" w:sz="0" w:space="0" w:color="auto"/>
        <w:left w:val="none" w:sz="0" w:space="0" w:color="auto"/>
        <w:bottom w:val="none" w:sz="0" w:space="0" w:color="auto"/>
        <w:right w:val="none" w:sz="0" w:space="0" w:color="auto"/>
      </w:divBdr>
    </w:div>
    <w:div w:id="1100948891">
      <w:bodyDiv w:val="1"/>
      <w:marLeft w:val="0"/>
      <w:marRight w:val="0"/>
      <w:marTop w:val="0"/>
      <w:marBottom w:val="0"/>
      <w:divBdr>
        <w:top w:val="none" w:sz="0" w:space="0" w:color="auto"/>
        <w:left w:val="none" w:sz="0" w:space="0" w:color="auto"/>
        <w:bottom w:val="none" w:sz="0" w:space="0" w:color="auto"/>
        <w:right w:val="none" w:sz="0" w:space="0" w:color="auto"/>
      </w:divBdr>
      <w:divsChild>
        <w:div w:id="984815135">
          <w:marLeft w:val="0"/>
          <w:marRight w:val="0"/>
          <w:marTop w:val="0"/>
          <w:marBottom w:val="0"/>
          <w:divBdr>
            <w:top w:val="none" w:sz="0" w:space="0" w:color="auto"/>
            <w:left w:val="none" w:sz="0" w:space="0" w:color="auto"/>
            <w:bottom w:val="none" w:sz="0" w:space="0" w:color="auto"/>
            <w:right w:val="none" w:sz="0" w:space="0" w:color="auto"/>
          </w:divBdr>
          <w:divsChild>
            <w:div w:id="793907930">
              <w:marLeft w:val="0"/>
              <w:marRight w:val="0"/>
              <w:marTop w:val="0"/>
              <w:marBottom w:val="0"/>
              <w:divBdr>
                <w:top w:val="none" w:sz="0" w:space="0" w:color="auto"/>
                <w:left w:val="none" w:sz="0" w:space="0" w:color="auto"/>
                <w:bottom w:val="none" w:sz="0" w:space="0" w:color="auto"/>
                <w:right w:val="none" w:sz="0" w:space="0" w:color="auto"/>
              </w:divBdr>
              <w:divsChild>
                <w:div w:id="10992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069081">
      <w:bodyDiv w:val="1"/>
      <w:marLeft w:val="0"/>
      <w:marRight w:val="0"/>
      <w:marTop w:val="0"/>
      <w:marBottom w:val="0"/>
      <w:divBdr>
        <w:top w:val="none" w:sz="0" w:space="0" w:color="auto"/>
        <w:left w:val="none" w:sz="0" w:space="0" w:color="auto"/>
        <w:bottom w:val="none" w:sz="0" w:space="0" w:color="auto"/>
        <w:right w:val="none" w:sz="0" w:space="0" w:color="auto"/>
      </w:divBdr>
      <w:divsChild>
        <w:div w:id="1361783072">
          <w:marLeft w:val="0"/>
          <w:marRight w:val="0"/>
          <w:marTop w:val="0"/>
          <w:marBottom w:val="0"/>
          <w:divBdr>
            <w:top w:val="none" w:sz="0" w:space="0" w:color="auto"/>
            <w:left w:val="none" w:sz="0" w:space="0" w:color="auto"/>
            <w:bottom w:val="none" w:sz="0" w:space="0" w:color="auto"/>
            <w:right w:val="none" w:sz="0" w:space="0" w:color="auto"/>
          </w:divBdr>
          <w:divsChild>
            <w:div w:id="432937561">
              <w:marLeft w:val="0"/>
              <w:marRight w:val="0"/>
              <w:marTop w:val="0"/>
              <w:marBottom w:val="0"/>
              <w:divBdr>
                <w:top w:val="none" w:sz="0" w:space="0" w:color="auto"/>
                <w:left w:val="none" w:sz="0" w:space="0" w:color="auto"/>
                <w:bottom w:val="none" w:sz="0" w:space="0" w:color="auto"/>
                <w:right w:val="none" w:sz="0" w:space="0" w:color="auto"/>
              </w:divBdr>
              <w:divsChild>
                <w:div w:id="781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02199">
      <w:bodyDiv w:val="1"/>
      <w:marLeft w:val="0"/>
      <w:marRight w:val="0"/>
      <w:marTop w:val="0"/>
      <w:marBottom w:val="0"/>
      <w:divBdr>
        <w:top w:val="none" w:sz="0" w:space="0" w:color="auto"/>
        <w:left w:val="none" w:sz="0" w:space="0" w:color="auto"/>
        <w:bottom w:val="none" w:sz="0" w:space="0" w:color="auto"/>
        <w:right w:val="none" w:sz="0" w:space="0" w:color="auto"/>
      </w:divBdr>
    </w:div>
    <w:div w:id="1419986101">
      <w:bodyDiv w:val="1"/>
      <w:marLeft w:val="0"/>
      <w:marRight w:val="0"/>
      <w:marTop w:val="0"/>
      <w:marBottom w:val="0"/>
      <w:divBdr>
        <w:top w:val="none" w:sz="0" w:space="0" w:color="auto"/>
        <w:left w:val="none" w:sz="0" w:space="0" w:color="auto"/>
        <w:bottom w:val="none" w:sz="0" w:space="0" w:color="auto"/>
        <w:right w:val="none" w:sz="0" w:space="0" w:color="auto"/>
      </w:divBdr>
    </w:div>
    <w:div w:id="1544512870">
      <w:bodyDiv w:val="1"/>
      <w:marLeft w:val="0"/>
      <w:marRight w:val="0"/>
      <w:marTop w:val="0"/>
      <w:marBottom w:val="0"/>
      <w:divBdr>
        <w:top w:val="none" w:sz="0" w:space="0" w:color="auto"/>
        <w:left w:val="none" w:sz="0" w:space="0" w:color="auto"/>
        <w:bottom w:val="none" w:sz="0" w:space="0" w:color="auto"/>
        <w:right w:val="none" w:sz="0" w:space="0" w:color="auto"/>
      </w:divBdr>
    </w:div>
    <w:div w:id="1603801223">
      <w:bodyDiv w:val="1"/>
      <w:marLeft w:val="0"/>
      <w:marRight w:val="0"/>
      <w:marTop w:val="0"/>
      <w:marBottom w:val="0"/>
      <w:divBdr>
        <w:top w:val="none" w:sz="0" w:space="0" w:color="auto"/>
        <w:left w:val="none" w:sz="0" w:space="0" w:color="auto"/>
        <w:bottom w:val="none" w:sz="0" w:space="0" w:color="auto"/>
        <w:right w:val="none" w:sz="0" w:space="0" w:color="auto"/>
      </w:divBdr>
    </w:div>
    <w:div w:id="1663266817">
      <w:bodyDiv w:val="1"/>
      <w:marLeft w:val="0"/>
      <w:marRight w:val="0"/>
      <w:marTop w:val="0"/>
      <w:marBottom w:val="0"/>
      <w:divBdr>
        <w:top w:val="none" w:sz="0" w:space="0" w:color="auto"/>
        <w:left w:val="none" w:sz="0" w:space="0" w:color="auto"/>
        <w:bottom w:val="none" w:sz="0" w:space="0" w:color="auto"/>
        <w:right w:val="none" w:sz="0" w:space="0" w:color="auto"/>
      </w:divBdr>
      <w:divsChild>
        <w:div w:id="547570765">
          <w:marLeft w:val="0"/>
          <w:marRight w:val="0"/>
          <w:marTop w:val="0"/>
          <w:marBottom w:val="0"/>
          <w:divBdr>
            <w:top w:val="none" w:sz="0" w:space="0" w:color="auto"/>
            <w:left w:val="none" w:sz="0" w:space="0" w:color="auto"/>
            <w:bottom w:val="none" w:sz="0" w:space="0" w:color="auto"/>
            <w:right w:val="none" w:sz="0" w:space="0" w:color="auto"/>
          </w:divBdr>
          <w:divsChild>
            <w:div w:id="613288741">
              <w:marLeft w:val="0"/>
              <w:marRight w:val="0"/>
              <w:marTop w:val="0"/>
              <w:marBottom w:val="0"/>
              <w:divBdr>
                <w:top w:val="none" w:sz="0" w:space="0" w:color="auto"/>
                <w:left w:val="none" w:sz="0" w:space="0" w:color="auto"/>
                <w:bottom w:val="none" w:sz="0" w:space="0" w:color="auto"/>
                <w:right w:val="none" w:sz="0" w:space="0" w:color="auto"/>
              </w:divBdr>
              <w:divsChild>
                <w:div w:id="13128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805631">
      <w:bodyDiv w:val="1"/>
      <w:marLeft w:val="0"/>
      <w:marRight w:val="0"/>
      <w:marTop w:val="0"/>
      <w:marBottom w:val="0"/>
      <w:divBdr>
        <w:top w:val="none" w:sz="0" w:space="0" w:color="auto"/>
        <w:left w:val="none" w:sz="0" w:space="0" w:color="auto"/>
        <w:bottom w:val="none" w:sz="0" w:space="0" w:color="auto"/>
        <w:right w:val="none" w:sz="0" w:space="0" w:color="auto"/>
      </w:divBdr>
    </w:div>
    <w:div w:id="1819763755">
      <w:bodyDiv w:val="1"/>
      <w:marLeft w:val="0"/>
      <w:marRight w:val="0"/>
      <w:marTop w:val="0"/>
      <w:marBottom w:val="0"/>
      <w:divBdr>
        <w:top w:val="none" w:sz="0" w:space="0" w:color="auto"/>
        <w:left w:val="none" w:sz="0" w:space="0" w:color="auto"/>
        <w:bottom w:val="none" w:sz="0" w:space="0" w:color="auto"/>
        <w:right w:val="none" w:sz="0" w:space="0" w:color="auto"/>
      </w:divBdr>
      <w:divsChild>
        <w:div w:id="418793647">
          <w:marLeft w:val="0"/>
          <w:marRight w:val="0"/>
          <w:marTop w:val="0"/>
          <w:marBottom w:val="0"/>
          <w:divBdr>
            <w:top w:val="none" w:sz="0" w:space="0" w:color="auto"/>
            <w:left w:val="none" w:sz="0" w:space="0" w:color="auto"/>
            <w:bottom w:val="none" w:sz="0" w:space="0" w:color="auto"/>
            <w:right w:val="none" w:sz="0" w:space="0" w:color="auto"/>
          </w:divBdr>
          <w:divsChild>
            <w:div w:id="564099798">
              <w:marLeft w:val="0"/>
              <w:marRight w:val="0"/>
              <w:marTop w:val="0"/>
              <w:marBottom w:val="0"/>
              <w:divBdr>
                <w:top w:val="none" w:sz="0" w:space="0" w:color="auto"/>
                <w:left w:val="none" w:sz="0" w:space="0" w:color="auto"/>
                <w:bottom w:val="none" w:sz="0" w:space="0" w:color="auto"/>
                <w:right w:val="none" w:sz="0" w:space="0" w:color="auto"/>
              </w:divBdr>
              <w:divsChild>
                <w:div w:id="16070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27591">
      <w:bodyDiv w:val="1"/>
      <w:marLeft w:val="0"/>
      <w:marRight w:val="0"/>
      <w:marTop w:val="0"/>
      <w:marBottom w:val="0"/>
      <w:divBdr>
        <w:top w:val="none" w:sz="0" w:space="0" w:color="auto"/>
        <w:left w:val="none" w:sz="0" w:space="0" w:color="auto"/>
        <w:bottom w:val="none" w:sz="0" w:space="0" w:color="auto"/>
        <w:right w:val="none" w:sz="0" w:space="0" w:color="auto"/>
      </w:divBdr>
      <w:divsChild>
        <w:div w:id="129985752">
          <w:marLeft w:val="0"/>
          <w:marRight w:val="0"/>
          <w:marTop w:val="100"/>
          <w:marBottom w:val="0"/>
          <w:divBdr>
            <w:top w:val="none" w:sz="0" w:space="0" w:color="auto"/>
            <w:left w:val="none" w:sz="0" w:space="0" w:color="auto"/>
            <w:bottom w:val="none" w:sz="0" w:space="0" w:color="auto"/>
            <w:right w:val="none" w:sz="0" w:space="0" w:color="auto"/>
          </w:divBdr>
          <w:divsChild>
            <w:div w:id="371225501">
              <w:marLeft w:val="0"/>
              <w:marRight w:val="0"/>
              <w:marTop w:val="60"/>
              <w:marBottom w:val="0"/>
              <w:divBdr>
                <w:top w:val="none" w:sz="0" w:space="0" w:color="auto"/>
                <w:left w:val="none" w:sz="0" w:space="0" w:color="auto"/>
                <w:bottom w:val="none" w:sz="0" w:space="0" w:color="auto"/>
                <w:right w:val="none" w:sz="0" w:space="0" w:color="auto"/>
              </w:divBdr>
            </w:div>
          </w:divsChild>
        </w:div>
        <w:div w:id="287590772">
          <w:marLeft w:val="0"/>
          <w:marRight w:val="0"/>
          <w:marTop w:val="0"/>
          <w:marBottom w:val="0"/>
          <w:divBdr>
            <w:top w:val="none" w:sz="0" w:space="0" w:color="auto"/>
            <w:left w:val="none" w:sz="0" w:space="0" w:color="auto"/>
            <w:bottom w:val="none" w:sz="0" w:space="0" w:color="auto"/>
            <w:right w:val="none" w:sz="0" w:space="0" w:color="auto"/>
          </w:divBdr>
          <w:divsChild>
            <w:div w:id="1232276378">
              <w:marLeft w:val="0"/>
              <w:marRight w:val="0"/>
              <w:marTop w:val="0"/>
              <w:marBottom w:val="0"/>
              <w:divBdr>
                <w:top w:val="none" w:sz="0" w:space="0" w:color="auto"/>
                <w:left w:val="none" w:sz="0" w:space="0" w:color="auto"/>
                <w:bottom w:val="none" w:sz="0" w:space="0" w:color="auto"/>
                <w:right w:val="none" w:sz="0" w:space="0" w:color="auto"/>
              </w:divBdr>
              <w:divsChild>
                <w:div w:id="9804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59159">
      <w:bodyDiv w:val="1"/>
      <w:marLeft w:val="0"/>
      <w:marRight w:val="0"/>
      <w:marTop w:val="0"/>
      <w:marBottom w:val="0"/>
      <w:divBdr>
        <w:top w:val="none" w:sz="0" w:space="0" w:color="auto"/>
        <w:left w:val="none" w:sz="0" w:space="0" w:color="auto"/>
        <w:bottom w:val="none" w:sz="0" w:space="0" w:color="auto"/>
        <w:right w:val="none" w:sz="0" w:space="0" w:color="auto"/>
      </w:divBdr>
      <w:divsChild>
        <w:div w:id="2031837744">
          <w:marLeft w:val="0"/>
          <w:marRight w:val="0"/>
          <w:marTop w:val="0"/>
          <w:marBottom w:val="0"/>
          <w:divBdr>
            <w:top w:val="none" w:sz="0" w:space="0" w:color="auto"/>
            <w:left w:val="none" w:sz="0" w:space="0" w:color="auto"/>
            <w:bottom w:val="none" w:sz="0" w:space="0" w:color="auto"/>
            <w:right w:val="none" w:sz="0" w:space="0" w:color="auto"/>
          </w:divBdr>
          <w:divsChild>
            <w:div w:id="991257967">
              <w:marLeft w:val="0"/>
              <w:marRight w:val="0"/>
              <w:marTop w:val="0"/>
              <w:marBottom w:val="0"/>
              <w:divBdr>
                <w:top w:val="none" w:sz="0" w:space="0" w:color="auto"/>
                <w:left w:val="none" w:sz="0" w:space="0" w:color="auto"/>
                <w:bottom w:val="none" w:sz="0" w:space="0" w:color="auto"/>
                <w:right w:val="none" w:sz="0" w:space="0" w:color="auto"/>
              </w:divBdr>
              <w:divsChild>
                <w:div w:id="20859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568102">
      <w:bodyDiv w:val="1"/>
      <w:marLeft w:val="0"/>
      <w:marRight w:val="0"/>
      <w:marTop w:val="0"/>
      <w:marBottom w:val="0"/>
      <w:divBdr>
        <w:top w:val="none" w:sz="0" w:space="0" w:color="auto"/>
        <w:left w:val="none" w:sz="0" w:space="0" w:color="auto"/>
        <w:bottom w:val="none" w:sz="0" w:space="0" w:color="auto"/>
        <w:right w:val="none" w:sz="0" w:space="0" w:color="auto"/>
      </w:divBdr>
    </w:div>
    <w:div w:id="2056390509">
      <w:bodyDiv w:val="1"/>
      <w:marLeft w:val="0"/>
      <w:marRight w:val="0"/>
      <w:marTop w:val="0"/>
      <w:marBottom w:val="0"/>
      <w:divBdr>
        <w:top w:val="none" w:sz="0" w:space="0" w:color="auto"/>
        <w:left w:val="none" w:sz="0" w:space="0" w:color="auto"/>
        <w:bottom w:val="none" w:sz="0" w:space="0" w:color="auto"/>
        <w:right w:val="none" w:sz="0" w:space="0" w:color="auto"/>
      </w:divBdr>
      <w:divsChild>
        <w:div w:id="793255880">
          <w:marLeft w:val="0"/>
          <w:marRight w:val="0"/>
          <w:marTop w:val="100"/>
          <w:marBottom w:val="0"/>
          <w:divBdr>
            <w:top w:val="none" w:sz="0" w:space="0" w:color="auto"/>
            <w:left w:val="none" w:sz="0" w:space="0" w:color="auto"/>
            <w:bottom w:val="none" w:sz="0" w:space="0" w:color="auto"/>
            <w:right w:val="none" w:sz="0" w:space="0" w:color="auto"/>
          </w:divBdr>
          <w:divsChild>
            <w:div w:id="1315597714">
              <w:marLeft w:val="0"/>
              <w:marRight w:val="0"/>
              <w:marTop w:val="60"/>
              <w:marBottom w:val="0"/>
              <w:divBdr>
                <w:top w:val="none" w:sz="0" w:space="0" w:color="auto"/>
                <w:left w:val="none" w:sz="0" w:space="0" w:color="auto"/>
                <w:bottom w:val="none" w:sz="0" w:space="0" w:color="auto"/>
                <w:right w:val="none" w:sz="0" w:space="0" w:color="auto"/>
              </w:divBdr>
            </w:div>
          </w:divsChild>
        </w:div>
        <w:div w:id="1963271167">
          <w:marLeft w:val="0"/>
          <w:marRight w:val="0"/>
          <w:marTop w:val="0"/>
          <w:marBottom w:val="0"/>
          <w:divBdr>
            <w:top w:val="none" w:sz="0" w:space="0" w:color="auto"/>
            <w:left w:val="none" w:sz="0" w:space="0" w:color="auto"/>
            <w:bottom w:val="none" w:sz="0" w:space="0" w:color="auto"/>
            <w:right w:val="none" w:sz="0" w:space="0" w:color="auto"/>
          </w:divBdr>
          <w:divsChild>
            <w:div w:id="1151092330">
              <w:marLeft w:val="0"/>
              <w:marRight w:val="0"/>
              <w:marTop w:val="0"/>
              <w:marBottom w:val="0"/>
              <w:divBdr>
                <w:top w:val="none" w:sz="0" w:space="0" w:color="auto"/>
                <w:left w:val="none" w:sz="0" w:space="0" w:color="auto"/>
                <w:bottom w:val="none" w:sz="0" w:space="0" w:color="auto"/>
                <w:right w:val="none" w:sz="0" w:space="0" w:color="auto"/>
              </w:divBdr>
              <w:divsChild>
                <w:div w:id="123550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4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7AAED-DE96-2B4F-9ECF-86670A023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8125</Words>
  <Characters>43881</Characters>
  <Application>Microsoft Office Word</Application>
  <DocSecurity>0</DocSecurity>
  <Lines>365</Lines>
  <Paragraphs>103</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Manager/>
  <Company/>
  <LinksUpToDate>false</LinksUpToDate>
  <CharactersWithSpaces>51903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2022-02-08T23:31:00Z</dcterms:created>
  <dcterms:modified xsi:type="dcterms:W3CDTF">2023-03-07T18:37:00Z</dcterms:modified>
  <cp:category/>
</cp:coreProperties>
</file>