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373279" w14:textId="77777777" w:rsidR="005472EF" w:rsidRDefault="00932FD2">
      <w:pPr>
        <w:keepNext/>
        <w:keepLines/>
        <w:pBdr>
          <w:top w:val="nil"/>
          <w:left w:val="nil"/>
          <w:bottom w:val="nil"/>
          <w:right w:val="nil"/>
          <w:between w:val="nil"/>
        </w:pBdr>
        <w:spacing w:before="200" w:after="0"/>
        <w:rPr>
          <w:b/>
          <w:color w:val="000000"/>
        </w:rPr>
      </w:pPr>
      <w:r>
        <w:rPr>
          <w:b/>
          <w:color w:val="000000"/>
        </w:rPr>
        <w:t>Legislação específica sobre o enfrentamento ao tráfico de pessoas pós-Protocolo de Palermo (2000): análise do Estado de Moçambique</w:t>
      </w:r>
    </w:p>
    <w:p w14:paraId="0C791C8C" w14:textId="77777777" w:rsidR="00FA7300" w:rsidRPr="001E6627" w:rsidRDefault="00FA7300">
      <w:pPr>
        <w:keepNext/>
        <w:keepLines/>
        <w:pBdr>
          <w:top w:val="nil"/>
          <w:left w:val="nil"/>
          <w:bottom w:val="nil"/>
          <w:right w:val="nil"/>
          <w:between w:val="nil"/>
        </w:pBdr>
        <w:spacing w:before="200" w:after="0"/>
        <w:rPr>
          <w:b/>
          <w:color w:val="000000"/>
          <w:sz w:val="4"/>
        </w:rPr>
      </w:pPr>
    </w:p>
    <w:p w14:paraId="1D48DC96" w14:textId="3B9A5BD3" w:rsidR="00FA7300" w:rsidRPr="00FA7300" w:rsidRDefault="00FA7300">
      <w:pPr>
        <w:keepNext/>
        <w:keepLines/>
        <w:pBdr>
          <w:top w:val="nil"/>
          <w:left w:val="nil"/>
          <w:bottom w:val="nil"/>
          <w:right w:val="nil"/>
          <w:between w:val="nil"/>
        </w:pBdr>
        <w:spacing w:before="200" w:after="0"/>
        <w:rPr>
          <w:b/>
          <w:i/>
          <w:color w:val="000000"/>
          <w:lang w:val="en-US"/>
        </w:rPr>
      </w:pPr>
      <w:r w:rsidRPr="00FA7300">
        <w:rPr>
          <w:b/>
          <w:i/>
          <w:color w:val="000000"/>
          <w:lang w:val="en-US"/>
        </w:rPr>
        <w:t xml:space="preserve">Specific legislation targeting human trafficking </w:t>
      </w:r>
      <w:r w:rsidR="009E2F06">
        <w:rPr>
          <w:b/>
          <w:i/>
          <w:color w:val="000000"/>
          <w:lang w:val="en-US"/>
        </w:rPr>
        <w:t>after the approval of</w:t>
      </w:r>
      <w:r w:rsidRPr="00FA7300">
        <w:rPr>
          <w:b/>
          <w:i/>
          <w:color w:val="000000"/>
          <w:lang w:val="en-US"/>
        </w:rPr>
        <w:t xml:space="preserve"> Palermo Protocol</w:t>
      </w:r>
      <w:r w:rsidR="00DE71B4">
        <w:rPr>
          <w:b/>
          <w:i/>
          <w:color w:val="000000"/>
          <w:lang w:val="en-US"/>
        </w:rPr>
        <w:t xml:space="preserve"> 2000</w:t>
      </w:r>
      <w:r w:rsidRPr="00FA7300">
        <w:rPr>
          <w:b/>
          <w:i/>
          <w:color w:val="000000"/>
          <w:lang w:val="en-US"/>
        </w:rPr>
        <w:t>: Mozambique</w:t>
      </w:r>
      <w:r w:rsidR="009E2F06">
        <w:rPr>
          <w:b/>
          <w:i/>
          <w:color w:val="000000"/>
          <w:lang w:val="en-US"/>
        </w:rPr>
        <w:t xml:space="preserve"> State case</w:t>
      </w:r>
      <w:r w:rsidRPr="00FA7300">
        <w:rPr>
          <w:b/>
          <w:i/>
          <w:color w:val="000000"/>
          <w:lang w:val="en-US"/>
        </w:rPr>
        <w:t>.</w:t>
      </w:r>
    </w:p>
    <w:p w14:paraId="60B7B335" w14:textId="77777777" w:rsidR="0064289E" w:rsidRPr="00FA7300" w:rsidRDefault="0064289E">
      <w:pPr>
        <w:keepNext/>
        <w:keepLines/>
        <w:pBdr>
          <w:top w:val="nil"/>
          <w:left w:val="nil"/>
          <w:bottom w:val="nil"/>
          <w:right w:val="nil"/>
          <w:between w:val="nil"/>
        </w:pBdr>
        <w:spacing w:before="200" w:after="0"/>
        <w:rPr>
          <w:b/>
          <w:color w:val="000000"/>
          <w:lang w:val="en-US"/>
        </w:rPr>
      </w:pPr>
    </w:p>
    <w:p w14:paraId="2C980ECB" w14:textId="77777777" w:rsidR="005472EF" w:rsidRDefault="00932FD2">
      <w:pPr>
        <w:spacing w:before="0" w:after="0" w:line="240" w:lineRule="auto"/>
        <w:jc w:val="right"/>
        <w:rPr>
          <w:color w:val="000000"/>
        </w:rPr>
      </w:pPr>
      <w:r>
        <w:rPr>
          <w:color w:val="000000"/>
        </w:rPr>
        <w:t>Guirino Dinis José Nhatave</w:t>
      </w:r>
      <w:r>
        <w:rPr>
          <w:color w:val="000000"/>
          <w:vertAlign w:val="superscript"/>
        </w:rPr>
        <w:footnoteReference w:id="1"/>
      </w:r>
    </w:p>
    <w:p w14:paraId="607C5C7C" w14:textId="77777777" w:rsidR="005472EF" w:rsidRDefault="00932FD2">
      <w:pPr>
        <w:spacing w:before="0" w:after="0" w:line="240" w:lineRule="auto"/>
        <w:jc w:val="right"/>
        <w:rPr>
          <w:color w:val="000000"/>
        </w:rPr>
      </w:pPr>
      <w:r>
        <w:rPr>
          <w:color w:val="000000"/>
        </w:rPr>
        <w:t>Mércia Cardoso de Souza</w:t>
      </w:r>
      <w:r>
        <w:rPr>
          <w:color w:val="000000"/>
          <w:vertAlign w:val="superscript"/>
        </w:rPr>
        <w:footnoteReference w:id="2"/>
      </w:r>
    </w:p>
    <w:p w14:paraId="1DF4D99D" w14:textId="77777777" w:rsidR="005472EF" w:rsidRDefault="00932FD2">
      <w:pPr>
        <w:spacing w:before="0" w:after="0" w:line="240" w:lineRule="auto"/>
        <w:jc w:val="right"/>
        <w:rPr>
          <w:color w:val="000000"/>
        </w:rPr>
      </w:pPr>
      <w:r>
        <w:rPr>
          <w:color w:val="000000"/>
        </w:rPr>
        <w:t>Francisco Horácio da Silva Frota</w:t>
      </w:r>
      <w:r>
        <w:rPr>
          <w:color w:val="000000"/>
          <w:vertAlign w:val="superscript"/>
        </w:rPr>
        <w:footnoteReference w:id="3"/>
      </w:r>
    </w:p>
    <w:p w14:paraId="554D2A56" w14:textId="67F1E6D3" w:rsidR="005472EF" w:rsidRDefault="0064289E">
      <w:pPr>
        <w:spacing w:before="240" w:after="240" w:line="240" w:lineRule="auto"/>
        <w:rPr>
          <w:b/>
          <w:color w:val="000000"/>
        </w:rPr>
      </w:pPr>
      <w:r>
        <w:rPr>
          <w:b/>
          <w:color w:val="000000"/>
        </w:rPr>
        <w:t>Resumo</w:t>
      </w:r>
    </w:p>
    <w:p w14:paraId="0C5DF7F7" w14:textId="599368BE" w:rsidR="005472EF" w:rsidRPr="00AE1123" w:rsidRDefault="00932FD2">
      <w:pPr>
        <w:spacing w:before="240" w:after="240" w:line="240" w:lineRule="auto"/>
        <w:rPr>
          <w:color w:val="000000"/>
          <w:sz w:val="20"/>
          <w:szCs w:val="20"/>
        </w:rPr>
      </w:pPr>
      <w:r w:rsidRPr="00AE1123">
        <w:rPr>
          <w:color w:val="000000"/>
          <w:sz w:val="20"/>
          <w:szCs w:val="20"/>
        </w:rPr>
        <w:t>O Protocolo de Palermo (2000) informa que uma ação eficaz para prevenir e combater o tráfico de pessoas exige por parte dos países de origem, trânsito e destino uma abordagem global e internacional, mediante a garantia dos direitos humanos das vítimas, internacionalmente protegidos. Nesse sentido, o Protocolo prevê no artigo 9º, que os Estados</w:t>
      </w:r>
      <w:r w:rsidR="002453C9" w:rsidRPr="00AE1123">
        <w:rPr>
          <w:color w:val="000000"/>
          <w:sz w:val="20"/>
          <w:szCs w:val="20"/>
        </w:rPr>
        <w:t>-Membros</w:t>
      </w:r>
      <w:r w:rsidRPr="00AE1123">
        <w:rPr>
          <w:color w:val="000000"/>
          <w:sz w:val="20"/>
          <w:szCs w:val="20"/>
        </w:rPr>
        <w:t xml:space="preserve"> deverão estabelecer políticas, programas e outras medidas abrangentes para prevenir e combater o tráfico de pessoas e proteger as vítimas de tráfico de pessoas. Esse instrumento permitiu avançar no enfrentamento ao tráfico de pessoas uma vez que articula e inspira ações dos Estados e outros atores no enfrentamento a essa prática que viola a dignidade da pessoa. Mediante o recurso a pesquisa bibliográfica e documental o artigo tem em vista proceder a análise da legislação moçambicana sobre a prevenção e combate ao tráfico de pessoas, especialmente mulheres e crianças. A pesquisa concluiu que o Protocolo de Palermo (2000) influenciou Moçambique na elaboração de um conceito de tráfico de pessoas e na formulação de políticas públicas, apesar de existirem lacunas decorrentes da falta de regulamentação da Lei específica, assim como a inexistência de um Plano de ação para o seu enfrentamento. </w:t>
      </w:r>
      <w:r w:rsidR="00F37949">
        <w:rPr>
          <w:color w:val="000000"/>
          <w:sz w:val="20"/>
          <w:szCs w:val="20"/>
        </w:rPr>
        <w:t>Denota-se</w:t>
      </w:r>
      <w:r w:rsidRPr="00AE1123">
        <w:rPr>
          <w:color w:val="000000"/>
          <w:sz w:val="20"/>
          <w:szCs w:val="20"/>
        </w:rPr>
        <w:t>, igualmente, que o não envio de informações sobre os casos julgados para a base de dados d</w:t>
      </w:r>
      <w:r w:rsidR="00EA4BA0" w:rsidRPr="00AE1123">
        <w:rPr>
          <w:color w:val="000000"/>
          <w:sz w:val="20"/>
          <w:szCs w:val="20"/>
        </w:rPr>
        <w:t>o</w:t>
      </w:r>
      <w:r w:rsidRPr="00AE1123">
        <w:rPr>
          <w:color w:val="000000"/>
          <w:sz w:val="20"/>
          <w:szCs w:val="20"/>
        </w:rPr>
        <w:t xml:space="preserve"> UNODC minimiza os esforços do país no enfrentamento ao tráfico de pessoas.</w:t>
      </w:r>
    </w:p>
    <w:p w14:paraId="0BFE8697" w14:textId="17A9293B" w:rsidR="005472EF" w:rsidRPr="009E2F06" w:rsidRDefault="00AE1123">
      <w:pPr>
        <w:spacing w:before="240" w:after="240" w:line="240" w:lineRule="auto"/>
        <w:rPr>
          <w:color w:val="000000"/>
          <w:sz w:val="22"/>
          <w:szCs w:val="22"/>
          <w:lang w:val="en-US"/>
        </w:rPr>
      </w:pPr>
      <w:bookmarkStart w:id="0" w:name="_gjdgxs" w:colFirst="0" w:colLast="0"/>
      <w:bookmarkEnd w:id="0"/>
      <w:r w:rsidRPr="00AE1123">
        <w:rPr>
          <w:b/>
          <w:color w:val="000000"/>
          <w:sz w:val="22"/>
          <w:szCs w:val="22"/>
        </w:rPr>
        <w:t>Palavras-c</w:t>
      </w:r>
      <w:r w:rsidR="00932FD2" w:rsidRPr="00AE1123">
        <w:rPr>
          <w:b/>
          <w:color w:val="000000"/>
          <w:sz w:val="22"/>
          <w:szCs w:val="22"/>
        </w:rPr>
        <w:t>have:</w:t>
      </w:r>
      <w:r w:rsidR="00932FD2" w:rsidRPr="00AE1123">
        <w:rPr>
          <w:color w:val="000000"/>
          <w:sz w:val="22"/>
          <w:szCs w:val="22"/>
        </w:rPr>
        <w:t xml:space="preserve"> Protocolo de Palermo. Lei </w:t>
      </w:r>
      <w:r w:rsidR="00F01EBF" w:rsidRPr="00AE1123">
        <w:rPr>
          <w:color w:val="000000"/>
          <w:sz w:val="22"/>
          <w:szCs w:val="22"/>
        </w:rPr>
        <w:t xml:space="preserve">n. </w:t>
      </w:r>
      <w:r w:rsidR="00932FD2" w:rsidRPr="00AE1123">
        <w:rPr>
          <w:color w:val="000000"/>
          <w:sz w:val="22"/>
          <w:szCs w:val="22"/>
        </w:rPr>
        <w:t xml:space="preserve">6/2008. </w:t>
      </w:r>
      <w:r w:rsidR="00F01EBF" w:rsidRPr="00AE1123">
        <w:rPr>
          <w:color w:val="000000"/>
          <w:sz w:val="22"/>
          <w:szCs w:val="22"/>
        </w:rPr>
        <w:t xml:space="preserve">Tráfico de pessoas. </w:t>
      </w:r>
      <w:proofErr w:type="spellStart"/>
      <w:r w:rsidR="00932FD2" w:rsidRPr="009E2F06">
        <w:rPr>
          <w:color w:val="000000"/>
          <w:sz w:val="22"/>
          <w:szCs w:val="22"/>
          <w:lang w:val="en-US"/>
        </w:rPr>
        <w:t>Moçambique</w:t>
      </w:r>
      <w:proofErr w:type="spellEnd"/>
      <w:r w:rsidR="00932FD2" w:rsidRPr="009E2F06">
        <w:rPr>
          <w:color w:val="000000"/>
          <w:sz w:val="22"/>
          <w:szCs w:val="22"/>
          <w:lang w:val="en-US"/>
        </w:rPr>
        <w:t>.</w:t>
      </w:r>
    </w:p>
    <w:p w14:paraId="269278FE" w14:textId="4EA77156" w:rsidR="0064289E" w:rsidRPr="009E2F06" w:rsidRDefault="0064289E">
      <w:pPr>
        <w:spacing w:before="240" w:after="240" w:line="240" w:lineRule="auto"/>
        <w:rPr>
          <w:b/>
          <w:i/>
          <w:color w:val="000000"/>
          <w:sz w:val="22"/>
          <w:szCs w:val="22"/>
          <w:lang w:val="en-US"/>
        </w:rPr>
      </w:pPr>
      <w:bookmarkStart w:id="1" w:name="_30j0zll" w:colFirst="0" w:colLast="0"/>
      <w:bookmarkEnd w:id="1"/>
      <w:r w:rsidRPr="009E2F06">
        <w:rPr>
          <w:b/>
          <w:i/>
          <w:color w:val="000000"/>
          <w:sz w:val="22"/>
          <w:szCs w:val="22"/>
          <w:lang w:val="en-US"/>
        </w:rPr>
        <w:lastRenderedPageBreak/>
        <w:t>Abstract</w:t>
      </w:r>
    </w:p>
    <w:p w14:paraId="547CAFAC" w14:textId="48AE3AD1" w:rsidR="0064289E" w:rsidRPr="00F37949" w:rsidRDefault="0064289E" w:rsidP="0064289E">
      <w:pPr>
        <w:spacing w:before="240" w:after="240" w:line="240" w:lineRule="auto"/>
        <w:rPr>
          <w:i/>
          <w:color w:val="000000"/>
          <w:sz w:val="22"/>
          <w:szCs w:val="22"/>
          <w:lang w:val="en-US"/>
        </w:rPr>
      </w:pPr>
      <w:r w:rsidRPr="00F37949">
        <w:rPr>
          <w:i/>
          <w:color w:val="000000"/>
          <w:sz w:val="22"/>
          <w:szCs w:val="22"/>
          <w:lang w:val="en-US"/>
        </w:rPr>
        <w:t>The Palermo Protocol (2000) informs that effective action to prevent and combat trafficking in persons requires countries of origin, transit and destination to take a global and international approach, guaranteeing the human rights of victims, who are internationally protected. Accordingly, the Protocol provides in Article 9 that Member States should establish policies, programs and other comprehensive measures to prevent and combat trafficking in persons and to protect victims of trafficking in persons. This instrument has made it possible to advance in the fight against human trafficking, since it articulates and inspires actions by States and other actors in fighting this practice that violates the dignity of the person. Through the use of bibliographic and documentary research, the article aims to analyze Mozambican legislation on preventing and combating trafficking in persons, especially women and children. The research concluded that the Palermo Protocol (2000) influenced Mozambique in the elaboration of a concept of human trafficking and in the formulation of public policies, despite the existence of gaps resulting from the lack of regulation of the specific Law,</w:t>
      </w:r>
      <w:r w:rsidR="00F37949">
        <w:rPr>
          <w:i/>
          <w:color w:val="000000"/>
          <w:sz w:val="22"/>
          <w:szCs w:val="22"/>
          <w:lang w:val="en-US"/>
        </w:rPr>
        <w:t xml:space="preserve"> as well as the inexistence of National Action Plan to Combat Human Trafficking</w:t>
      </w:r>
      <w:r w:rsidRPr="00F37949">
        <w:rPr>
          <w:i/>
          <w:color w:val="000000"/>
          <w:sz w:val="22"/>
          <w:szCs w:val="22"/>
          <w:lang w:val="en-US"/>
        </w:rPr>
        <w:t>. It also denotes that the failure to send information on tried cases to the UNODC database minimizes the country's efforts to combat human trafficking.</w:t>
      </w:r>
    </w:p>
    <w:p w14:paraId="0448DBC0" w14:textId="4E6C29F5" w:rsidR="005472EF" w:rsidRPr="00F37949" w:rsidRDefault="0064289E" w:rsidP="0064289E">
      <w:pPr>
        <w:spacing w:before="240" w:after="240" w:line="240" w:lineRule="auto"/>
        <w:rPr>
          <w:i/>
          <w:color w:val="000000"/>
          <w:sz w:val="22"/>
          <w:szCs w:val="22"/>
        </w:rPr>
      </w:pPr>
      <w:r w:rsidRPr="00F37949">
        <w:rPr>
          <w:b/>
          <w:i/>
          <w:color w:val="000000"/>
          <w:sz w:val="22"/>
          <w:szCs w:val="22"/>
          <w:lang w:val="en-US"/>
        </w:rPr>
        <w:t>Keywords:</w:t>
      </w:r>
      <w:r w:rsidRPr="00F37949">
        <w:rPr>
          <w:i/>
          <w:color w:val="000000"/>
          <w:sz w:val="22"/>
          <w:szCs w:val="22"/>
          <w:lang w:val="en-US"/>
        </w:rPr>
        <w:t xml:space="preserve"> Palermo Protocol. Law no. 6/2008. Trafficking in persons. </w:t>
      </w:r>
      <w:proofErr w:type="spellStart"/>
      <w:r w:rsidRPr="00F37949">
        <w:rPr>
          <w:i/>
          <w:color w:val="000000"/>
          <w:sz w:val="22"/>
          <w:szCs w:val="22"/>
        </w:rPr>
        <w:t>Mozambique</w:t>
      </w:r>
      <w:proofErr w:type="spellEnd"/>
      <w:r w:rsidRPr="00F37949">
        <w:rPr>
          <w:i/>
          <w:color w:val="000000"/>
          <w:sz w:val="22"/>
          <w:szCs w:val="22"/>
        </w:rPr>
        <w:t>.</w:t>
      </w:r>
    </w:p>
    <w:p w14:paraId="7A2315C9" w14:textId="77777777" w:rsidR="005472EF" w:rsidRDefault="005472EF">
      <w:pPr>
        <w:spacing w:before="240" w:after="240" w:line="240" w:lineRule="auto"/>
        <w:rPr>
          <w:color w:val="000000"/>
          <w:sz w:val="22"/>
          <w:szCs w:val="22"/>
        </w:rPr>
      </w:pPr>
    </w:p>
    <w:p w14:paraId="2F07B356" w14:textId="77777777" w:rsidR="005472EF" w:rsidRDefault="005472EF">
      <w:pPr>
        <w:spacing w:before="240" w:after="240" w:line="240" w:lineRule="auto"/>
        <w:rPr>
          <w:color w:val="000000"/>
          <w:sz w:val="22"/>
          <w:szCs w:val="22"/>
        </w:rPr>
      </w:pPr>
    </w:p>
    <w:p w14:paraId="663C8E9E" w14:textId="77777777" w:rsidR="0064289E" w:rsidRDefault="0064289E">
      <w:pPr>
        <w:spacing w:before="240" w:after="240" w:line="240" w:lineRule="auto"/>
        <w:rPr>
          <w:color w:val="000000"/>
          <w:sz w:val="22"/>
          <w:szCs w:val="22"/>
        </w:rPr>
      </w:pPr>
    </w:p>
    <w:p w14:paraId="3C383AD6" w14:textId="77777777" w:rsidR="0064289E" w:rsidRDefault="0064289E">
      <w:pPr>
        <w:spacing w:before="240" w:after="240" w:line="240" w:lineRule="auto"/>
        <w:rPr>
          <w:color w:val="000000"/>
          <w:sz w:val="22"/>
          <w:szCs w:val="22"/>
        </w:rPr>
      </w:pPr>
    </w:p>
    <w:p w14:paraId="5435EBBF" w14:textId="77777777" w:rsidR="0064289E" w:rsidRDefault="0064289E">
      <w:pPr>
        <w:spacing w:before="240" w:after="240" w:line="240" w:lineRule="auto"/>
        <w:rPr>
          <w:color w:val="000000"/>
          <w:sz w:val="22"/>
          <w:szCs w:val="22"/>
        </w:rPr>
      </w:pPr>
    </w:p>
    <w:p w14:paraId="33A1ED95" w14:textId="77777777" w:rsidR="0064289E" w:rsidRDefault="0064289E">
      <w:pPr>
        <w:spacing w:before="240" w:after="240" w:line="240" w:lineRule="auto"/>
        <w:rPr>
          <w:color w:val="000000"/>
          <w:sz w:val="22"/>
          <w:szCs w:val="22"/>
        </w:rPr>
      </w:pPr>
    </w:p>
    <w:p w14:paraId="662435E2" w14:textId="77777777" w:rsidR="0064289E" w:rsidRDefault="0064289E">
      <w:pPr>
        <w:spacing w:before="240" w:after="240" w:line="240" w:lineRule="auto"/>
        <w:rPr>
          <w:color w:val="000000"/>
          <w:sz w:val="22"/>
          <w:szCs w:val="22"/>
        </w:rPr>
      </w:pPr>
    </w:p>
    <w:p w14:paraId="16340741" w14:textId="77777777" w:rsidR="0064289E" w:rsidRDefault="0064289E">
      <w:pPr>
        <w:spacing w:before="240" w:after="240" w:line="240" w:lineRule="auto"/>
        <w:rPr>
          <w:color w:val="000000"/>
          <w:sz w:val="22"/>
          <w:szCs w:val="22"/>
        </w:rPr>
      </w:pPr>
    </w:p>
    <w:p w14:paraId="65070E85" w14:textId="77777777" w:rsidR="0064289E" w:rsidRDefault="0064289E">
      <w:pPr>
        <w:spacing w:before="240" w:after="240" w:line="240" w:lineRule="auto"/>
        <w:rPr>
          <w:color w:val="000000"/>
          <w:sz w:val="22"/>
          <w:szCs w:val="22"/>
        </w:rPr>
      </w:pPr>
    </w:p>
    <w:p w14:paraId="5AC4F036" w14:textId="77777777" w:rsidR="0064289E" w:rsidRDefault="0064289E">
      <w:pPr>
        <w:spacing w:before="240" w:after="240" w:line="240" w:lineRule="auto"/>
        <w:rPr>
          <w:color w:val="000000"/>
          <w:sz w:val="22"/>
          <w:szCs w:val="22"/>
        </w:rPr>
      </w:pPr>
    </w:p>
    <w:p w14:paraId="50403709" w14:textId="77777777" w:rsidR="0064289E" w:rsidRDefault="0064289E">
      <w:pPr>
        <w:spacing w:before="240" w:after="240" w:line="240" w:lineRule="auto"/>
        <w:rPr>
          <w:color w:val="000000"/>
          <w:sz w:val="22"/>
          <w:szCs w:val="22"/>
        </w:rPr>
      </w:pPr>
    </w:p>
    <w:p w14:paraId="4A8C31EE" w14:textId="77777777" w:rsidR="0064289E" w:rsidRDefault="0064289E">
      <w:pPr>
        <w:spacing w:before="240" w:after="240" w:line="240" w:lineRule="auto"/>
        <w:rPr>
          <w:color w:val="000000"/>
          <w:sz w:val="22"/>
          <w:szCs w:val="22"/>
        </w:rPr>
      </w:pPr>
    </w:p>
    <w:p w14:paraId="7F64533F" w14:textId="77777777" w:rsidR="0064289E" w:rsidRDefault="0064289E">
      <w:pPr>
        <w:spacing w:before="240" w:after="240" w:line="240" w:lineRule="auto"/>
        <w:rPr>
          <w:color w:val="000000"/>
          <w:sz w:val="22"/>
          <w:szCs w:val="22"/>
        </w:rPr>
      </w:pPr>
    </w:p>
    <w:p w14:paraId="46DA8548" w14:textId="77777777" w:rsidR="0064289E" w:rsidRDefault="0064289E">
      <w:pPr>
        <w:spacing w:before="240" w:after="240" w:line="240" w:lineRule="auto"/>
        <w:rPr>
          <w:color w:val="000000"/>
          <w:sz w:val="22"/>
          <w:szCs w:val="22"/>
        </w:rPr>
      </w:pPr>
    </w:p>
    <w:p w14:paraId="2B7A5F66" w14:textId="77777777" w:rsidR="001E6627" w:rsidRDefault="001E6627">
      <w:pPr>
        <w:spacing w:before="240" w:after="240" w:line="240" w:lineRule="auto"/>
        <w:rPr>
          <w:color w:val="000000"/>
          <w:sz w:val="22"/>
          <w:szCs w:val="22"/>
        </w:rPr>
      </w:pPr>
    </w:p>
    <w:p w14:paraId="4837FC7D" w14:textId="77777777" w:rsidR="0064289E" w:rsidRDefault="0064289E">
      <w:pPr>
        <w:spacing w:before="240" w:after="240" w:line="240" w:lineRule="auto"/>
        <w:rPr>
          <w:color w:val="000000"/>
          <w:sz w:val="22"/>
          <w:szCs w:val="22"/>
        </w:rPr>
      </w:pPr>
    </w:p>
    <w:p w14:paraId="5577B2B2" w14:textId="77777777" w:rsidR="005472EF" w:rsidRDefault="00932FD2">
      <w:pPr>
        <w:pBdr>
          <w:top w:val="nil"/>
          <w:left w:val="nil"/>
          <w:bottom w:val="nil"/>
          <w:right w:val="nil"/>
          <w:between w:val="nil"/>
        </w:pBdr>
        <w:tabs>
          <w:tab w:val="left" w:pos="851"/>
        </w:tabs>
        <w:spacing w:before="240" w:after="240"/>
        <w:ind w:left="709"/>
        <w:rPr>
          <w:b/>
          <w:color w:val="000000"/>
        </w:rPr>
      </w:pPr>
      <w:r>
        <w:rPr>
          <w:b/>
          <w:color w:val="000000"/>
        </w:rPr>
        <w:t>1. Introdução</w:t>
      </w:r>
    </w:p>
    <w:p w14:paraId="6C0F494D" w14:textId="77777777" w:rsidR="005472EF" w:rsidRDefault="00932FD2">
      <w:pPr>
        <w:tabs>
          <w:tab w:val="left" w:pos="851"/>
        </w:tabs>
        <w:spacing w:before="240" w:after="240"/>
        <w:ind w:firstLine="284"/>
        <w:rPr>
          <w:color w:val="000000"/>
          <w:highlight w:val="white"/>
        </w:rPr>
      </w:pPr>
      <w:r>
        <w:rPr>
          <w:color w:val="000000"/>
          <w:highlight w:val="white"/>
        </w:rPr>
        <w:tab/>
        <w:t>O tráfico de pessoas vem preocupando todo o mundo, conforme divulgado nos vários Relatórios elaborados pelo Escritório sobre Drogas e Crimes da Organização das Nações Unidas (UNODC)</w:t>
      </w:r>
      <w:r>
        <w:rPr>
          <w:color w:val="000000"/>
          <w:highlight w:val="white"/>
          <w:vertAlign w:val="superscript"/>
        </w:rPr>
        <w:footnoteReference w:id="4"/>
      </w:r>
      <w:r>
        <w:rPr>
          <w:color w:val="000000"/>
          <w:highlight w:val="white"/>
        </w:rPr>
        <w:t>. O recente Relatório Global sobre Tráfico de Pessoas de 2018 aponta que mais de 70% das pessoas afetadas pelo tráfico em nível global é do sexo feminino. Os dados evidenciam que o tráfico de pessoas tem afetado mais seres humanos a cada ano, possuindo o recorte de gênero, vez que a maior parte das vítimas é composta por mulheres adultas (49%) e adolescentes (meninas) (23%). Os homens constituem 21% das vítimas e os meninos 7%</w:t>
      </w:r>
      <w:r>
        <w:rPr>
          <w:color w:val="000000"/>
          <w:highlight w:val="white"/>
          <w:vertAlign w:val="superscript"/>
        </w:rPr>
        <w:footnoteReference w:id="5"/>
      </w:r>
      <w:r>
        <w:rPr>
          <w:color w:val="000000"/>
          <w:highlight w:val="white"/>
        </w:rPr>
        <w:t>.</w:t>
      </w:r>
    </w:p>
    <w:p w14:paraId="217C0BBB" w14:textId="7CBF845D" w:rsidR="005472EF" w:rsidRDefault="00932FD2">
      <w:pPr>
        <w:tabs>
          <w:tab w:val="left" w:pos="851"/>
        </w:tabs>
        <w:spacing w:before="240" w:after="240"/>
        <w:ind w:right="120"/>
        <w:rPr>
          <w:color w:val="000000"/>
          <w:highlight w:val="white"/>
        </w:rPr>
      </w:pPr>
      <w:r>
        <w:rPr>
          <w:color w:val="000000"/>
          <w:highlight w:val="white"/>
        </w:rPr>
        <w:t xml:space="preserve">        </w:t>
      </w:r>
      <w:r>
        <w:rPr>
          <w:color w:val="000000"/>
          <w:highlight w:val="white"/>
        </w:rPr>
        <w:tab/>
      </w:r>
      <w:r w:rsidRPr="00432563">
        <w:rPr>
          <w:color w:val="000000"/>
        </w:rPr>
        <w:t>Enquanto a maioria das vítimas de exploração sexual é do sexo feminino, os homens formam o maior grupo nos casos de trabalho forçado. Embora a finalidade mais divulgada seja o tráfico de pessoas para exploração sexual, milhares de vítimas também trabalham em condições análogas à escravidão em serviços domésticos e em setores como mineração, pesca e, por vezes, são utilizadas para a mendicância infantil e o tráfico para remoção de órgãos humanos.</w:t>
      </w:r>
      <w:r w:rsidRPr="00432563">
        <w:rPr>
          <w:color w:val="000000"/>
          <w:vertAlign w:val="superscript"/>
        </w:rPr>
        <w:footnoteReference w:id="6"/>
      </w:r>
      <w:r w:rsidRPr="00432563">
        <w:rPr>
          <w:color w:val="000000"/>
        </w:rPr>
        <w:t xml:space="preserve"> As mesmas finalidades são relatadas pelos Relatórios sobre </w:t>
      </w:r>
      <w:r w:rsidRPr="00432563">
        <w:rPr>
          <w:color w:val="000000"/>
        </w:rPr>
        <w:lastRenderedPageBreak/>
        <w:t>Tráfico de Pessoas de 2016</w:t>
      </w:r>
      <w:r w:rsidRPr="00432563">
        <w:rPr>
          <w:color w:val="000000"/>
          <w:vertAlign w:val="superscript"/>
        </w:rPr>
        <w:footnoteReference w:id="7"/>
      </w:r>
      <w:r w:rsidRPr="00432563">
        <w:rPr>
          <w:color w:val="000000"/>
        </w:rPr>
        <w:t>, 2014</w:t>
      </w:r>
      <w:r w:rsidRPr="00432563">
        <w:rPr>
          <w:color w:val="000000"/>
          <w:vertAlign w:val="superscript"/>
        </w:rPr>
        <w:footnoteReference w:id="8"/>
      </w:r>
      <w:r w:rsidRPr="00432563">
        <w:rPr>
          <w:color w:val="000000"/>
        </w:rPr>
        <w:t xml:space="preserve"> e 2012</w:t>
      </w:r>
      <w:r w:rsidRPr="00432563">
        <w:rPr>
          <w:color w:val="000000"/>
          <w:vertAlign w:val="superscript"/>
        </w:rPr>
        <w:footnoteReference w:id="9"/>
      </w:r>
      <w:r w:rsidRPr="00432563">
        <w:rPr>
          <w:color w:val="000000"/>
        </w:rPr>
        <w:t xml:space="preserve">, sendo que os </w:t>
      </w:r>
      <w:r w:rsidR="00901223" w:rsidRPr="00432563">
        <w:rPr>
          <w:color w:val="000000"/>
        </w:rPr>
        <w:t>citados Relatórios</w:t>
      </w:r>
      <w:r w:rsidRPr="00432563">
        <w:rPr>
          <w:color w:val="000000"/>
        </w:rPr>
        <w:t xml:space="preserve"> </w:t>
      </w:r>
      <w:r w:rsidR="00901223" w:rsidRPr="00432563">
        <w:rPr>
          <w:color w:val="000000"/>
        </w:rPr>
        <w:t>constatam</w:t>
      </w:r>
      <w:r w:rsidRPr="00432563">
        <w:rPr>
          <w:color w:val="000000"/>
        </w:rPr>
        <w:t xml:space="preserve"> </w:t>
      </w:r>
      <w:r w:rsidR="00901223" w:rsidRPr="00432563">
        <w:rPr>
          <w:color w:val="000000"/>
        </w:rPr>
        <w:t>o</w:t>
      </w:r>
      <w:r w:rsidRPr="00432563">
        <w:rPr>
          <w:color w:val="000000"/>
        </w:rPr>
        <w:t xml:space="preserve"> aumento de casos de trabalho forçado e da exploração sexual.</w:t>
      </w:r>
    </w:p>
    <w:p w14:paraId="2EDAC90B" w14:textId="37EC0BC4" w:rsidR="005472EF" w:rsidRPr="00432563" w:rsidRDefault="00932FD2">
      <w:pPr>
        <w:tabs>
          <w:tab w:val="left" w:pos="851"/>
        </w:tabs>
        <w:spacing w:before="240" w:after="240"/>
        <w:ind w:right="120"/>
        <w:rPr>
          <w:color w:val="000000"/>
        </w:rPr>
      </w:pPr>
      <w:r>
        <w:rPr>
          <w:color w:val="000000"/>
          <w:highlight w:val="white"/>
        </w:rPr>
        <w:t xml:space="preserve">        </w:t>
      </w:r>
      <w:r>
        <w:rPr>
          <w:color w:val="000000"/>
          <w:highlight w:val="white"/>
        </w:rPr>
        <w:tab/>
      </w:r>
      <w:r w:rsidRPr="00432563">
        <w:rPr>
          <w:color w:val="000000"/>
        </w:rPr>
        <w:t xml:space="preserve">Ressalte-se que um dos continentes onde há uma escassez de dados sobre o tráfico de pessoas e, consequentemente, lacunas significativas de conhecimento relacionadas ao panorama e fluxos de tráfico de pessoas é o Africano, notadamente a África Subsaariana, além do Sul da Ásia e de algumas partes da Ásia Oriental. </w:t>
      </w:r>
      <w:r w:rsidR="007F2142" w:rsidRPr="00432563">
        <w:rPr>
          <w:color w:val="000000"/>
        </w:rPr>
        <w:t>Em vista disso,</w:t>
      </w:r>
      <w:r w:rsidRPr="00432563">
        <w:rPr>
          <w:color w:val="000000"/>
        </w:rPr>
        <w:t xml:space="preserve"> o Relatório sobre Tráfico de Pessoas de 2018 sugere como forma de minimizar esse problema, o desenvolvimento de pesquisas de campo e o reforço dos sistemas estatísticos nacionais sobre criminalidade e justiça penal</w:t>
      </w:r>
      <w:r w:rsidRPr="00432563">
        <w:rPr>
          <w:color w:val="000000"/>
          <w:vertAlign w:val="superscript"/>
        </w:rPr>
        <w:footnoteReference w:id="10"/>
      </w:r>
      <w:r w:rsidRPr="00432563">
        <w:rPr>
          <w:color w:val="000000"/>
        </w:rPr>
        <w:t>.</w:t>
      </w:r>
    </w:p>
    <w:p w14:paraId="1A5F891C" w14:textId="68EA1996" w:rsidR="005472EF" w:rsidRPr="00432563" w:rsidRDefault="00932FD2">
      <w:pPr>
        <w:tabs>
          <w:tab w:val="left" w:pos="851"/>
        </w:tabs>
        <w:spacing w:before="240" w:after="240"/>
        <w:ind w:right="120"/>
        <w:rPr>
          <w:color w:val="000000"/>
        </w:rPr>
      </w:pPr>
      <w:r w:rsidRPr="00432563">
        <w:rPr>
          <w:color w:val="000000"/>
        </w:rPr>
        <w:t xml:space="preserve">        </w:t>
      </w:r>
      <w:r w:rsidRPr="00432563">
        <w:rPr>
          <w:color w:val="000000"/>
        </w:rPr>
        <w:tab/>
        <w:t>Em síntese, as formas predominantes de tráfico humano na África são: trabalho forçado em maior grau; exploração sexual; remoção de órgãos; mendicância infantil</w:t>
      </w:r>
      <w:r w:rsidRPr="00432563">
        <w:rPr>
          <w:color w:val="000000"/>
          <w:vertAlign w:val="superscript"/>
        </w:rPr>
        <w:footnoteReference w:id="11"/>
      </w:r>
      <w:r w:rsidRPr="00432563">
        <w:rPr>
          <w:color w:val="000000"/>
        </w:rPr>
        <w:t>. Já, na África Austral foram identificados casos de tráfico para rituais e práticas tradicionais</w:t>
      </w:r>
      <w:r w:rsidRPr="00432563">
        <w:rPr>
          <w:color w:val="000000"/>
          <w:vertAlign w:val="superscript"/>
        </w:rPr>
        <w:footnoteReference w:id="12"/>
      </w:r>
      <w:r w:rsidRPr="00432563">
        <w:rPr>
          <w:color w:val="000000"/>
        </w:rPr>
        <w:t xml:space="preserve">, mas também casos em que as vítimas são sujeitas à exploração sexual, à exploração laboral e ao trabalho forçado, sendo que as vítimas </w:t>
      </w:r>
      <w:r w:rsidR="00AF6376" w:rsidRPr="00432563">
        <w:rPr>
          <w:color w:val="000000"/>
        </w:rPr>
        <w:t>do sexo feminino</w:t>
      </w:r>
      <w:r w:rsidRPr="00432563">
        <w:rPr>
          <w:color w:val="000000"/>
        </w:rPr>
        <w:t xml:space="preserve">, especialmente </w:t>
      </w:r>
      <w:r w:rsidR="00432563" w:rsidRPr="00432563">
        <w:rPr>
          <w:color w:val="000000"/>
        </w:rPr>
        <w:t>adolescentes</w:t>
      </w:r>
      <w:r w:rsidRPr="00432563">
        <w:rPr>
          <w:color w:val="000000"/>
        </w:rPr>
        <w:t>, são mais propensas à exploração sexual comercial e ao casamento, enquanto as vítimas do sexo masculino ao trabalho forçado</w:t>
      </w:r>
      <w:r w:rsidRPr="00432563">
        <w:rPr>
          <w:color w:val="000000"/>
          <w:vertAlign w:val="superscript"/>
        </w:rPr>
        <w:footnoteReference w:id="13"/>
      </w:r>
      <w:r w:rsidRPr="00432563">
        <w:rPr>
          <w:color w:val="000000"/>
        </w:rPr>
        <w:t>.</w:t>
      </w:r>
    </w:p>
    <w:p w14:paraId="5E1BB00A" w14:textId="3DF3676A" w:rsidR="005472EF" w:rsidRDefault="00932FD2">
      <w:pPr>
        <w:tabs>
          <w:tab w:val="left" w:pos="851"/>
        </w:tabs>
        <w:spacing w:before="240" w:after="240"/>
        <w:ind w:right="120" w:firstLine="709"/>
        <w:rPr>
          <w:color w:val="000000"/>
          <w:highlight w:val="white"/>
        </w:rPr>
      </w:pPr>
      <w:r>
        <w:rPr>
          <w:color w:val="000000"/>
        </w:rPr>
        <w:lastRenderedPageBreak/>
        <w:t xml:space="preserve">O tráfico de pessoas na região da África Austral é condicionado por uma variedade de fatores. O estudo elaborado pela </w:t>
      </w:r>
      <w:r>
        <w:rPr>
          <w:i/>
          <w:color w:val="000000"/>
        </w:rPr>
        <w:t xml:space="preserve">Southern </w:t>
      </w:r>
      <w:proofErr w:type="spellStart"/>
      <w:r>
        <w:rPr>
          <w:i/>
          <w:color w:val="000000"/>
        </w:rPr>
        <w:t>African</w:t>
      </w:r>
      <w:proofErr w:type="spellEnd"/>
      <w:r>
        <w:rPr>
          <w:i/>
          <w:color w:val="000000"/>
        </w:rPr>
        <w:t xml:space="preserve"> </w:t>
      </w:r>
      <w:proofErr w:type="spellStart"/>
      <w:r>
        <w:rPr>
          <w:i/>
          <w:color w:val="000000"/>
        </w:rPr>
        <w:t>Development</w:t>
      </w:r>
      <w:proofErr w:type="spellEnd"/>
      <w:r>
        <w:rPr>
          <w:i/>
          <w:color w:val="000000"/>
        </w:rPr>
        <w:t xml:space="preserve"> Community</w:t>
      </w:r>
      <w:r>
        <w:rPr>
          <w:i/>
          <w:color w:val="000000"/>
          <w:vertAlign w:val="superscript"/>
        </w:rPr>
        <w:footnoteReference w:id="14"/>
      </w:r>
      <w:r>
        <w:rPr>
          <w:i/>
          <w:color w:val="000000"/>
        </w:rPr>
        <w:t xml:space="preserve"> </w:t>
      </w:r>
      <w:r>
        <w:rPr>
          <w:color w:val="000000"/>
        </w:rPr>
        <w:t xml:space="preserve">em 2016 identificou com a pobreza, o desemprego, calamidades naturais (inundações e secas), a </w:t>
      </w:r>
      <w:r w:rsidRPr="00432563">
        <w:rPr>
          <w:color w:val="000000"/>
        </w:rPr>
        <w:t>instabilidade política nos países de origem e a falta de oportunidades de geração de rendimentos, associados a outros fatores de pressão que incluem a pandemia de HIV/SIDA. De acordo, com a Organização das Nações Unidas para a Educação, a Ciência e Cultura</w:t>
      </w:r>
      <w:r w:rsidR="003E6334" w:rsidRPr="00432563">
        <w:rPr>
          <w:color w:val="000000"/>
        </w:rPr>
        <w:t xml:space="preserve"> (UNESCO)</w:t>
      </w:r>
      <w:r w:rsidRPr="00432563">
        <w:rPr>
          <w:color w:val="000000"/>
        </w:rPr>
        <w:t>,</w:t>
      </w:r>
    </w:p>
    <w:p w14:paraId="673D6AAA" w14:textId="0CF36F6B" w:rsidR="005472EF" w:rsidRPr="00432563" w:rsidRDefault="00932FD2" w:rsidP="003974D4">
      <w:pPr>
        <w:pStyle w:val="SemEspaamento"/>
        <w:ind w:left="1418"/>
        <w:rPr>
          <w:color w:val="auto"/>
          <w:sz w:val="22"/>
        </w:rPr>
      </w:pPr>
      <w:r w:rsidRPr="00432563">
        <w:rPr>
          <w:color w:val="auto"/>
          <w:sz w:val="22"/>
        </w:rPr>
        <w:t xml:space="preserve">[...] a recente história de conflito armado, situações extremas de deslocação e de perda, reconstrução, </w:t>
      </w:r>
      <w:proofErr w:type="spellStart"/>
      <w:r w:rsidRPr="00432563">
        <w:rPr>
          <w:color w:val="auto"/>
          <w:sz w:val="22"/>
        </w:rPr>
        <w:t>disrupção</w:t>
      </w:r>
      <w:proofErr w:type="spellEnd"/>
      <w:r w:rsidRPr="00432563">
        <w:rPr>
          <w:color w:val="auto"/>
          <w:sz w:val="22"/>
        </w:rPr>
        <w:t xml:space="preserve"> política e profundas marcas sociais, juntamente com a geografia específica do país e a pandemia da SIDA fazem com que Moçambique seja um alvo convidativo para o crime organizado</w:t>
      </w:r>
      <w:r w:rsidR="00470433" w:rsidRPr="00432563">
        <w:rPr>
          <w:color w:val="auto"/>
          <w:sz w:val="22"/>
        </w:rPr>
        <w:t xml:space="preserve">. </w:t>
      </w:r>
      <w:r w:rsidR="00470433" w:rsidRPr="00432563">
        <w:rPr>
          <w:rStyle w:val="Refdenotaderodap"/>
          <w:color w:val="auto"/>
          <w:sz w:val="22"/>
        </w:rPr>
        <w:footnoteReference w:id="15"/>
      </w:r>
    </w:p>
    <w:p w14:paraId="3A31DF57" w14:textId="77777777" w:rsidR="005472EF" w:rsidRDefault="00932FD2">
      <w:pPr>
        <w:tabs>
          <w:tab w:val="left" w:pos="851"/>
        </w:tabs>
        <w:spacing w:before="240" w:after="240"/>
        <w:ind w:right="120"/>
        <w:rPr>
          <w:color w:val="000000"/>
          <w:highlight w:val="white"/>
        </w:rPr>
      </w:pPr>
      <w:r w:rsidRPr="00432563">
        <w:rPr>
          <w:color w:val="000000"/>
        </w:rPr>
        <w:t xml:space="preserve">        </w:t>
      </w:r>
      <w:r w:rsidRPr="00432563">
        <w:rPr>
          <w:color w:val="000000"/>
        </w:rPr>
        <w:tab/>
        <w:t xml:space="preserve">Por conta desse cenário a mesma organização destaca que “Moçambique é </w:t>
      </w:r>
      <w:r>
        <w:rPr>
          <w:color w:val="000000"/>
          <w:highlight w:val="white"/>
        </w:rPr>
        <w:t xml:space="preserve">um país de origem e de trânsito para </w:t>
      </w:r>
      <w:proofErr w:type="spellStart"/>
      <w:r>
        <w:rPr>
          <w:color w:val="000000"/>
          <w:highlight w:val="white"/>
        </w:rPr>
        <w:t>actividades</w:t>
      </w:r>
      <w:proofErr w:type="spellEnd"/>
      <w:r>
        <w:rPr>
          <w:color w:val="000000"/>
          <w:highlight w:val="white"/>
        </w:rPr>
        <w:t xml:space="preserve"> de tráfico de pessoas”</w:t>
      </w:r>
      <w:r>
        <w:rPr>
          <w:color w:val="000000"/>
          <w:highlight w:val="white"/>
          <w:vertAlign w:val="superscript"/>
        </w:rPr>
        <w:footnoteReference w:id="16"/>
      </w:r>
      <w:r>
        <w:rPr>
          <w:color w:val="000000"/>
          <w:highlight w:val="white"/>
        </w:rPr>
        <w:t xml:space="preserve">, posicionamento sustentado por </w:t>
      </w:r>
      <w:proofErr w:type="spellStart"/>
      <w:r>
        <w:rPr>
          <w:color w:val="000000"/>
          <w:highlight w:val="white"/>
        </w:rPr>
        <w:t>Magode</w:t>
      </w:r>
      <w:proofErr w:type="spellEnd"/>
      <w:r>
        <w:rPr>
          <w:color w:val="000000"/>
          <w:highlight w:val="white"/>
        </w:rPr>
        <w:t xml:space="preserve"> </w:t>
      </w:r>
      <w:r>
        <w:rPr>
          <w:i/>
          <w:color w:val="000000"/>
          <w:highlight w:val="white"/>
        </w:rPr>
        <w:t>et al.</w:t>
      </w:r>
      <w:r>
        <w:rPr>
          <w:color w:val="000000"/>
          <w:highlight w:val="white"/>
        </w:rPr>
        <w:t>, que dá conta de que ao nível da região da África Austral “Moçambique tem sido considerado o principal corredor do tráfico de pessoas, particularmente de mulheres e crianças”</w:t>
      </w:r>
      <w:r>
        <w:rPr>
          <w:color w:val="000000"/>
          <w:highlight w:val="white"/>
          <w:vertAlign w:val="superscript"/>
        </w:rPr>
        <w:footnoteReference w:id="17"/>
      </w:r>
      <w:r>
        <w:rPr>
          <w:color w:val="000000"/>
          <w:highlight w:val="white"/>
        </w:rPr>
        <w:t>.</w:t>
      </w:r>
    </w:p>
    <w:p w14:paraId="2651CF72" w14:textId="12A0D11A" w:rsidR="005472EF" w:rsidRDefault="00932FD2">
      <w:pPr>
        <w:tabs>
          <w:tab w:val="left" w:pos="851"/>
        </w:tabs>
        <w:spacing w:before="240" w:after="240"/>
        <w:ind w:right="120"/>
        <w:rPr>
          <w:color w:val="000000"/>
          <w:highlight w:val="white"/>
        </w:rPr>
      </w:pPr>
      <w:r>
        <w:rPr>
          <w:color w:val="000000"/>
          <w:highlight w:val="white"/>
        </w:rPr>
        <w:t xml:space="preserve">        </w:t>
      </w:r>
      <w:r>
        <w:rPr>
          <w:color w:val="000000"/>
          <w:highlight w:val="white"/>
        </w:rPr>
        <w:tab/>
      </w:r>
      <w:r w:rsidRPr="00432563">
        <w:rPr>
          <w:color w:val="000000"/>
        </w:rPr>
        <w:t xml:space="preserve">Nesse sentido, o presente trabalho tem por foco o tráfico de pessoas em Moçambique. Para tanto, além da introdução e as considerações finais, o artigo está dividido em três seções. Na introdução traçou-se o panorama do tráfico de pessoas no </w:t>
      </w:r>
      <w:r w:rsidRPr="00432563">
        <w:rPr>
          <w:color w:val="000000"/>
        </w:rPr>
        <w:lastRenderedPageBreak/>
        <w:t xml:space="preserve">mundo, na África e em Moçambique. Na primeira seção </w:t>
      </w:r>
      <w:r w:rsidR="00F23316" w:rsidRPr="00432563">
        <w:rPr>
          <w:color w:val="000000"/>
        </w:rPr>
        <w:t>abordou-se</w:t>
      </w:r>
      <w:r w:rsidRPr="00432563">
        <w:rPr>
          <w:color w:val="000000"/>
        </w:rPr>
        <w:t xml:space="preserve"> o conceito de tráfico de pessoas adotado em Moçambique. Na segunda seção </w:t>
      </w:r>
      <w:r w:rsidR="008C110F" w:rsidRPr="00432563">
        <w:rPr>
          <w:color w:val="000000"/>
        </w:rPr>
        <w:t>discorreu-se</w:t>
      </w:r>
      <w:r w:rsidRPr="00432563">
        <w:rPr>
          <w:color w:val="000000"/>
        </w:rPr>
        <w:t xml:space="preserve"> sobre as políticas públicas elaboradas para o enfrentamento à problemática de tráfico de pessoas, em resposta às recomendações do Protocolo de Palermo (2000). Na terceira seção </w:t>
      </w:r>
      <w:r w:rsidR="003910E9" w:rsidRPr="00432563">
        <w:rPr>
          <w:color w:val="000000"/>
        </w:rPr>
        <w:t>explanou-se</w:t>
      </w:r>
      <w:r w:rsidRPr="00432563">
        <w:rPr>
          <w:color w:val="000000"/>
        </w:rPr>
        <w:t xml:space="preserve"> sobre os desafios de </w:t>
      </w:r>
      <w:r w:rsidR="0032093C" w:rsidRPr="00432563">
        <w:rPr>
          <w:color w:val="000000"/>
        </w:rPr>
        <w:t>coleta</w:t>
      </w:r>
      <w:r w:rsidRPr="00432563">
        <w:rPr>
          <w:color w:val="000000"/>
        </w:rPr>
        <w:t xml:space="preserve"> de dados de jurisprudência em Moçambique. Nas considerações finais </w:t>
      </w:r>
      <w:r w:rsidR="0032093C" w:rsidRPr="00432563">
        <w:rPr>
          <w:color w:val="000000"/>
        </w:rPr>
        <w:t>elaborou-se</w:t>
      </w:r>
      <w:r w:rsidRPr="00432563">
        <w:rPr>
          <w:color w:val="000000"/>
        </w:rPr>
        <w:t xml:space="preserve"> uma breve análise com base nos dados analisados no decorrer do manuscrito.</w:t>
      </w:r>
    </w:p>
    <w:p w14:paraId="4DE1A9F3" w14:textId="77777777" w:rsidR="005472EF" w:rsidRDefault="00932FD2">
      <w:pPr>
        <w:pBdr>
          <w:top w:val="nil"/>
          <w:left w:val="nil"/>
          <w:bottom w:val="nil"/>
          <w:right w:val="nil"/>
          <w:between w:val="nil"/>
        </w:pBdr>
        <w:tabs>
          <w:tab w:val="left" w:pos="993"/>
        </w:tabs>
        <w:spacing w:before="240" w:after="240"/>
        <w:ind w:left="720"/>
        <w:rPr>
          <w:b/>
          <w:color w:val="000000"/>
        </w:rPr>
      </w:pPr>
      <w:r>
        <w:rPr>
          <w:b/>
          <w:color w:val="000000"/>
        </w:rPr>
        <w:t>2. Conceito de Tráfico de Pessoas em Moçambique.</w:t>
      </w:r>
    </w:p>
    <w:p w14:paraId="65419D93" w14:textId="1784C6D4" w:rsidR="005472EF" w:rsidRDefault="00932FD2">
      <w:pPr>
        <w:spacing w:before="240" w:after="240"/>
        <w:ind w:right="120" w:firstLine="700"/>
        <w:rPr>
          <w:color w:val="000000"/>
        </w:rPr>
      </w:pPr>
      <w:r w:rsidRPr="00432563">
        <w:rPr>
          <w:color w:val="000000"/>
        </w:rPr>
        <w:t>Em Moçambique há “evidência de tráfico de pessoas a nível interno”</w:t>
      </w:r>
      <w:r w:rsidRPr="00432563">
        <w:rPr>
          <w:color w:val="000000"/>
          <w:vertAlign w:val="superscript"/>
        </w:rPr>
        <w:footnoteReference w:id="18"/>
      </w:r>
      <w:r w:rsidRPr="00432563">
        <w:rPr>
          <w:color w:val="000000"/>
        </w:rPr>
        <w:t>, um cenário que se verifica, “normalmente das zonas rurais para as zonas urbanas”</w:t>
      </w:r>
      <w:r w:rsidRPr="00432563">
        <w:rPr>
          <w:color w:val="000000"/>
          <w:vertAlign w:val="superscript"/>
        </w:rPr>
        <w:footnoteReference w:id="19"/>
      </w:r>
      <w:r w:rsidRPr="00432563">
        <w:rPr>
          <w:color w:val="000000"/>
        </w:rPr>
        <w:t>, onde o tráfico se traduz em fenômeno complexo, cuja origem se observa na sua interação com a pobreza, a migração de mão-de-obra, conflitos ou convulsões políticas que provocam deslocamentos populacionais</w:t>
      </w:r>
      <w:r w:rsidRPr="00432563">
        <w:rPr>
          <w:color w:val="000000"/>
          <w:vertAlign w:val="superscript"/>
        </w:rPr>
        <w:footnoteReference w:id="20"/>
      </w:r>
      <w:r w:rsidRPr="00432563">
        <w:rPr>
          <w:color w:val="000000"/>
        </w:rPr>
        <w:t>.</w:t>
      </w:r>
    </w:p>
    <w:p w14:paraId="2147097D" w14:textId="77777777" w:rsidR="005472EF" w:rsidRDefault="00932FD2">
      <w:pPr>
        <w:spacing w:before="240" w:after="240"/>
        <w:ind w:right="120"/>
        <w:rPr>
          <w:color w:val="000000"/>
        </w:rPr>
      </w:pPr>
      <w:r>
        <w:rPr>
          <w:color w:val="000000"/>
        </w:rPr>
        <w:t xml:space="preserve">        </w:t>
      </w:r>
      <w:r>
        <w:rPr>
          <w:color w:val="000000"/>
        </w:rPr>
        <w:tab/>
        <w:t>O referido crime, de acordo com o Fundo das Nações Unidas para a Infância (UNICEF), alberga um aspecto característico, que pressupõe um movimento coercivo, ilícito e clandestino de pessoas, com objetivo de submetê-las à exploração sexual ou econômica, mediante atividades, tais como o trabalho doméstico, casamento falso, emprego clandestino, a falsa adoção, entre outras, sendo na sua maioria, mulheres, crianças e adolescentes</w:t>
      </w:r>
      <w:r>
        <w:rPr>
          <w:color w:val="000000"/>
          <w:vertAlign w:val="superscript"/>
        </w:rPr>
        <w:footnoteReference w:id="21"/>
      </w:r>
      <w:r>
        <w:rPr>
          <w:color w:val="000000"/>
        </w:rPr>
        <w:t>.</w:t>
      </w:r>
    </w:p>
    <w:p w14:paraId="3D43C844" w14:textId="3D8265A6" w:rsidR="005472EF" w:rsidRDefault="00932FD2">
      <w:pPr>
        <w:spacing w:before="240" w:after="240"/>
        <w:ind w:right="120" w:firstLine="860"/>
        <w:rPr>
          <w:color w:val="000000"/>
        </w:rPr>
      </w:pPr>
      <w:r w:rsidRPr="00432563">
        <w:rPr>
          <w:color w:val="000000"/>
        </w:rPr>
        <w:t xml:space="preserve">Estudos realizados em Moçambique apontam, igualmente, para a ocorrência do tráfico de órgãos, </w:t>
      </w:r>
      <w:r w:rsidR="00432563">
        <w:rPr>
          <w:color w:val="000000"/>
        </w:rPr>
        <w:t xml:space="preserve">partes, </w:t>
      </w:r>
      <w:r w:rsidR="007E1E8D" w:rsidRPr="00432563">
        <w:rPr>
          <w:color w:val="000000"/>
        </w:rPr>
        <w:t>tecidos</w:t>
      </w:r>
      <w:r w:rsidRPr="00432563">
        <w:rPr>
          <w:color w:val="000000"/>
        </w:rPr>
        <w:t xml:space="preserve"> e flu</w:t>
      </w:r>
      <w:r w:rsidR="007E1E8D" w:rsidRPr="00432563">
        <w:rPr>
          <w:color w:val="000000"/>
        </w:rPr>
        <w:t>i</w:t>
      </w:r>
      <w:r w:rsidRPr="00432563">
        <w:rPr>
          <w:color w:val="000000"/>
        </w:rPr>
        <w:t xml:space="preserve">dos do corpo humano. Trata-se, por exemplo, do “Estudo sobre tráfico de órgãos e partes do corpo humano na Região Sul de Moçambique”, publicado em 2016, elaborado por Esmeralda Mariano, Carla Braga e </w:t>
      </w:r>
      <w:r w:rsidRPr="00432563">
        <w:rPr>
          <w:color w:val="000000"/>
        </w:rPr>
        <w:lastRenderedPageBreak/>
        <w:t xml:space="preserve">Andreia Moreira e o “Estudo sobre tráfico de pessoas, órgãos e partes do corpo humano no Norte de Moçambique”, publicado em 2018, por Andreia Moreira e Esmeralda Mariano. O primeiro, direcionado às Províncias de Maputo (Cidade e Província), Gaza e Inhambane, concluiu que o “fenómeno de tráfico de órgãos humanos começa a ser </w:t>
      </w:r>
      <w:proofErr w:type="spellStart"/>
      <w:r w:rsidRPr="00432563">
        <w:rPr>
          <w:color w:val="000000"/>
        </w:rPr>
        <w:t>objecto</w:t>
      </w:r>
      <w:proofErr w:type="spellEnd"/>
      <w:r w:rsidRPr="00432563">
        <w:rPr>
          <w:color w:val="000000"/>
        </w:rPr>
        <w:t xml:space="preserve"> de atenção a partir de 2003”</w:t>
      </w:r>
      <w:r w:rsidRPr="00432563">
        <w:rPr>
          <w:color w:val="000000"/>
          <w:vertAlign w:val="superscript"/>
        </w:rPr>
        <w:footnoteReference w:id="22"/>
      </w:r>
      <w:r w:rsidRPr="00432563">
        <w:rPr>
          <w:color w:val="000000"/>
        </w:rPr>
        <w:t>, envolvendo uma rede complexa de intervenientes (traficantes, intermediários, os que extraem os órgãos, médicos tradicionais), com a finalidade de utilização desses órgãos na medicina tradicional e moderna.</w:t>
      </w:r>
    </w:p>
    <w:p w14:paraId="6C66B9F5" w14:textId="77777777" w:rsidR="005472EF" w:rsidRDefault="00932FD2">
      <w:pPr>
        <w:spacing w:before="240" w:after="240"/>
        <w:ind w:right="120" w:firstLine="860"/>
        <w:rPr>
          <w:color w:val="000000"/>
        </w:rPr>
      </w:pPr>
      <w:r>
        <w:rPr>
          <w:color w:val="000000"/>
        </w:rPr>
        <w:t>Já o estudo realizado na Região Norte (Niassa, Cabo Delgado e Nampula), constatou que o tráfico de órgãos tem como finalidade “alimentar” a medicina tradicional, em “rituais, para fabricar drogas ou remédios, ou ainda para fortificar, para a pessoa ter mais poder”</w:t>
      </w:r>
      <w:r>
        <w:rPr>
          <w:color w:val="000000"/>
          <w:vertAlign w:val="superscript"/>
        </w:rPr>
        <w:footnoteReference w:id="23"/>
      </w:r>
      <w:r>
        <w:rPr>
          <w:color w:val="000000"/>
        </w:rPr>
        <w:t>. O mesmo estudo identificou, também, a situação do tráfico de albinos</w:t>
      </w:r>
      <w:r>
        <w:rPr>
          <w:color w:val="000000"/>
          <w:vertAlign w:val="superscript"/>
        </w:rPr>
        <w:footnoteReference w:id="24"/>
      </w:r>
      <w:r>
        <w:rPr>
          <w:color w:val="000000"/>
        </w:rPr>
        <w:t>, cuja ocorrência é justificada em crenças de feitiçaria e o tráfico de pessoas, particularmente de mulheres que são conduzidas para a exploração sexual.</w:t>
      </w:r>
    </w:p>
    <w:p w14:paraId="3BF8E35E" w14:textId="5BE32161" w:rsidR="005472EF" w:rsidRDefault="00932FD2">
      <w:pPr>
        <w:spacing w:before="240" w:after="240"/>
        <w:ind w:right="120" w:firstLine="860"/>
        <w:rPr>
          <w:i/>
          <w:color w:val="000000"/>
        </w:rPr>
      </w:pPr>
      <w:r>
        <w:rPr>
          <w:color w:val="000000"/>
        </w:rPr>
        <w:t xml:space="preserve"> </w:t>
      </w:r>
      <w:r w:rsidRPr="00432563">
        <w:rPr>
          <w:color w:val="000000"/>
        </w:rPr>
        <w:t>A exploração das vítimas, nas modalidades especificadas anteriormente, constitui “uma ameaça à segurança e à dignidade humana”</w:t>
      </w:r>
      <w:r w:rsidRPr="00432563">
        <w:rPr>
          <w:color w:val="000000"/>
          <w:vertAlign w:val="superscript"/>
        </w:rPr>
        <w:footnoteReference w:id="25"/>
      </w:r>
      <w:r w:rsidRPr="00432563">
        <w:rPr>
          <w:color w:val="000000"/>
        </w:rPr>
        <w:t>, por intermédio da violação dos seus direitos humanos</w:t>
      </w:r>
      <w:r w:rsidRPr="00432563">
        <w:rPr>
          <w:color w:val="000000"/>
          <w:vertAlign w:val="superscript"/>
        </w:rPr>
        <w:footnoteReference w:id="26"/>
      </w:r>
      <w:r w:rsidRPr="00432563">
        <w:rPr>
          <w:color w:val="000000"/>
        </w:rPr>
        <w:t>, vez que atentam contra a vida e a integridade física, psíquica e moral do indivíduo. Recordar que a segurança do indivíduo contra quaisquer ameaças deve ser entendida como preocupação universal visto que, nos termos do art. 3º da Declaração Universal dos Direitos Humanos (DUDH)</w:t>
      </w:r>
      <w:r w:rsidRPr="00432563">
        <w:rPr>
          <w:color w:val="000000"/>
          <w:vertAlign w:val="superscript"/>
        </w:rPr>
        <w:footnoteReference w:id="27"/>
      </w:r>
      <w:r w:rsidRPr="00432563">
        <w:rPr>
          <w:color w:val="000000"/>
        </w:rPr>
        <w:t xml:space="preserve">, “Todo ser humano tem direito à </w:t>
      </w:r>
      <w:r w:rsidRPr="00432563">
        <w:rPr>
          <w:color w:val="000000"/>
        </w:rPr>
        <w:lastRenderedPageBreak/>
        <w:t>vida, à liberdade e à segurança pessoal”, princípio reafirmado, ao nível continental pela</w:t>
      </w:r>
      <w:r w:rsidR="00DE71B4">
        <w:rPr>
          <w:color w:val="000000"/>
        </w:rPr>
        <w:t xml:space="preserve"> </w:t>
      </w:r>
      <w:r>
        <w:rPr>
          <w:color w:val="000000"/>
        </w:rPr>
        <w:t>Carta Africana dos Direitos Humanos e dos Povos de 1979</w:t>
      </w:r>
      <w:r>
        <w:rPr>
          <w:color w:val="000000"/>
          <w:vertAlign w:val="superscript"/>
        </w:rPr>
        <w:footnoteReference w:id="28"/>
      </w:r>
      <w:r>
        <w:rPr>
          <w:color w:val="000000"/>
        </w:rPr>
        <w:t>, que afere no art. 6º, que “Todo indivíduo tem direito à liberdade e à segurança da sua pessoa”</w:t>
      </w:r>
      <w:r>
        <w:rPr>
          <w:color w:val="000000"/>
          <w:vertAlign w:val="superscript"/>
        </w:rPr>
        <w:footnoteReference w:id="29"/>
      </w:r>
      <w:r>
        <w:rPr>
          <w:i/>
          <w:color w:val="000000"/>
        </w:rPr>
        <w:t>.</w:t>
      </w:r>
    </w:p>
    <w:p w14:paraId="56374E43" w14:textId="18B2B0EB" w:rsidR="005472EF" w:rsidRDefault="00932FD2">
      <w:pPr>
        <w:spacing w:before="240" w:after="240"/>
        <w:ind w:right="120"/>
        <w:rPr>
          <w:color w:val="000000"/>
        </w:rPr>
      </w:pPr>
      <w:r>
        <w:rPr>
          <w:color w:val="000000"/>
        </w:rPr>
        <w:t xml:space="preserve">        </w:t>
      </w:r>
      <w:r>
        <w:rPr>
          <w:color w:val="000000"/>
        </w:rPr>
        <w:tab/>
      </w:r>
      <w:r w:rsidRPr="00432563">
        <w:rPr>
          <w:color w:val="000000"/>
        </w:rPr>
        <w:t xml:space="preserve">De acordo com a UNESCO esse fenômeno </w:t>
      </w:r>
      <w:r w:rsidR="008B6380" w:rsidRPr="00432563">
        <w:rPr>
          <w:color w:val="000000"/>
        </w:rPr>
        <w:t>que</w:t>
      </w:r>
      <w:r w:rsidRPr="00432563">
        <w:rPr>
          <w:color w:val="000000"/>
        </w:rPr>
        <w:t>, historicamente, manifesta-se por intermédio de diferentes formas se utiliza das vulnerabilidades da globalização, que propiciam a sua extensão à escala global, fato condicionante para que o crime adquira novas dimensões, que o traduzem num fenômeno complexo e multifacetado</w:t>
      </w:r>
      <w:r w:rsidRPr="00432563">
        <w:rPr>
          <w:color w:val="000000"/>
          <w:vertAlign w:val="superscript"/>
        </w:rPr>
        <w:footnoteReference w:id="30"/>
      </w:r>
      <w:r w:rsidRPr="00432563">
        <w:rPr>
          <w:color w:val="000000"/>
        </w:rPr>
        <w:t xml:space="preserve">. Na mesma esfera, Arménio de Roda aponta a globalização como um fator conexo ao conceito da </w:t>
      </w:r>
      <w:proofErr w:type="spellStart"/>
      <w:r w:rsidRPr="00432563">
        <w:rPr>
          <w:color w:val="000000"/>
        </w:rPr>
        <w:t>transnacionalidade</w:t>
      </w:r>
      <w:proofErr w:type="spellEnd"/>
      <w:r w:rsidRPr="00432563">
        <w:rPr>
          <w:color w:val="000000"/>
        </w:rPr>
        <w:t>, a par da questão da atuação dos grupos criminosos. Seu posicionamento é justificado, por um lado, pela suscetibilidade da globalização por se caracterizar pela abertura de múltiplos canais de comunicação entre os diversos pontos e, por outro lado, pela compreensão de que o tráfico de pessoas, para além, de possuir dimensões nacionais, também se apresenta como um crime transnacional e transfronteiriço, utilizando-se das vulnerabilidades e oportunidades por si oferecidas</w:t>
      </w:r>
      <w:r w:rsidRPr="00432563">
        <w:rPr>
          <w:color w:val="000000"/>
          <w:vertAlign w:val="superscript"/>
        </w:rPr>
        <w:footnoteReference w:id="31"/>
      </w:r>
      <w:r w:rsidRPr="00432563">
        <w:rPr>
          <w:color w:val="000000"/>
        </w:rPr>
        <w:t>.</w:t>
      </w:r>
    </w:p>
    <w:p w14:paraId="22C23443" w14:textId="6A95F15D" w:rsidR="005472EF" w:rsidRPr="0067571C" w:rsidRDefault="00932FD2">
      <w:pPr>
        <w:spacing w:before="240" w:after="240"/>
        <w:ind w:right="120"/>
        <w:rPr>
          <w:color w:val="000000"/>
        </w:rPr>
      </w:pPr>
      <w:r>
        <w:rPr>
          <w:color w:val="000000"/>
        </w:rPr>
        <w:t xml:space="preserve">        </w:t>
      </w:r>
      <w:r>
        <w:rPr>
          <w:color w:val="000000"/>
        </w:rPr>
        <w:tab/>
      </w:r>
      <w:r w:rsidRPr="00432563">
        <w:rPr>
          <w:color w:val="000000"/>
        </w:rPr>
        <w:t>Sob ponto de vista conceitual, Moçambique estabelece a definição de tráfico de pessoas, no âmbito jurídico em 2008. Trata-se de uma definição que se inspira no Protocolo de Palermo (2000), por ser um instrumento que pr</w:t>
      </w:r>
      <w:r w:rsidR="00BF3884" w:rsidRPr="00432563">
        <w:rPr>
          <w:color w:val="000000"/>
        </w:rPr>
        <w:t>e</w:t>
      </w:r>
      <w:r w:rsidRPr="00432563">
        <w:rPr>
          <w:color w:val="000000"/>
        </w:rPr>
        <w:t xml:space="preserve">vê a primeira definição de tráfico de pessoas, acordada ao nível internacional. Esse conceito, </w:t>
      </w:r>
      <w:r w:rsidR="00063816" w:rsidRPr="00432563">
        <w:rPr>
          <w:color w:val="000000"/>
        </w:rPr>
        <w:t>estabelecido</w:t>
      </w:r>
      <w:r w:rsidRPr="00432563">
        <w:rPr>
          <w:color w:val="000000"/>
        </w:rPr>
        <w:t xml:space="preserve"> pelo referido Protocolo é utilizado, de forma recorrente, por diversos autores, pesquisadores e </w:t>
      </w:r>
      <w:r w:rsidRPr="00432563">
        <w:rPr>
          <w:color w:val="000000"/>
        </w:rPr>
        <w:lastRenderedPageBreak/>
        <w:t>em diversos espaços onde se lida com matérias sobre o tráfico de pessoas. Essa predileção é notável em Moçambique, onde a UNESCO</w:t>
      </w:r>
      <w:r w:rsidRPr="00432563">
        <w:rPr>
          <w:color w:val="000000"/>
          <w:vertAlign w:val="superscript"/>
        </w:rPr>
        <w:footnoteReference w:id="32"/>
      </w:r>
      <w:r w:rsidRPr="00432563">
        <w:rPr>
          <w:color w:val="000000"/>
        </w:rPr>
        <w:t>, FDC</w:t>
      </w:r>
      <w:r w:rsidRPr="00432563">
        <w:rPr>
          <w:color w:val="000000"/>
          <w:vertAlign w:val="superscript"/>
        </w:rPr>
        <w:footnoteReference w:id="33"/>
      </w:r>
      <w:r w:rsidRPr="00432563">
        <w:rPr>
          <w:color w:val="000000"/>
        </w:rPr>
        <w:t xml:space="preserve"> e </w:t>
      </w:r>
      <w:proofErr w:type="spellStart"/>
      <w:r w:rsidRPr="00432563">
        <w:rPr>
          <w:color w:val="000000"/>
        </w:rPr>
        <w:t>Magode</w:t>
      </w:r>
      <w:proofErr w:type="spellEnd"/>
      <w:r w:rsidRPr="00432563">
        <w:rPr>
          <w:color w:val="000000"/>
        </w:rPr>
        <w:t xml:space="preserve"> </w:t>
      </w:r>
      <w:r w:rsidRPr="00432563">
        <w:rPr>
          <w:i/>
          <w:color w:val="000000"/>
        </w:rPr>
        <w:t>et al</w:t>
      </w:r>
      <w:r w:rsidRPr="00432563">
        <w:rPr>
          <w:i/>
          <w:color w:val="000000"/>
          <w:vertAlign w:val="superscript"/>
        </w:rPr>
        <w:footnoteReference w:id="34"/>
      </w:r>
      <w:r w:rsidRPr="00432563">
        <w:rPr>
          <w:color w:val="000000"/>
        </w:rPr>
        <w:t>, ao fazerem suas</w:t>
      </w:r>
      <w:r>
        <w:rPr>
          <w:color w:val="000000"/>
        </w:rPr>
        <w:t xml:space="preserve"> </w:t>
      </w:r>
      <w:r w:rsidRPr="0067571C">
        <w:rPr>
          <w:color w:val="000000"/>
        </w:rPr>
        <w:t>pesquisas acad</w:t>
      </w:r>
      <w:r w:rsidR="002B0090" w:rsidRPr="0067571C">
        <w:rPr>
          <w:color w:val="000000"/>
        </w:rPr>
        <w:t>ê</w:t>
      </w:r>
      <w:r w:rsidRPr="0067571C">
        <w:rPr>
          <w:color w:val="000000"/>
        </w:rPr>
        <w:t>mico-profissionais recorrem ao citado instrumento internacional para definir o tráfico de pessoas, como sendo:</w:t>
      </w:r>
    </w:p>
    <w:p w14:paraId="0F5BB29A" w14:textId="77777777" w:rsidR="005472EF" w:rsidRDefault="00932FD2" w:rsidP="008B7AAC">
      <w:pPr>
        <w:spacing w:before="240" w:after="240" w:line="240" w:lineRule="auto"/>
        <w:ind w:left="2268" w:right="120"/>
        <w:rPr>
          <w:color w:val="000000"/>
          <w:sz w:val="20"/>
          <w:szCs w:val="20"/>
        </w:rPr>
      </w:pPr>
      <w:r w:rsidRPr="0067571C">
        <w:rPr>
          <w:color w:val="000000"/>
          <w:sz w:val="20"/>
          <w:szCs w:val="20"/>
        </w:rPr>
        <w:t xml:space="preserve">O recrutamento, o transporte, a transferência, o alojamento ou o acolhimento de pessoas, recorrendo à ameaça ou ao uso da força ou a outras formas de coação, ao rapto, à fraude, ao engano, ao abuso de autoridade ou de situação de vulnerabilidade ou à entrega ou aceitação de pagamentos ou benefícios para obter o consentimento de uma pessoa que tem autoridade sobre outra, para fins de exploração. A exploração deverá incluir, pelo menos, a exploração da prostituição de outrem ou outras formas de exploração sexual, o trabalho ou serviços forçados, a escravatura ou práticas similares à escravatura, a servidão ou a </w:t>
      </w:r>
      <w:proofErr w:type="spellStart"/>
      <w:r w:rsidRPr="0067571C">
        <w:rPr>
          <w:color w:val="000000"/>
          <w:sz w:val="20"/>
          <w:szCs w:val="20"/>
        </w:rPr>
        <w:t>extracção</w:t>
      </w:r>
      <w:proofErr w:type="spellEnd"/>
      <w:r w:rsidRPr="0067571C">
        <w:rPr>
          <w:color w:val="000000"/>
          <w:sz w:val="20"/>
          <w:szCs w:val="20"/>
        </w:rPr>
        <w:t xml:space="preserve"> de órgãos</w:t>
      </w:r>
      <w:r w:rsidRPr="0067571C">
        <w:rPr>
          <w:color w:val="000000"/>
          <w:sz w:val="20"/>
          <w:szCs w:val="20"/>
          <w:vertAlign w:val="superscript"/>
        </w:rPr>
        <w:footnoteReference w:id="35"/>
      </w:r>
      <w:r w:rsidRPr="0067571C">
        <w:rPr>
          <w:color w:val="000000"/>
          <w:sz w:val="20"/>
          <w:szCs w:val="20"/>
        </w:rPr>
        <w:t>.</w:t>
      </w:r>
    </w:p>
    <w:p w14:paraId="4BDF83A1" w14:textId="77777777" w:rsidR="005472EF" w:rsidRDefault="00932FD2">
      <w:pPr>
        <w:spacing w:before="240" w:after="240"/>
        <w:ind w:right="120"/>
        <w:rPr>
          <w:color w:val="000000"/>
        </w:rPr>
      </w:pPr>
      <w:r>
        <w:rPr>
          <w:color w:val="000000"/>
          <w:sz w:val="22"/>
          <w:szCs w:val="22"/>
        </w:rPr>
        <w:t xml:space="preserve">        </w:t>
      </w:r>
      <w:r>
        <w:rPr>
          <w:color w:val="000000"/>
          <w:sz w:val="22"/>
          <w:szCs w:val="22"/>
        </w:rPr>
        <w:tab/>
      </w:r>
      <w:r>
        <w:rPr>
          <w:color w:val="000000"/>
        </w:rPr>
        <w:t>O mesmo conceito é incorporado na ordem jurídica moçambicana com a ratificação do Protocolo de Palermo (2000), pelo Conselho de Ministros, por intermédio da Resolução n. 87/2002, de 11 de dezembro. Essa ação surge numa atitude positiva de manifestação de interesse do Estado em contribuir para a prevenção e combate ao tráfico de pessoas ao nível doméstico e pelo alcance de prioridades comuns, assumidas aos níveis regional, continental e internacional.</w:t>
      </w:r>
    </w:p>
    <w:p w14:paraId="58C98E7B" w14:textId="190F27CD" w:rsidR="005472EF" w:rsidRDefault="00932FD2">
      <w:pPr>
        <w:spacing w:before="240" w:after="240"/>
        <w:ind w:right="120" w:firstLine="700"/>
        <w:rPr>
          <w:color w:val="000000"/>
        </w:rPr>
      </w:pPr>
      <w:r w:rsidRPr="0067571C">
        <w:rPr>
          <w:color w:val="000000"/>
        </w:rPr>
        <w:t xml:space="preserve">A referida decisão, por parte de Moçambique, assenta no seu compromisso frente à Constituição da República de Moçambique (CRM) que o posiciona como um Estado de Direito, baseado no respeito e garantia dos direitos e liberdades fundamentais do Homem. É, igualmente, reafirmada, na esfera do Direito Internacional, pelo art. 18, da CRM, ao preceituar que “Os tratados internacionais, validamente aprovados e ratificados, vigoram na ordem jurídica moçambicana após a sua publicação oficial e enquanto vincularem </w:t>
      </w:r>
      <w:r w:rsidRPr="0067571C">
        <w:rPr>
          <w:color w:val="000000"/>
        </w:rPr>
        <w:lastRenderedPageBreak/>
        <w:t>internacionalmente o Estado de Moçambique”, devendo, deste modo, nos termos do n</w:t>
      </w:r>
      <w:r w:rsidR="00A306B4" w:rsidRPr="0067571C">
        <w:rPr>
          <w:color w:val="000000"/>
        </w:rPr>
        <w:t>.</w:t>
      </w:r>
      <w:r w:rsidRPr="0067571C">
        <w:rPr>
          <w:color w:val="000000"/>
        </w:rPr>
        <w:t xml:space="preserve"> 2, do mesmo artigo, essas normas “possuírem na ordem jurídica interna o mesmo valor que</w:t>
      </w:r>
      <w:r>
        <w:rPr>
          <w:color w:val="000000"/>
        </w:rPr>
        <w:t xml:space="preserve"> assumem os </w:t>
      </w:r>
      <w:proofErr w:type="spellStart"/>
      <w:r>
        <w:rPr>
          <w:color w:val="000000"/>
        </w:rPr>
        <w:t>actos</w:t>
      </w:r>
      <w:proofErr w:type="spellEnd"/>
      <w:r>
        <w:rPr>
          <w:color w:val="000000"/>
        </w:rPr>
        <w:t xml:space="preserve"> normativos infraconstitucionais emanados pela Assembleia da República e pelo Governo, consoante a respectiva forma de recepção”</w:t>
      </w:r>
      <w:r>
        <w:rPr>
          <w:color w:val="000000"/>
          <w:vertAlign w:val="superscript"/>
        </w:rPr>
        <w:footnoteReference w:id="36"/>
      </w:r>
      <w:r>
        <w:rPr>
          <w:color w:val="000000"/>
        </w:rPr>
        <w:t>.</w:t>
      </w:r>
    </w:p>
    <w:p w14:paraId="476BDA1A" w14:textId="6FA98E63" w:rsidR="005472EF" w:rsidRDefault="00932FD2">
      <w:pPr>
        <w:spacing w:before="240" w:after="240"/>
        <w:ind w:right="120" w:firstLine="700"/>
        <w:rPr>
          <w:color w:val="000000"/>
        </w:rPr>
      </w:pPr>
      <w:r w:rsidRPr="0067571C">
        <w:rPr>
          <w:color w:val="000000"/>
        </w:rPr>
        <w:t xml:space="preserve">Esse aparato jurídico-constitucional dá forma ao Estado moçambicano para </w:t>
      </w:r>
      <w:r w:rsidR="00F33D73" w:rsidRPr="0067571C">
        <w:rPr>
          <w:color w:val="000000"/>
        </w:rPr>
        <w:t>providenciar medidas para o</w:t>
      </w:r>
      <w:r w:rsidRPr="0067571C">
        <w:rPr>
          <w:color w:val="000000"/>
        </w:rPr>
        <w:t xml:space="preserve"> enfrentamento do tráfico de pessoas, garantindo, por essa via, as salvaguardas referidas internacionalmente, tanto pela DUDH, quanto pelo Protocolo de Palermo (2000). Tal fato se observa, na medida em que a DUDH provê essas salvaguardas ao dispor sobre a universalidade dos direitos humanos e o Protocolo ao incidir sobre “uma abordagem global e internacional, que inclua medidas destinadas a prevenir o tráfico, punir os traficantes e a proteger as vítimas, mediante a garantia dos seus direitos humanos e fundamentais, internacionalmente protegidos”</w:t>
      </w:r>
      <w:r w:rsidRPr="0067571C">
        <w:rPr>
          <w:color w:val="000000"/>
          <w:vertAlign w:val="superscript"/>
        </w:rPr>
        <w:footnoteReference w:id="37"/>
      </w:r>
      <w:r w:rsidRPr="0067571C">
        <w:rPr>
          <w:color w:val="000000"/>
        </w:rPr>
        <w:t>.</w:t>
      </w:r>
    </w:p>
    <w:p w14:paraId="29EFFBE7" w14:textId="77777777" w:rsidR="00232216" w:rsidRPr="0067571C" w:rsidRDefault="00932FD2">
      <w:pPr>
        <w:spacing w:before="240" w:after="240"/>
        <w:rPr>
          <w:color w:val="000000"/>
        </w:rPr>
      </w:pPr>
      <w:r>
        <w:rPr>
          <w:color w:val="000000"/>
        </w:rPr>
        <w:tab/>
      </w:r>
      <w:r w:rsidRPr="0067571C">
        <w:rPr>
          <w:color w:val="000000"/>
        </w:rPr>
        <w:t xml:space="preserve">Como resposta à esfera normativa internacional importa referir que a </w:t>
      </w:r>
    </w:p>
    <w:p w14:paraId="583286C9" w14:textId="4D33683A" w:rsidR="007E68DB" w:rsidRPr="0067571C" w:rsidRDefault="007E68DB" w:rsidP="009B7B42">
      <w:pPr>
        <w:spacing w:before="240" w:after="240" w:line="240" w:lineRule="auto"/>
        <w:ind w:left="2268"/>
        <w:rPr>
          <w:color w:val="000000"/>
          <w:sz w:val="22"/>
          <w:szCs w:val="22"/>
        </w:rPr>
      </w:pPr>
      <w:r w:rsidRPr="0067571C">
        <w:rPr>
          <w:color w:val="000000"/>
          <w:sz w:val="22"/>
          <w:szCs w:val="22"/>
        </w:rPr>
        <w:t xml:space="preserve">[...] </w:t>
      </w:r>
      <w:r w:rsidR="00932FD2" w:rsidRPr="0067571C">
        <w:rPr>
          <w:color w:val="000000"/>
          <w:sz w:val="22"/>
          <w:szCs w:val="22"/>
        </w:rPr>
        <w:t>humanização do Direito Internacional Público e a consequente estruturação de um regime internacional sobre a matéria propiciaram de tal modo um desenvolvimento normativo em matéria de TSH</w:t>
      </w:r>
      <w:r w:rsidR="00932FD2" w:rsidRPr="0067571C">
        <w:rPr>
          <w:color w:val="000000"/>
          <w:sz w:val="22"/>
          <w:szCs w:val="22"/>
          <w:vertAlign w:val="superscript"/>
        </w:rPr>
        <w:footnoteReference w:id="38"/>
      </w:r>
      <w:r w:rsidR="00932FD2" w:rsidRPr="0067571C">
        <w:rPr>
          <w:color w:val="000000"/>
          <w:sz w:val="22"/>
          <w:szCs w:val="22"/>
        </w:rPr>
        <w:t>, que gera obrigações de devida diligência aos Estados, com vistas à proteção dos direitos humanos</w:t>
      </w:r>
      <w:r w:rsidR="00932FD2" w:rsidRPr="0067571C">
        <w:rPr>
          <w:color w:val="000000"/>
          <w:sz w:val="22"/>
          <w:szCs w:val="22"/>
          <w:vertAlign w:val="superscript"/>
        </w:rPr>
        <w:footnoteReference w:id="39"/>
      </w:r>
      <w:r w:rsidR="00932FD2" w:rsidRPr="0067571C">
        <w:rPr>
          <w:color w:val="000000"/>
          <w:sz w:val="22"/>
          <w:szCs w:val="22"/>
        </w:rPr>
        <w:t xml:space="preserve">. </w:t>
      </w:r>
    </w:p>
    <w:p w14:paraId="0F9AF3FC" w14:textId="1AFF88DF" w:rsidR="005472EF" w:rsidRDefault="00932FD2" w:rsidP="009F350F">
      <w:pPr>
        <w:spacing w:before="240" w:after="240"/>
        <w:ind w:firstLine="709"/>
        <w:rPr>
          <w:color w:val="000000"/>
        </w:rPr>
      </w:pPr>
      <w:r w:rsidRPr="0067571C">
        <w:rPr>
          <w:color w:val="000000"/>
        </w:rPr>
        <w:t xml:space="preserve">Essa obrigação dos Estados-membros das Nações Unidas impulsionou Moçambique a tomar parte desse processo, cuja responsabilidade se enquadra na realização de prestações positivas ou ações efetivas para a proteção e efetivação dos direitos fundamentais, assim como, a assunção de tratados de natureza vinculante, que o </w:t>
      </w:r>
      <w:r w:rsidRPr="0067571C">
        <w:rPr>
          <w:color w:val="000000"/>
        </w:rPr>
        <w:lastRenderedPageBreak/>
        <w:t>obrigam a implementar medidas cabíveis para fazer cumprir internamente esses instrumentos traçados internacionalmente</w:t>
      </w:r>
      <w:r w:rsidRPr="0067571C">
        <w:rPr>
          <w:color w:val="000000"/>
          <w:vertAlign w:val="superscript"/>
        </w:rPr>
        <w:footnoteReference w:id="40"/>
      </w:r>
      <w:r w:rsidRPr="0067571C">
        <w:rPr>
          <w:color w:val="000000"/>
        </w:rPr>
        <w:t>.</w:t>
      </w:r>
    </w:p>
    <w:p w14:paraId="468ECA89" w14:textId="22A49DC4" w:rsidR="005472EF" w:rsidRDefault="00932FD2">
      <w:pPr>
        <w:spacing w:before="240" w:after="240"/>
        <w:rPr>
          <w:color w:val="000000"/>
        </w:rPr>
      </w:pPr>
      <w:r>
        <w:rPr>
          <w:color w:val="000000"/>
        </w:rPr>
        <w:tab/>
      </w:r>
      <w:r w:rsidRPr="0067571C">
        <w:rPr>
          <w:color w:val="000000"/>
        </w:rPr>
        <w:t xml:space="preserve">Para além da responsabilidade internacional e regional que o Estado tenha adotado no plano internacional, o Estado moçambicano tem o dever, ao nível interno, de prestar ações positivas, que se traduzem em políticas, programas ou ações específicas que concorrem para </w:t>
      </w:r>
      <w:r w:rsidR="00D77BBD" w:rsidRPr="0067571C">
        <w:rPr>
          <w:color w:val="000000"/>
        </w:rPr>
        <w:t xml:space="preserve">o enfrentamento </w:t>
      </w:r>
      <w:r w:rsidRPr="0067571C">
        <w:rPr>
          <w:color w:val="000000"/>
        </w:rPr>
        <w:t>ao referido crime</w:t>
      </w:r>
      <w:r w:rsidRPr="0067571C">
        <w:rPr>
          <w:color w:val="000000"/>
          <w:vertAlign w:val="superscript"/>
        </w:rPr>
        <w:footnoteReference w:id="41"/>
      </w:r>
      <w:r w:rsidRPr="0067571C">
        <w:rPr>
          <w:color w:val="000000"/>
        </w:rPr>
        <w:t>.</w:t>
      </w:r>
      <w:r>
        <w:rPr>
          <w:color w:val="000000"/>
        </w:rPr>
        <w:t xml:space="preserve"> </w:t>
      </w:r>
    </w:p>
    <w:p w14:paraId="6EFCC840" w14:textId="25017D06" w:rsidR="005472EF" w:rsidRDefault="00932FD2">
      <w:pPr>
        <w:pBdr>
          <w:top w:val="nil"/>
          <w:left w:val="nil"/>
          <w:bottom w:val="nil"/>
          <w:right w:val="nil"/>
          <w:between w:val="nil"/>
        </w:pBdr>
        <w:spacing w:before="240" w:after="240"/>
        <w:ind w:firstLine="709"/>
        <w:rPr>
          <w:color w:val="000000"/>
        </w:rPr>
      </w:pPr>
      <w:r>
        <w:rPr>
          <w:color w:val="000000"/>
        </w:rPr>
        <w:t>No entanto, as ações positivas de Moçambique, ao nível do ordenamento jurídico, deram forma à legislação específica sobre o tráfico de pessoas, cujas expressões são a Lei n. 6/2008, de 09 de julho – conhecida como Lei sobre a Prevenção e Combate ao Tráfico de Pessoas, especialmente mulheres e crianças (Lei sobre Tráfico de Pessoas)</w:t>
      </w:r>
      <w:r>
        <w:rPr>
          <w:color w:val="000000"/>
          <w:vertAlign w:val="superscript"/>
        </w:rPr>
        <w:footnoteReference w:id="42"/>
      </w:r>
      <w:r>
        <w:rPr>
          <w:color w:val="000000"/>
        </w:rPr>
        <w:t xml:space="preserve"> e o Código Penal Moçambicano de 2014 (CP</w:t>
      </w:r>
      <w:r>
        <w:rPr>
          <w:color w:val="000000"/>
          <w:vertAlign w:val="superscript"/>
        </w:rPr>
        <w:footnoteReference w:id="43"/>
      </w:r>
      <w:r>
        <w:rPr>
          <w:color w:val="000000"/>
        </w:rPr>
        <w:t>), que criminaliza a posse, transporte e tráfico de órgãos humanos</w:t>
      </w:r>
      <w:r>
        <w:rPr>
          <w:color w:val="000000"/>
          <w:vertAlign w:val="superscript"/>
        </w:rPr>
        <w:footnoteReference w:id="44"/>
      </w:r>
      <w:r>
        <w:rPr>
          <w:color w:val="000000"/>
        </w:rPr>
        <w:t xml:space="preserve"> e o tráfico de pess</w:t>
      </w:r>
      <w:r w:rsidR="004E647C">
        <w:rPr>
          <w:color w:val="000000"/>
        </w:rPr>
        <w:t>oas, nos termos dos Artigos 161 e 198</w:t>
      </w:r>
      <w:r>
        <w:rPr>
          <w:color w:val="000000"/>
        </w:rPr>
        <w:t xml:space="preserve">, respectivamente. </w:t>
      </w:r>
    </w:p>
    <w:p w14:paraId="729B4153" w14:textId="611DB7B9" w:rsidR="005472EF" w:rsidRDefault="00932FD2">
      <w:pPr>
        <w:spacing w:before="240" w:after="240"/>
        <w:rPr>
          <w:color w:val="000000"/>
        </w:rPr>
      </w:pPr>
      <w:r>
        <w:rPr>
          <w:color w:val="000000"/>
        </w:rPr>
        <w:tab/>
      </w:r>
      <w:r w:rsidRPr="0067571C">
        <w:rPr>
          <w:color w:val="000000"/>
        </w:rPr>
        <w:t>O crime de tráfico de pessoas em vigor em Moçambique é o que consta do Código Penal em voga, vez que este, por força da alínea “k”, do artigo 2º revogou a preceituação do crime de tráfico d</w:t>
      </w:r>
      <w:r w:rsidR="0067571C" w:rsidRPr="0067571C">
        <w:rPr>
          <w:color w:val="000000"/>
        </w:rPr>
        <w:t>e pessoas, enunciada pelo art.</w:t>
      </w:r>
      <w:r w:rsidRPr="0067571C">
        <w:rPr>
          <w:color w:val="000000"/>
        </w:rPr>
        <w:t xml:space="preserve"> </w:t>
      </w:r>
      <w:r w:rsidR="0067571C" w:rsidRPr="0067571C">
        <w:rPr>
          <w:color w:val="000000"/>
        </w:rPr>
        <w:t>10</w:t>
      </w:r>
      <w:r w:rsidRPr="0067571C">
        <w:rPr>
          <w:color w:val="000000"/>
        </w:rPr>
        <w:t xml:space="preserve"> da Lei n. 6/2008, de 09 de julho. </w:t>
      </w:r>
      <w:r w:rsidRPr="0067571C">
        <w:rPr>
          <w:color w:val="000000"/>
        </w:rPr>
        <w:lastRenderedPageBreak/>
        <w:t>Este arranjo jurídico, que decorreu da revisão do Código Penal português de 1886, o que esteve em vigor em Moçambique até 2014, impulsionou ao legislador a estabe</w:t>
      </w:r>
      <w:r w:rsidR="004E647C">
        <w:rPr>
          <w:color w:val="000000"/>
        </w:rPr>
        <w:t>lecer, nos termos do artigo 198</w:t>
      </w:r>
      <w:r w:rsidRPr="0067571C">
        <w:rPr>
          <w:color w:val="000000"/>
        </w:rPr>
        <w:t>, que comete o crime de tráfico de pessoas:</w:t>
      </w:r>
      <w:r>
        <w:rPr>
          <w:color w:val="000000"/>
        </w:rPr>
        <w:t xml:space="preserve"> </w:t>
      </w:r>
    </w:p>
    <w:p w14:paraId="4925F394" w14:textId="77777777" w:rsidR="005472EF" w:rsidRDefault="00932FD2" w:rsidP="009C0F04">
      <w:pPr>
        <w:spacing w:before="240" w:after="240" w:line="240" w:lineRule="auto"/>
        <w:ind w:left="2268"/>
        <w:rPr>
          <w:color w:val="000000"/>
          <w:sz w:val="22"/>
          <w:szCs w:val="22"/>
        </w:rPr>
      </w:pPr>
      <w:r w:rsidRPr="0067571C">
        <w:rPr>
          <w:color w:val="000000"/>
          <w:sz w:val="22"/>
          <w:szCs w:val="22"/>
        </w:rPr>
        <w:t xml:space="preserve">Aquele que recrutar, transportar, acolher, fornecer ou receber uma pessoa, sob pretexto de emprego, formação ou aprendizagem, para fins de prostituição, trabalho forçado, escravatura, servidão involuntária ou servidão por dívida será punido com pena de prisão maior de </w:t>
      </w:r>
      <w:proofErr w:type="spellStart"/>
      <w:r w:rsidRPr="0067571C">
        <w:rPr>
          <w:color w:val="000000"/>
          <w:sz w:val="22"/>
          <w:szCs w:val="22"/>
        </w:rPr>
        <w:t>dezasseis</w:t>
      </w:r>
      <w:proofErr w:type="spellEnd"/>
      <w:r w:rsidRPr="0067571C">
        <w:rPr>
          <w:color w:val="000000"/>
          <w:sz w:val="22"/>
          <w:szCs w:val="22"/>
        </w:rPr>
        <w:t xml:space="preserve"> a vinte anos</w:t>
      </w:r>
      <w:r w:rsidRPr="0067571C">
        <w:rPr>
          <w:color w:val="000000"/>
          <w:sz w:val="22"/>
          <w:szCs w:val="22"/>
          <w:vertAlign w:val="superscript"/>
        </w:rPr>
        <w:footnoteReference w:id="45"/>
      </w:r>
      <w:r w:rsidRPr="0067571C">
        <w:rPr>
          <w:color w:val="000000"/>
          <w:sz w:val="22"/>
          <w:szCs w:val="22"/>
        </w:rPr>
        <w:t>.</w:t>
      </w:r>
    </w:p>
    <w:p w14:paraId="4FFE5A4B" w14:textId="1A1EDC66" w:rsidR="005472EF" w:rsidRDefault="00932FD2">
      <w:pPr>
        <w:spacing w:before="240" w:after="240"/>
        <w:rPr>
          <w:color w:val="000000"/>
        </w:rPr>
      </w:pPr>
      <w:r>
        <w:rPr>
          <w:color w:val="000000"/>
        </w:rPr>
        <w:tab/>
      </w:r>
      <w:r w:rsidRPr="0067571C">
        <w:rPr>
          <w:color w:val="000000"/>
        </w:rPr>
        <w:t>Com efeito, o conceito elaborado pelo CP apresenta semelhança com o anterior, o qual se inspirava, também, no Protocolo de Palermo (2000), o que demonstra que tanto o anterior, quanto o conceito em vigor em Moçam</w:t>
      </w:r>
      <w:r w:rsidR="0067571C" w:rsidRPr="0067571C">
        <w:rPr>
          <w:color w:val="000000"/>
        </w:rPr>
        <w:t>bique (o que consta do art. 198</w:t>
      </w:r>
      <w:r w:rsidRPr="0067571C">
        <w:rPr>
          <w:color w:val="000000"/>
        </w:rPr>
        <w:t xml:space="preserve"> do CP) são </w:t>
      </w:r>
      <w:r w:rsidR="00063C5D" w:rsidRPr="0067571C">
        <w:rPr>
          <w:color w:val="000000"/>
        </w:rPr>
        <w:t>influenciados</w:t>
      </w:r>
      <w:r w:rsidRPr="0067571C">
        <w:rPr>
          <w:color w:val="000000"/>
        </w:rPr>
        <w:t xml:space="preserve"> pelo Protocolo de Palermo (2000), tal como </w:t>
      </w:r>
      <w:r w:rsidR="0067571C" w:rsidRPr="0067571C">
        <w:rPr>
          <w:color w:val="000000"/>
        </w:rPr>
        <w:t>se atesta da leitura do art. 10</w:t>
      </w:r>
      <w:r w:rsidRPr="0067571C">
        <w:rPr>
          <w:color w:val="000000"/>
        </w:rPr>
        <w:t xml:space="preserve"> (revogado) da </w:t>
      </w:r>
      <w:r w:rsidR="00063C5D" w:rsidRPr="0067571C">
        <w:rPr>
          <w:color w:val="000000"/>
        </w:rPr>
        <w:t xml:space="preserve">Lei n. </w:t>
      </w:r>
      <w:r w:rsidRPr="0067571C">
        <w:rPr>
          <w:color w:val="000000"/>
        </w:rPr>
        <w:t>6/2008, que definia o tráfico de pessoas como sendo o ato de:</w:t>
      </w:r>
    </w:p>
    <w:p w14:paraId="6BDACDCE" w14:textId="77777777" w:rsidR="005472EF" w:rsidRDefault="00932FD2" w:rsidP="008B7AAC">
      <w:pPr>
        <w:spacing w:before="240" w:after="240" w:line="240" w:lineRule="auto"/>
        <w:ind w:left="2268"/>
        <w:rPr>
          <w:color w:val="000000"/>
          <w:sz w:val="22"/>
          <w:szCs w:val="22"/>
        </w:rPr>
      </w:pPr>
      <w:r w:rsidRPr="0067571C">
        <w:rPr>
          <w:color w:val="000000"/>
          <w:sz w:val="22"/>
          <w:szCs w:val="22"/>
        </w:rPr>
        <w:t>Recrutar, transportar, acolher, fornecer ou receber uma pessoa, por quaisquer meios, incluindo sob pretexto de emprego doméstico ou no estrangeiro ou formação ou aprendizagem, para fins de prostituição, trabalho forçado, escravatura, servidão involuntária ou servidão por dívida</w:t>
      </w:r>
      <w:r w:rsidRPr="0067571C">
        <w:rPr>
          <w:color w:val="000000"/>
          <w:sz w:val="22"/>
          <w:szCs w:val="22"/>
          <w:vertAlign w:val="superscript"/>
        </w:rPr>
        <w:footnoteReference w:id="46"/>
      </w:r>
      <w:r w:rsidRPr="0067571C">
        <w:rPr>
          <w:color w:val="000000"/>
          <w:sz w:val="22"/>
          <w:szCs w:val="22"/>
        </w:rPr>
        <w:t>.</w:t>
      </w:r>
    </w:p>
    <w:p w14:paraId="44163A84" w14:textId="0C9F20F5" w:rsidR="005472EF" w:rsidRDefault="00932FD2">
      <w:pPr>
        <w:spacing w:before="240" w:after="240"/>
        <w:rPr>
          <w:color w:val="000000"/>
        </w:rPr>
      </w:pPr>
      <w:r>
        <w:rPr>
          <w:color w:val="000000"/>
        </w:rPr>
        <w:tab/>
      </w:r>
      <w:r w:rsidRPr="0067571C">
        <w:rPr>
          <w:color w:val="000000"/>
        </w:rPr>
        <w:t xml:space="preserve">De igual modo, o conceito em vigor, destaca três elementos na sua definição, os quais devem ser observados cumulativamente, nomeadamente: (1) ações (as condutas praticadas pelos traficantes); (2) meios (os meios a utilizar) e; (3) resultados (o fim visado pelos autores do delito, isto é, a forma de exploração). Esse fato chama atenção, pois </w:t>
      </w:r>
      <w:r w:rsidR="00A827D1" w:rsidRPr="0067571C">
        <w:rPr>
          <w:color w:val="000000"/>
        </w:rPr>
        <w:t>o cumprimento</w:t>
      </w:r>
      <w:r w:rsidRPr="0067571C">
        <w:rPr>
          <w:color w:val="000000"/>
        </w:rPr>
        <w:t xml:space="preserve"> desses ele</w:t>
      </w:r>
      <w:r w:rsidR="0067571C" w:rsidRPr="0067571C">
        <w:rPr>
          <w:color w:val="000000"/>
        </w:rPr>
        <w:t>mentos é definida pelo art. 198</w:t>
      </w:r>
      <w:r w:rsidRPr="0067571C">
        <w:rPr>
          <w:color w:val="000000"/>
        </w:rPr>
        <w:t>, do CP, ao tipificá-lo como crime, o que exige a observância cumulativa de todos os seus elementos constitutivos, o que dificulta a denúncia, bem como a sua criminalização, devido à dificuldade de identificação “cumulativa” de todos os elementos constitutivos do crime de tráfico de pessoas desde a fase do recrutamento até a fase de exploração.</w:t>
      </w:r>
      <w:r>
        <w:rPr>
          <w:color w:val="000000"/>
        </w:rPr>
        <w:t xml:space="preserve"> </w:t>
      </w:r>
    </w:p>
    <w:p w14:paraId="23CFBC56" w14:textId="4C1E24E6" w:rsidR="005472EF" w:rsidRDefault="00932FD2">
      <w:pPr>
        <w:spacing w:before="240" w:after="240"/>
        <w:ind w:firstLine="709"/>
        <w:rPr>
          <w:color w:val="000000"/>
        </w:rPr>
      </w:pPr>
      <w:r w:rsidRPr="0067571C">
        <w:rPr>
          <w:color w:val="000000"/>
        </w:rPr>
        <w:lastRenderedPageBreak/>
        <w:t xml:space="preserve">O </w:t>
      </w:r>
      <w:r w:rsidR="0067571C" w:rsidRPr="0067571C">
        <w:rPr>
          <w:color w:val="000000"/>
        </w:rPr>
        <w:t>art. 9</w:t>
      </w:r>
      <w:r w:rsidR="004E647C">
        <w:rPr>
          <w:color w:val="000000"/>
        </w:rPr>
        <w:t>º</w:t>
      </w:r>
      <w:r w:rsidRPr="0067571C">
        <w:rPr>
          <w:color w:val="000000"/>
        </w:rPr>
        <w:t xml:space="preserve"> do CP é o que melhor explica a intenção do legislador, ao se referir sobre a necessidade da observância dos elementos, essencialmente, constitutivos do fato criminoso, que a lei criminal declarar</w:t>
      </w:r>
      <w:r w:rsidRPr="0067571C">
        <w:rPr>
          <w:color w:val="000000"/>
          <w:vertAlign w:val="superscript"/>
        </w:rPr>
        <w:footnoteReference w:id="47"/>
      </w:r>
      <w:r w:rsidRPr="0067571C">
        <w:rPr>
          <w:color w:val="000000"/>
        </w:rPr>
        <w:t xml:space="preserve">. Isso </w:t>
      </w:r>
      <w:r w:rsidR="0058324D" w:rsidRPr="0067571C">
        <w:rPr>
          <w:color w:val="000000"/>
        </w:rPr>
        <w:t>demonstra</w:t>
      </w:r>
      <w:r w:rsidRPr="0067571C">
        <w:rPr>
          <w:color w:val="000000"/>
        </w:rPr>
        <w:t xml:space="preserve"> que o direito penal moçambicano estabelece o seu conteúdo e limite para a interpretação e integração da lei criminal, marcado pela necessidade de construção do direito penal humano, possível </w:t>
      </w:r>
      <w:r w:rsidR="0058324D" w:rsidRPr="0067571C">
        <w:rPr>
          <w:color w:val="000000"/>
        </w:rPr>
        <w:t>por meio</w:t>
      </w:r>
      <w:r w:rsidRPr="0067571C">
        <w:rPr>
          <w:color w:val="000000"/>
        </w:rPr>
        <w:t xml:space="preserve"> da constitucionalização, que se dá </w:t>
      </w:r>
      <w:r w:rsidR="00486788" w:rsidRPr="0067571C">
        <w:rPr>
          <w:color w:val="000000"/>
        </w:rPr>
        <w:t>por intermédio</w:t>
      </w:r>
      <w:r w:rsidRPr="0067571C">
        <w:rPr>
          <w:color w:val="000000"/>
        </w:rPr>
        <w:t xml:space="preserve"> da interpretação das normas penais na ótica constitucional, justificado na necessidade de aperfeiçoar a interpretação de toda a lei com base nas normas fundamentais dos direitos humanos</w:t>
      </w:r>
      <w:r w:rsidRPr="0067571C">
        <w:rPr>
          <w:color w:val="000000"/>
          <w:vertAlign w:val="superscript"/>
        </w:rPr>
        <w:footnoteReference w:id="48"/>
      </w:r>
      <w:r w:rsidRPr="0067571C">
        <w:rPr>
          <w:color w:val="000000"/>
        </w:rPr>
        <w:t>.</w:t>
      </w:r>
    </w:p>
    <w:p w14:paraId="7378F5AC" w14:textId="15CE3E61" w:rsidR="005472EF" w:rsidRDefault="00932FD2">
      <w:pPr>
        <w:spacing w:before="240" w:after="240"/>
        <w:ind w:firstLine="709"/>
        <w:rPr>
          <w:color w:val="000000"/>
        </w:rPr>
      </w:pPr>
      <w:r w:rsidRPr="0067571C">
        <w:rPr>
          <w:color w:val="000000"/>
        </w:rPr>
        <w:t xml:space="preserve">Nesse sentido, a questão que merece atenção, no que </w:t>
      </w:r>
      <w:r w:rsidR="00486788" w:rsidRPr="0067571C">
        <w:rPr>
          <w:color w:val="000000"/>
        </w:rPr>
        <w:t>concerne</w:t>
      </w:r>
      <w:r w:rsidRPr="0067571C">
        <w:rPr>
          <w:color w:val="000000"/>
        </w:rPr>
        <w:t xml:space="preserve"> ao tratamento do crime de tráfico de pessoas, é o fato dessa necessidade de observância cumulativa de elementos constitutivos (condutas, meios e fins) constituir um </w:t>
      </w:r>
      <w:r w:rsidR="00486788" w:rsidRPr="0067571C">
        <w:rPr>
          <w:color w:val="000000"/>
        </w:rPr>
        <w:t>óbice</w:t>
      </w:r>
      <w:r w:rsidRPr="0067571C">
        <w:rPr>
          <w:color w:val="000000"/>
        </w:rPr>
        <w:t xml:space="preserve"> para a denúncia, assim como para a  criminalização do crime, devido a sua complexidade, seu </w:t>
      </w:r>
      <w:r w:rsidRPr="0067571C">
        <w:rPr>
          <w:i/>
          <w:color w:val="000000"/>
        </w:rPr>
        <w:t xml:space="preserve">modus operandi, </w:t>
      </w:r>
      <w:r w:rsidRPr="0067571C">
        <w:rPr>
          <w:color w:val="000000"/>
        </w:rPr>
        <w:t>diversificados desde a fase do recrutamento até a fase de exploração, sem perder de vista, o fato desse crime  ser de natureza organizada e transnacional, o que demanda diversos atores e múltiplos canais de contato para a sua execução.</w:t>
      </w:r>
    </w:p>
    <w:p w14:paraId="0275BDCD" w14:textId="05A58250" w:rsidR="005472EF" w:rsidRDefault="00932FD2">
      <w:pPr>
        <w:spacing w:before="240" w:after="240"/>
        <w:rPr>
          <w:color w:val="000000"/>
        </w:rPr>
      </w:pPr>
      <w:r>
        <w:rPr>
          <w:color w:val="000000"/>
        </w:rPr>
        <w:tab/>
        <w:t>A percepção dessa dificuldade, por parte do legislador, levou-o a fazer constar, na Lei sobre o Tráfico de Pessoas, os crimes conexos</w:t>
      </w:r>
      <w:r>
        <w:rPr>
          <w:color w:val="000000"/>
          <w:vertAlign w:val="superscript"/>
        </w:rPr>
        <w:footnoteReference w:id="49"/>
      </w:r>
      <w:r>
        <w:rPr>
          <w:color w:val="000000"/>
        </w:rPr>
        <w:t>, nomeadamente: a pornografia e exploração sexual</w:t>
      </w:r>
      <w:r>
        <w:rPr>
          <w:color w:val="000000"/>
          <w:vertAlign w:val="superscript"/>
        </w:rPr>
        <w:footnoteReference w:id="50"/>
      </w:r>
      <w:r>
        <w:rPr>
          <w:color w:val="000000"/>
        </w:rPr>
        <w:t>, a adoção para fins ilícitos</w:t>
      </w:r>
      <w:r>
        <w:rPr>
          <w:color w:val="000000"/>
          <w:vertAlign w:val="superscript"/>
        </w:rPr>
        <w:footnoteReference w:id="51"/>
      </w:r>
      <w:r>
        <w:rPr>
          <w:color w:val="000000"/>
        </w:rPr>
        <w:t>, o transporte e rapto</w:t>
      </w:r>
      <w:r>
        <w:rPr>
          <w:color w:val="000000"/>
          <w:vertAlign w:val="superscript"/>
        </w:rPr>
        <w:footnoteReference w:id="52"/>
      </w:r>
      <w:r>
        <w:rPr>
          <w:color w:val="000000"/>
        </w:rPr>
        <w:t xml:space="preserve">, o arrendamento de </w:t>
      </w:r>
      <w:r>
        <w:rPr>
          <w:color w:val="000000"/>
        </w:rPr>
        <w:lastRenderedPageBreak/>
        <w:t>imóvel para fins de tráfico</w:t>
      </w:r>
      <w:r>
        <w:rPr>
          <w:color w:val="000000"/>
          <w:vertAlign w:val="superscript"/>
        </w:rPr>
        <w:footnoteReference w:id="53"/>
      </w:r>
      <w:r>
        <w:rPr>
          <w:color w:val="000000"/>
        </w:rPr>
        <w:t>, a publicidade e promoção do tráfico</w:t>
      </w:r>
      <w:r>
        <w:rPr>
          <w:color w:val="000000"/>
          <w:vertAlign w:val="superscript"/>
        </w:rPr>
        <w:footnoteReference w:id="54"/>
      </w:r>
      <w:r>
        <w:rPr>
          <w:color w:val="000000"/>
        </w:rPr>
        <w:t>, destruição de documentos de viagem</w:t>
      </w:r>
      <w:r>
        <w:rPr>
          <w:color w:val="000000"/>
          <w:vertAlign w:val="superscript"/>
        </w:rPr>
        <w:footnoteReference w:id="55"/>
      </w:r>
      <w:r>
        <w:rPr>
          <w:color w:val="000000"/>
        </w:rPr>
        <w:t xml:space="preserve"> e benefícios financeiros</w:t>
      </w:r>
      <w:r>
        <w:rPr>
          <w:color w:val="000000"/>
          <w:vertAlign w:val="superscript"/>
        </w:rPr>
        <w:footnoteReference w:id="56"/>
      </w:r>
      <w:r>
        <w:rPr>
          <w:color w:val="000000"/>
        </w:rPr>
        <w:t>, constantes no</w:t>
      </w:r>
      <w:r w:rsidR="004E647C">
        <w:rPr>
          <w:color w:val="000000"/>
        </w:rPr>
        <w:t>s artigos 11</w:t>
      </w:r>
      <w:r>
        <w:rPr>
          <w:color w:val="000000"/>
        </w:rPr>
        <w:t>, 12, 13, 14, 15, 16 e 17</w:t>
      </w:r>
      <w:r>
        <w:rPr>
          <w:color w:val="000000"/>
          <w:vertAlign w:val="superscript"/>
        </w:rPr>
        <w:footnoteReference w:id="57"/>
      </w:r>
      <w:r>
        <w:rPr>
          <w:color w:val="000000"/>
        </w:rPr>
        <w:t xml:space="preserve">, respectivamente. </w:t>
      </w:r>
    </w:p>
    <w:p w14:paraId="79FF0DC1" w14:textId="34D3CE44" w:rsidR="005472EF" w:rsidRDefault="00932FD2">
      <w:pPr>
        <w:pBdr>
          <w:top w:val="nil"/>
          <w:left w:val="nil"/>
          <w:bottom w:val="nil"/>
          <w:right w:val="nil"/>
          <w:between w:val="nil"/>
        </w:pBdr>
        <w:spacing w:before="240" w:after="240"/>
        <w:ind w:firstLine="709"/>
        <w:rPr>
          <w:color w:val="000000"/>
        </w:rPr>
      </w:pPr>
      <w:r w:rsidRPr="0067571C">
        <w:rPr>
          <w:color w:val="000000"/>
        </w:rPr>
        <w:t xml:space="preserve">A Lei </w:t>
      </w:r>
      <w:r w:rsidR="00BE7A55" w:rsidRPr="0067571C">
        <w:rPr>
          <w:color w:val="000000"/>
        </w:rPr>
        <w:t xml:space="preserve">n. </w:t>
      </w:r>
      <w:r w:rsidRPr="0067571C">
        <w:rPr>
          <w:color w:val="000000"/>
        </w:rPr>
        <w:t xml:space="preserve">6/2008, de 9 de julho, completa em seu texto de lei os objetivos de enfrentamento propostos no art. 2º, do Protocolo de </w:t>
      </w:r>
      <w:r w:rsidR="00BE7A55" w:rsidRPr="0067571C">
        <w:rPr>
          <w:color w:val="000000"/>
        </w:rPr>
        <w:t>P</w:t>
      </w:r>
      <w:r w:rsidRPr="0067571C">
        <w:rPr>
          <w:color w:val="000000"/>
        </w:rPr>
        <w:t>alermo (2000</w:t>
      </w:r>
      <w:r w:rsidR="0067571C" w:rsidRPr="0067571C">
        <w:rPr>
          <w:color w:val="000000"/>
        </w:rPr>
        <w:t>)</w:t>
      </w:r>
      <w:r w:rsidRPr="0067571C">
        <w:rPr>
          <w:color w:val="000000"/>
        </w:rPr>
        <w:t>, tais sejam: prevenir e combater o tráfico de pessoas, prestando uma atenção especial às vítimas; proteger e ajudar as vítimas desse tráfico, respeitando plenamente os seus direitos humanos e promover a cooperação entre os Estados</w:t>
      </w:r>
      <w:r w:rsidR="002453C9" w:rsidRPr="0067571C">
        <w:rPr>
          <w:color w:val="000000"/>
        </w:rPr>
        <w:t>-</w:t>
      </w:r>
      <w:r w:rsidRPr="0067571C">
        <w:rPr>
          <w:color w:val="000000"/>
        </w:rPr>
        <w:t>Partes de forma a atingir esses objetivos</w:t>
      </w:r>
      <w:r w:rsidRPr="0067571C">
        <w:rPr>
          <w:color w:val="000000"/>
          <w:vertAlign w:val="superscript"/>
        </w:rPr>
        <w:footnoteReference w:id="58"/>
      </w:r>
      <w:r w:rsidRPr="0067571C">
        <w:rPr>
          <w:color w:val="000000"/>
        </w:rPr>
        <w:t>.</w:t>
      </w:r>
    </w:p>
    <w:p w14:paraId="48BF8C5E" w14:textId="62631665" w:rsidR="005472EF" w:rsidRDefault="00932FD2">
      <w:pPr>
        <w:pBdr>
          <w:top w:val="nil"/>
          <w:left w:val="nil"/>
          <w:bottom w:val="nil"/>
          <w:right w:val="nil"/>
          <w:between w:val="nil"/>
        </w:pBdr>
        <w:spacing w:before="240" w:after="240"/>
        <w:ind w:firstLine="709"/>
        <w:rPr>
          <w:color w:val="000000"/>
        </w:rPr>
      </w:pPr>
      <w:r w:rsidRPr="0067571C">
        <w:rPr>
          <w:color w:val="000000"/>
        </w:rPr>
        <w:t>Essa conclusão surge do fato da Lei moçambicana sobre o tráfico e pessoas, especialmente mulheres e crianças</w:t>
      </w:r>
      <w:r w:rsidR="00BE7A55" w:rsidRPr="0067571C">
        <w:rPr>
          <w:color w:val="000000"/>
        </w:rPr>
        <w:t>,</w:t>
      </w:r>
      <w:r w:rsidRPr="0067571C">
        <w:rPr>
          <w:color w:val="000000"/>
        </w:rPr>
        <w:t xml:space="preserve"> estabelecer o regime jurídico interno aplicável à prevenção e combate ao tráfico de pessoas, em particular mulheres e crianças, nomeadamente a criminalização do tráfico de pessoas e atividades conexas e a proteção das vítimas, denunciantes e testemunhas</w:t>
      </w:r>
      <w:r w:rsidRPr="0067571C">
        <w:rPr>
          <w:color w:val="000000"/>
          <w:vertAlign w:val="superscript"/>
        </w:rPr>
        <w:footnoteReference w:id="59"/>
      </w:r>
      <w:r w:rsidRPr="0067571C">
        <w:rPr>
          <w:color w:val="000000"/>
        </w:rPr>
        <w:t>, mediante o estabelecimento de ações de coordenação com diversos atores nacionais e internacionais envolvidos no enfrentamento ao tráfico de pessoas ao nível nacional, regional, continental e internacional.</w:t>
      </w:r>
      <w:r>
        <w:rPr>
          <w:color w:val="000000"/>
        </w:rPr>
        <w:t xml:space="preserve">  </w:t>
      </w:r>
    </w:p>
    <w:p w14:paraId="7778C83D" w14:textId="77777777" w:rsidR="005472EF" w:rsidRDefault="005472EF">
      <w:pPr>
        <w:spacing w:before="240" w:after="240"/>
        <w:rPr>
          <w:color w:val="000000"/>
        </w:rPr>
      </w:pPr>
    </w:p>
    <w:p w14:paraId="3384676C" w14:textId="77777777" w:rsidR="00DE71B4" w:rsidRDefault="00DE71B4">
      <w:pPr>
        <w:spacing w:before="240" w:after="240"/>
        <w:rPr>
          <w:color w:val="000000"/>
        </w:rPr>
      </w:pPr>
    </w:p>
    <w:p w14:paraId="79806443" w14:textId="77777777" w:rsidR="00DE71B4" w:rsidRDefault="00DE71B4">
      <w:pPr>
        <w:spacing w:before="240" w:after="240"/>
        <w:rPr>
          <w:color w:val="000000"/>
        </w:rPr>
      </w:pPr>
    </w:p>
    <w:p w14:paraId="6FA6C10C" w14:textId="77777777" w:rsidR="005472EF" w:rsidRDefault="00932FD2">
      <w:pPr>
        <w:spacing w:before="240" w:after="240"/>
        <w:ind w:left="720"/>
        <w:rPr>
          <w:b/>
          <w:color w:val="000000"/>
        </w:rPr>
      </w:pPr>
      <w:r>
        <w:rPr>
          <w:b/>
          <w:color w:val="000000"/>
        </w:rPr>
        <w:t>3. Políticas Públicas</w:t>
      </w:r>
    </w:p>
    <w:p w14:paraId="6B48D0FC" w14:textId="67BB78A8" w:rsidR="005472EF" w:rsidRDefault="00932FD2">
      <w:pPr>
        <w:spacing w:before="240" w:after="240"/>
        <w:rPr>
          <w:color w:val="000000"/>
        </w:rPr>
      </w:pPr>
      <w:r>
        <w:rPr>
          <w:color w:val="000000"/>
        </w:rPr>
        <w:tab/>
      </w:r>
      <w:r w:rsidRPr="0067571C">
        <w:rPr>
          <w:color w:val="000000"/>
        </w:rPr>
        <w:t>O tráfico de pessoas é “confrontado, muitas vezes, por quadros legislativos e políticas reguladoras insuficientes [...]”</w:t>
      </w:r>
      <w:r w:rsidRPr="0067571C">
        <w:rPr>
          <w:color w:val="000000"/>
          <w:vertAlign w:val="superscript"/>
        </w:rPr>
        <w:footnoteReference w:id="60"/>
      </w:r>
      <w:r w:rsidRPr="0067571C">
        <w:rPr>
          <w:color w:val="000000"/>
        </w:rPr>
        <w:t xml:space="preserve">. Essa questão ainda é presente em quase todo o mundo, por exemplo, o Relatório sobre o Tráfico de Pessoas de 2016, </w:t>
      </w:r>
      <w:r w:rsidR="00326AEE" w:rsidRPr="0067571C">
        <w:rPr>
          <w:color w:val="000000"/>
        </w:rPr>
        <w:t>demonstra</w:t>
      </w:r>
      <w:r w:rsidRPr="0067571C">
        <w:rPr>
          <w:color w:val="000000"/>
        </w:rPr>
        <w:t xml:space="preserve"> o quanto essa questão de insuficiência de legislação específica ao nível dos Estados é, ainda, notável,</w:t>
      </w:r>
      <w:r>
        <w:rPr>
          <w:color w:val="000000"/>
        </w:rPr>
        <w:t xml:space="preserve"> </w:t>
      </w:r>
    </w:p>
    <w:p w14:paraId="6386357A" w14:textId="77777777" w:rsidR="005472EF" w:rsidRPr="003974D4" w:rsidRDefault="00932FD2" w:rsidP="00326AEE">
      <w:pPr>
        <w:spacing w:before="0" w:after="0" w:line="240" w:lineRule="auto"/>
        <w:ind w:left="2268" w:right="0"/>
        <w:rPr>
          <w:i/>
          <w:color w:val="000000"/>
          <w:sz w:val="22"/>
          <w:szCs w:val="22"/>
          <w:lang w:val="en-US"/>
        </w:rPr>
      </w:pPr>
      <w:r w:rsidRPr="0067571C">
        <w:rPr>
          <w:i/>
          <w:color w:val="000000"/>
          <w:sz w:val="22"/>
          <w:szCs w:val="22"/>
          <w:lang w:val="en-US"/>
        </w:rPr>
        <w:t>Different parts of the world are at different stages in the implementation of effective counter-trafficking policy. […]. In some parts of Sub-Saharan Africa, there is a need to develop legal frameworks; in parts of the world where anti-trafficking legislation has been recently introduced (Southern Africa, North Africa, parts of the Middle East, parts of South America) capacity-building assistance to accelerate the use of national frameworks in accordance with international standards is more needed. In countries with long-standing legislation on trafficking in persons, for example, in European subregions, interventions should focus on identifying and protecting more victims, and convicting more traffickers</w:t>
      </w:r>
      <w:r w:rsidRPr="0067571C">
        <w:rPr>
          <w:color w:val="000000"/>
          <w:sz w:val="22"/>
          <w:szCs w:val="22"/>
          <w:vertAlign w:val="superscript"/>
        </w:rPr>
        <w:footnoteReference w:id="61"/>
      </w:r>
      <w:r w:rsidRPr="0067571C">
        <w:rPr>
          <w:color w:val="000000"/>
          <w:sz w:val="22"/>
          <w:szCs w:val="22"/>
          <w:lang w:val="en-US"/>
        </w:rPr>
        <w:t>.</w:t>
      </w:r>
    </w:p>
    <w:p w14:paraId="2EBE72BF" w14:textId="2865C397" w:rsidR="005472EF" w:rsidRDefault="00981A54">
      <w:pPr>
        <w:spacing w:before="240" w:after="240"/>
        <w:ind w:firstLine="709"/>
        <w:rPr>
          <w:color w:val="000000"/>
        </w:rPr>
      </w:pPr>
      <w:r w:rsidRPr="0067571C">
        <w:rPr>
          <w:color w:val="000000"/>
        </w:rPr>
        <w:t xml:space="preserve">Nessa linha de argumentação </w:t>
      </w:r>
      <w:r w:rsidR="00932FD2" w:rsidRPr="0067571C">
        <w:rPr>
          <w:color w:val="000000"/>
        </w:rPr>
        <w:t>constata</w:t>
      </w:r>
      <w:r w:rsidRPr="0067571C">
        <w:rPr>
          <w:color w:val="000000"/>
        </w:rPr>
        <w:t>-se</w:t>
      </w:r>
      <w:r w:rsidR="00932FD2" w:rsidRPr="0067571C">
        <w:rPr>
          <w:color w:val="000000"/>
        </w:rPr>
        <w:t xml:space="preserve"> que diversos países estão em estágios de desenvolvimento incipientes, tanto na elaboração quanto na implementação de suas políticas, o que denota de certa maneira lacunas identificadas pela UNESCO, assim como pelos Relatórios Globais sobre Tráfico de Pessoas de 2012</w:t>
      </w:r>
      <w:r w:rsidR="00932FD2" w:rsidRPr="0067571C">
        <w:rPr>
          <w:color w:val="000000"/>
          <w:vertAlign w:val="superscript"/>
        </w:rPr>
        <w:footnoteReference w:id="62"/>
      </w:r>
      <w:r w:rsidR="00932FD2" w:rsidRPr="0067571C">
        <w:rPr>
          <w:color w:val="000000"/>
        </w:rPr>
        <w:t xml:space="preserve"> e 2009</w:t>
      </w:r>
      <w:r w:rsidR="00932FD2" w:rsidRPr="0067571C">
        <w:rPr>
          <w:color w:val="000000"/>
          <w:vertAlign w:val="superscript"/>
        </w:rPr>
        <w:footnoteReference w:id="63"/>
      </w:r>
      <w:r w:rsidR="00932FD2" w:rsidRPr="0067571C">
        <w:rPr>
          <w:color w:val="000000"/>
        </w:rPr>
        <w:t xml:space="preserve">, que apontam, </w:t>
      </w:r>
      <w:r w:rsidR="00932FD2" w:rsidRPr="0067571C">
        <w:rPr>
          <w:color w:val="000000"/>
        </w:rPr>
        <w:lastRenderedPageBreak/>
        <w:t>respectivamente, sobre a necessidade de cooperação entre os atores para providenciarem mutuamente, assistência legislativa, assessoria para a planificação estratégica e desenvolvimento de políticas, a fortificação da justiça criminal e da resposta, garantindo a prevenção e assistência às vítimas, bem como as lacunas decorrentes do não estabelecimento de políticas e mecanismo de identificação das vítimas de tráfico de pessoas, devido a insuficiente legislação na África Austral.</w:t>
      </w:r>
    </w:p>
    <w:p w14:paraId="5B44D2AA" w14:textId="7534F990" w:rsidR="005472EF" w:rsidRDefault="00932FD2">
      <w:pPr>
        <w:spacing w:before="240" w:after="240"/>
        <w:ind w:firstLine="709"/>
        <w:rPr>
          <w:color w:val="000000"/>
        </w:rPr>
      </w:pPr>
      <w:r w:rsidRPr="0067571C">
        <w:rPr>
          <w:color w:val="000000"/>
        </w:rPr>
        <w:t>Não obstante, em Moçambique, foram desenvolvidas ações com vista a assegurar a inclusão de questões chave</w:t>
      </w:r>
      <w:r w:rsidR="009332E0" w:rsidRPr="0067571C">
        <w:rPr>
          <w:color w:val="000000"/>
        </w:rPr>
        <w:t>s</w:t>
      </w:r>
      <w:r w:rsidRPr="0067571C">
        <w:rPr>
          <w:color w:val="000000"/>
        </w:rPr>
        <w:t xml:space="preserve"> sobre a prevenção e combate do tráfico de pessoas nas agendas públicas e políticas, são exemplos à realização da campanha da </w:t>
      </w:r>
      <w:r w:rsidRPr="0067571C">
        <w:rPr>
          <w:i/>
          <w:color w:val="000000"/>
        </w:rPr>
        <w:t xml:space="preserve">Southern </w:t>
      </w:r>
      <w:proofErr w:type="spellStart"/>
      <w:r w:rsidRPr="0067571C">
        <w:rPr>
          <w:i/>
          <w:color w:val="000000"/>
        </w:rPr>
        <w:t>African</w:t>
      </w:r>
      <w:proofErr w:type="spellEnd"/>
      <w:r w:rsidRPr="0067571C">
        <w:rPr>
          <w:i/>
          <w:color w:val="000000"/>
        </w:rPr>
        <w:t xml:space="preserve"> Network </w:t>
      </w:r>
      <w:proofErr w:type="spellStart"/>
      <w:r w:rsidRPr="0067571C">
        <w:rPr>
          <w:i/>
          <w:color w:val="000000"/>
        </w:rPr>
        <w:t>Against</w:t>
      </w:r>
      <w:proofErr w:type="spellEnd"/>
      <w:r w:rsidRPr="0067571C">
        <w:rPr>
          <w:i/>
          <w:color w:val="000000"/>
        </w:rPr>
        <w:t xml:space="preserve"> </w:t>
      </w:r>
      <w:proofErr w:type="spellStart"/>
      <w:r w:rsidRPr="0067571C">
        <w:rPr>
          <w:i/>
          <w:color w:val="000000"/>
        </w:rPr>
        <w:t>Trafficking</w:t>
      </w:r>
      <w:proofErr w:type="spellEnd"/>
      <w:r w:rsidRPr="0067571C">
        <w:rPr>
          <w:i/>
          <w:color w:val="000000"/>
        </w:rPr>
        <w:t xml:space="preserve"> </w:t>
      </w:r>
      <w:proofErr w:type="spellStart"/>
      <w:r w:rsidRPr="0067571C">
        <w:rPr>
          <w:i/>
          <w:color w:val="000000"/>
        </w:rPr>
        <w:t>and</w:t>
      </w:r>
      <w:proofErr w:type="spellEnd"/>
      <w:r w:rsidRPr="0067571C">
        <w:rPr>
          <w:i/>
          <w:color w:val="000000"/>
        </w:rPr>
        <w:t xml:space="preserve"> Abuse </w:t>
      </w:r>
      <w:proofErr w:type="spellStart"/>
      <w:r w:rsidRPr="0067571C">
        <w:rPr>
          <w:i/>
          <w:color w:val="000000"/>
        </w:rPr>
        <w:t>of</w:t>
      </w:r>
      <w:proofErr w:type="spellEnd"/>
      <w:r w:rsidRPr="0067571C">
        <w:rPr>
          <w:i/>
          <w:color w:val="000000"/>
        </w:rPr>
        <w:t xml:space="preserve"> </w:t>
      </w:r>
      <w:proofErr w:type="spellStart"/>
      <w:r w:rsidRPr="0067571C">
        <w:rPr>
          <w:i/>
          <w:color w:val="000000"/>
        </w:rPr>
        <w:t>Children</w:t>
      </w:r>
      <w:proofErr w:type="spellEnd"/>
      <w:r w:rsidRPr="0067571C">
        <w:rPr>
          <w:i/>
          <w:color w:val="000000"/>
        </w:rPr>
        <w:t xml:space="preserve"> </w:t>
      </w:r>
      <w:r w:rsidRPr="0067571C">
        <w:rPr>
          <w:color w:val="000000"/>
        </w:rPr>
        <w:t xml:space="preserve">(SANTAC) em 2002, a </w:t>
      </w:r>
      <w:r w:rsidR="009332E0" w:rsidRPr="0067571C">
        <w:rPr>
          <w:color w:val="000000"/>
        </w:rPr>
        <w:t>capacitação</w:t>
      </w:r>
      <w:r w:rsidRPr="0067571C">
        <w:rPr>
          <w:color w:val="000000"/>
        </w:rPr>
        <w:t xml:space="preserve"> de jornalistas, a consciencialização da sociedade, por meio de comunicações públicas de membros do Parlamento, do Presidente, o Procurador-Geral e os Ministérios do Interior e da Justiça</w:t>
      </w:r>
      <w:r w:rsidRPr="0067571C">
        <w:rPr>
          <w:color w:val="000000"/>
          <w:vertAlign w:val="superscript"/>
        </w:rPr>
        <w:footnoteReference w:id="64"/>
      </w:r>
      <w:r w:rsidRPr="0067571C">
        <w:rPr>
          <w:color w:val="000000"/>
        </w:rPr>
        <w:t>.</w:t>
      </w:r>
      <w:r>
        <w:rPr>
          <w:color w:val="000000"/>
        </w:rPr>
        <w:t xml:space="preserve"> </w:t>
      </w:r>
    </w:p>
    <w:p w14:paraId="7A52B652" w14:textId="77777777" w:rsidR="005472EF" w:rsidRDefault="00932FD2">
      <w:pPr>
        <w:spacing w:before="240" w:after="240"/>
        <w:rPr>
          <w:color w:val="000000"/>
        </w:rPr>
      </w:pPr>
      <w:r>
        <w:rPr>
          <w:color w:val="000000"/>
        </w:rPr>
        <w:tab/>
        <w:t>Essas ações que visavam mostrar o comprometimento desses órgãos do Estado foram reforçadas pelas ações das Organizações da Sociedade Civil (OSC) e Organismos Internacionais (OI), como aponta UNESCO:</w:t>
      </w:r>
    </w:p>
    <w:p w14:paraId="52295D93" w14:textId="79698249" w:rsidR="005472EF" w:rsidRDefault="00932FD2" w:rsidP="00957F4D">
      <w:pPr>
        <w:spacing w:before="240" w:after="240" w:line="240" w:lineRule="auto"/>
        <w:ind w:left="2268"/>
        <w:rPr>
          <w:color w:val="000000"/>
          <w:sz w:val="22"/>
          <w:szCs w:val="22"/>
        </w:rPr>
      </w:pPr>
      <w:r w:rsidRPr="0067571C">
        <w:rPr>
          <w:color w:val="000000"/>
          <w:sz w:val="22"/>
          <w:szCs w:val="22"/>
        </w:rPr>
        <w:t xml:space="preserve">Existem muitas organizações nacionais que foram formadas [...]. Há muitas mais organizações internacionais envolvidas como, por exemplo, a IOM, UNODC, UNESCO, UNICEF, </w:t>
      </w:r>
      <w:proofErr w:type="spellStart"/>
      <w:r w:rsidRPr="0067571C">
        <w:rPr>
          <w:i/>
          <w:color w:val="000000"/>
          <w:sz w:val="22"/>
          <w:szCs w:val="22"/>
        </w:rPr>
        <w:t>Save</w:t>
      </w:r>
      <w:proofErr w:type="spellEnd"/>
      <w:r w:rsidRPr="0067571C">
        <w:rPr>
          <w:i/>
          <w:color w:val="000000"/>
          <w:sz w:val="22"/>
          <w:szCs w:val="22"/>
        </w:rPr>
        <w:t xml:space="preserve"> </w:t>
      </w:r>
      <w:proofErr w:type="spellStart"/>
      <w:r w:rsidRPr="0067571C">
        <w:rPr>
          <w:i/>
          <w:color w:val="000000"/>
          <w:sz w:val="22"/>
          <w:szCs w:val="22"/>
        </w:rPr>
        <w:t>the</w:t>
      </w:r>
      <w:proofErr w:type="spellEnd"/>
      <w:r w:rsidRPr="0067571C">
        <w:rPr>
          <w:i/>
          <w:color w:val="000000"/>
          <w:sz w:val="22"/>
          <w:szCs w:val="22"/>
        </w:rPr>
        <w:t xml:space="preserve"> </w:t>
      </w:r>
      <w:proofErr w:type="spellStart"/>
      <w:r w:rsidRPr="0067571C">
        <w:rPr>
          <w:i/>
          <w:color w:val="000000"/>
          <w:sz w:val="22"/>
          <w:szCs w:val="22"/>
        </w:rPr>
        <w:t>Children</w:t>
      </w:r>
      <w:proofErr w:type="spellEnd"/>
      <w:r w:rsidRPr="0067571C">
        <w:rPr>
          <w:color w:val="000000"/>
          <w:sz w:val="22"/>
          <w:szCs w:val="22"/>
        </w:rPr>
        <w:t xml:space="preserve"> Noruega, WLRI/CEDPA, USAID, bem como as Embaixadas da Noruega, do Reino Unido dos Estados Unidos da América. A maior parte ou estão a gerir e a financiar a pesquisa ou a providenciar programas de assistência técnica na luta contra o tráfico</w:t>
      </w:r>
      <w:r w:rsidRPr="0067571C">
        <w:rPr>
          <w:color w:val="000000"/>
          <w:sz w:val="22"/>
          <w:szCs w:val="22"/>
          <w:vertAlign w:val="superscript"/>
        </w:rPr>
        <w:footnoteReference w:id="65"/>
      </w:r>
      <w:r w:rsidRPr="0067571C">
        <w:rPr>
          <w:color w:val="000000"/>
          <w:sz w:val="22"/>
          <w:szCs w:val="22"/>
        </w:rPr>
        <w:t>.</w:t>
      </w:r>
    </w:p>
    <w:p w14:paraId="17F7BEED" w14:textId="410B1786" w:rsidR="005472EF" w:rsidRDefault="00932FD2">
      <w:pPr>
        <w:spacing w:before="240" w:after="240"/>
        <w:ind w:firstLine="709"/>
        <w:rPr>
          <w:color w:val="000000"/>
        </w:rPr>
      </w:pPr>
      <w:r w:rsidRPr="0067571C">
        <w:rPr>
          <w:color w:val="000000"/>
        </w:rPr>
        <w:t>No mesmo período, se constata</w:t>
      </w:r>
      <w:r w:rsidR="007628ED" w:rsidRPr="0067571C">
        <w:rPr>
          <w:color w:val="000000"/>
        </w:rPr>
        <w:t>m</w:t>
      </w:r>
      <w:r w:rsidRPr="0067571C">
        <w:rPr>
          <w:color w:val="000000"/>
        </w:rPr>
        <w:t xml:space="preserve"> como ações relevantes, o envolvimento de crianças nas campanhas de sensibilização, a colaboração transfronteiriça entre as ONGs</w:t>
      </w:r>
      <w:r w:rsidR="007628ED" w:rsidRPr="0067571C">
        <w:rPr>
          <w:color w:val="000000"/>
        </w:rPr>
        <w:t xml:space="preserve"> (organizações não governamentais)</w:t>
      </w:r>
      <w:r w:rsidRPr="0067571C">
        <w:rPr>
          <w:color w:val="000000"/>
        </w:rPr>
        <w:t xml:space="preserve"> dos países vizinhos de Moçambique, com objetivo de trocar experiências técnicas e operacionais, sobre </w:t>
      </w:r>
      <w:r w:rsidR="002D60CF" w:rsidRPr="0067571C">
        <w:rPr>
          <w:color w:val="000000"/>
        </w:rPr>
        <w:t>as formas de</w:t>
      </w:r>
      <w:r w:rsidRPr="0067571C">
        <w:rPr>
          <w:color w:val="000000"/>
        </w:rPr>
        <w:t xml:space="preserve"> lidar com as vítimas de </w:t>
      </w:r>
      <w:r w:rsidRPr="0067571C">
        <w:rPr>
          <w:color w:val="000000"/>
        </w:rPr>
        <w:lastRenderedPageBreak/>
        <w:t xml:space="preserve">tráfico e de providenciar o apoio mútuo entre essas organizações e representantes governamentais de alto nível dos Estados. Tais fóruns contaram com a participação da Polícia da República de Moçambique (PRM) e a </w:t>
      </w:r>
      <w:r w:rsidRPr="0067571C">
        <w:rPr>
          <w:i/>
          <w:color w:val="000000"/>
        </w:rPr>
        <w:t xml:space="preserve">South </w:t>
      </w:r>
      <w:proofErr w:type="spellStart"/>
      <w:r w:rsidRPr="0067571C">
        <w:rPr>
          <w:i/>
          <w:color w:val="000000"/>
        </w:rPr>
        <w:t>African</w:t>
      </w:r>
      <w:proofErr w:type="spellEnd"/>
      <w:r w:rsidRPr="0067571C">
        <w:rPr>
          <w:i/>
          <w:color w:val="000000"/>
        </w:rPr>
        <w:t xml:space="preserve"> Police Service (SAPS), </w:t>
      </w:r>
      <w:r w:rsidRPr="0067571C">
        <w:rPr>
          <w:color w:val="000000"/>
        </w:rPr>
        <w:t xml:space="preserve">mediante acordos de cooperação técnica-operacional celebrados entre as duas instituições, assim como entre a PRM e a Polícia da </w:t>
      </w:r>
      <w:proofErr w:type="spellStart"/>
      <w:r w:rsidRPr="0067571C">
        <w:rPr>
          <w:color w:val="000000"/>
        </w:rPr>
        <w:t>Swazilândia</w:t>
      </w:r>
      <w:proofErr w:type="spellEnd"/>
      <w:r w:rsidRPr="0067571C">
        <w:rPr>
          <w:color w:val="000000"/>
        </w:rPr>
        <w:t xml:space="preserve">, </w:t>
      </w:r>
      <w:r w:rsidR="002773B6" w:rsidRPr="0067571C">
        <w:rPr>
          <w:color w:val="000000"/>
        </w:rPr>
        <w:t>por meio de</w:t>
      </w:r>
      <w:r w:rsidRPr="0067571C">
        <w:rPr>
          <w:color w:val="000000"/>
        </w:rPr>
        <w:t xml:space="preserve"> acordos entre as instituições policiais dos três Estados, que fazem fronteira terrestre na região sul do país. Esses acordos bilaterais, assim como trilaterais de cooperação técnico-operacionais e estratégicas são comuns entre Moçambique e os países que partilham a mesma fronteira</w:t>
      </w:r>
      <w:r>
        <w:rPr>
          <w:color w:val="000000"/>
        </w:rPr>
        <w:t>, em toda extensão da sua fronteira terrestre, nomeadamente: Zimbabwe, Zâmbia, Malawi e Tanzânia:</w:t>
      </w:r>
    </w:p>
    <w:p w14:paraId="16643A81" w14:textId="2824A31A" w:rsidR="005472EF" w:rsidRDefault="00932FD2" w:rsidP="00872E01">
      <w:pPr>
        <w:spacing w:before="240" w:after="240" w:line="240" w:lineRule="auto"/>
        <w:ind w:left="2268"/>
        <w:rPr>
          <w:color w:val="000000"/>
          <w:sz w:val="22"/>
          <w:szCs w:val="22"/>
        </w:rPr>
      </w:pPr>
      <w:r w:rsidRPr="00F25CD7">
        <w:rPr>
          <w:color w:val="000000"/>
          <w:sz w:val="22"/>
          <w:szCs w:val="22"/>
        </w:rPr>
        <w:t>Esta colaboração apoia organizações em Moçambique e na África do Sul, incluindo representantes governamentais de alto nível. A polícia da África do Sul e de Moçambique encontra-se envolvida em discussões com as ONGs para partilhar experiências operacionais sobre como lidar com as vítimas, resgatar as vítimas e sobre as formas como os traficantes operam. As ONGs têm encontros regulares transfronteiriços em vários níveis</w:t>
      </w:r>
      <w:r w:rsidR="00872E01" w:rsidRPr="00F25CD7">
        <w:rPr>
          <w:color w:val="000000"/>
          <w:sz w:val="22"/>
          <w:szCs w:val="22"/>
        </w:rPr>
        <w:t xml:space="preserve">. </w:t>
      </w:r>
      <w:r w:rsidRPr="00F25CD7">
        <w:rPr>
          <w:color w:val="000000"/>
          <w:sz w:val="22"/>
          <w:szCs w:val="22"/>
          <w:vertAlign w:val="superscript"/>
        </w:rPr>
        <w:footnoteReference w:id="66"/>
      </w:r>
    </w:p>
    <w:p w14:paraId="1E252761" w14:textId="04FE8CB2" w:rsidR="005472EF" w:rsidRDefault="00932FD2">
      <w:pPr>
        <w:ind w:right="0" w:firstLine="720"/>
        <w:rPr>
          <w:color w:val="000000"/>
        </w:rPr>
      </w:pPr>
      <w:r w:rsidRPr="00F25CD7">
        <w:rPr>
          <w:color w:val="000000"/>
        </w:rPr>
        <w:t>Com efeito, denota-se um enorme esforço dos diversos atores, de Moçambique em particular, em direção à compreensão do problema, vez que se tratava de introduzir a “questão do tráfico de pessoas” na agenda governamental. Trata-se de um espaço que privilegiava o reconhecimento do problema do tráfico ao nível global, continental, regional e nacional – um período em que ao Estado, uma vez ratificado instrumentos internacionais relevantes sobre a matéria tinha a obrigação, como asseveram Corrêa da Silva</w:t>
      </w:r>
      <w:r w:rsidRPr="00F25CD7">
        <w:rPr>
          <w:color w:val="000000"/>
          <w:vertAlign w:val="superscript"/>
        </w:rPr>
        <w:footnoteReference w:id="67"/>
      </w:r>
      <w:r w:rsidRPr="00F25CD7">
        <w:rPr>
          <w:color w:val="000000"/>
        </w:rPr>
        <w:t xml:space="preserve"> e Roda</w:t>
      </w:r>
      <w:r w:rsidRPr="00F25CD7">
        <w:rPr>
          <w:color w:val="000000"/>
          <w:vertAlign w:val="superscript"/>
        </w:rPr>
        <w:footnoteReference w:id="68"/>
      </w:r>
      <w:r w:rsidRPr="00F25CD7">
        <w:rPr>
          <w:color w:val="000000"/>
        </w:rPr>
        <w:t>, de desenvolver ações concretas ao nível interno, sem ignorar pressões que sofria aos níveis bilateral e trilateral, nas suas relações, principalmente com a Suazilândia e a África do Sul, os quais consideravam Moçambique como sendo um país de trânsito do tráfico de pessoas, especialmente para a África do Sul. Salienta</w:t>
      </w:r>
      <w:r w:rsidR="00DB00F8" w:rsidRPr="00F25CD7">
        <w:rPr>
          <w:color w:val="000000"/>
        </w:rPr>
        <w:t>-se</w:t>
      </w:r>
      <w:r w:rsidRPr="00F25CD7">
        <w:rPr>
          <w:color w:val="000000"/>
        </w:rPr>
        <w:t xml:space="preserve"> que ao “nível regional, Moçambique tem </w:t>
      </w:r>
      <w:r w:rsidRPr="00F25CD7">
        <w:rPr>
          <w:color w:val="000000"/>
        </w:rPr>
        <w:lastRenderedPageBreak/>
        <w:t>sido considerado o principal corredor do tráfico de pessoas particularmente, de mulheres e crianças e, a África de Sul, país que partilham a mesma fronteira, “o principal destino das vítimas de TP</w:t>
      </w:r>
      <w:r w:rsidRPr="00F25CD7">
        <w:rPr>
          <w:color w:val="000000"/>
          <w:vertAlign w:val="superscript"/>
        </w:rPr>
        <w:footnoteReference w:id="69"/>
      </w:r>
      <w:r w:rsidRPr="00F25CD7">
        <w:rPr>
          <w:color w:val="000000"/>
        </w:rPr>
        <w:t>”</w:t>
      </w:r>
      <w:r w:rsidRPr="00F25CD7">
        <w:rPr>
          <w:color w:val="000000"/>
          <w:vertAlign w:val="superscript"/>
        </w:rPr>
        <w:footnoteReference w:id="70"/>
      </w:r>
      <w:r w:rsidRPr="00F25CD7">
        <w:rPr>
          <w:color w:val="000000"/>
        </w:rPr>
        <w:t>.</w:t>
      </w:r>
    </w:p>
    <w:p w14:paraId="126476C7" w14:textId="77777777" w:rsidR="005472EF" w:rsidRDefault="005472EF">
      <w:pPr>
        <w:spacing w:before="0" w:after="0" w:line="240" w:lineRule="auto"/>
        <w:ind w:right="0" w:firstLine="709"/>
        <w:rPr>
          <w:color w:val="000000"/>
        </w:rPr>
      </w:pPr>
    </w:p>
    <w:p w14:paraId="4D9349DD" w14:textId="77777777" w:rsidR="00DE71B4" w:rsidRDefault="00DE71B4">
      <w:pPr>
        <w:spacing w:before="0" w:after="0" w:line="240" w:lineRule="auto"/>
        <w:ind w:right="0" w:firstLine="709"/>
        <w:rPr>
          <w:color w:val="000000"/>
        </w:rPr>
      </w:pPr>
    </w:p>
    <w:p w14:paraId="26856FF0" w14:textId="77777777" w:rsidR="00DE71B4" w:rsidRDefault="00DE71B4">
      <w:pPr>
        <w:spacing w:before="0" w:after="0" w:line="240" w:lineRule="auto"/>
        <w:ind w:right="0" w:firstLine="709"/>
        <w:rPr>
          <w:color w:val="000000"/>
        </w:rPr>
      </w:pPr>
    </w:p>
    <w:p w14:paraId="332D6F29" w14:textId="77777777" w:rsidR="005472EF" w:rsidRDefault="00932FD2">
      <w:pPr>
        <w:spacing w:before="240" w:after="240"/>
        <w:rPr>
          <w:b/>
          <w:color w:val="000000"/>
        </w:rPr>
      </w:pPr>
      <w:r>
        <w:rPr>
          <w:color w:val="000000"/>
        </w:rPr>
        <w:tab/>
      </w:r>
      <w:r>
        <w:rPr>
          <w:b/>
          <w:color w:val="000000"/>
        </w:rPr>
        <w:t>3.1 Determinantes internacionais e regionais para a elaboração de Políticas Públicas de prevenção e combate ao tráfico de pessoas em Moçambique</w:t>
      </w:r>
    </w:p>
    <w:p w14:paraId="710E3A94" w14:textId="74AE9C08" w:rsidR="005472EF" w:rsidRPr="00F25CD7" w:rsidRDefault="00932FD2">
      <w:pPr>
        <w:spacing w:before="240" w:after="240"/>
        <w:rPr>
          <w:color w:val="000000"/>
        </w:rPr>
      </w:pPr>
      <w:r>
        <w:rPr>
          <w:color w:val="000000"/>
        </w:rPr>
        <w:tab/>
      </w:r>
      <w:r w:rsidRPr="00F25CD7">
        <w:rPr>
          <w:color w:val="000000"/>
        </w:rPr>
        <w:t>Moçambique ratificou dois instrumentos internacionais, quais sejam: a Convenção das Nações Unidas contra o Crime Organizado Transnacional</w:t>
      </w:r>
      <w:r w:rsidRPr="00F25CD7">
        <w:rPr>
          <w:color w:val="000000"/>
          <w:vertAlign w:val="superscript"/>
        </w:rPr>
        <w:footnoteReference w:id="71"/>
      </w:r>
      <w:r w:rsidRPr="00F25CD7">
        <w:rPr>
          <w:color w:val="000000"/>
        </w:rPr>
        <w:t xml:space="preserve"> e o Protocolo de Palermo (2000). Na mesma senda participou em 2009</w:t>
      </w:r>
      <w:r w:rsidR="00C42DA9" w:rsidRPr="00F25CD7">
        <w:rPr>
          <w:color w:val="000000"/>
        </w:rPr>
        <w:t xml:space="preserve"> d</w:t>
      </w:r>
      <w:r w:rsidRPr="00F25CD7">
        <w:rPr>
          <w:color w:val="000000"/>
        </w:rPr>
        <w:t xml:space="preserve">a elaboração do Plano de </w:t>
      </w:r>
      <w:proofErr w:type="spellStart"/>
      <w:r w:rsidRPr="00F25CD7">
        <w:rPr>
          <w:color w:val="000000"/>
        </w:rPr>
        <w:t>Acção</w:t>
      </w:r>
      <w:proofErr w:type="spellEnd"/>
      <w:r w:rsidRPr="00F25CD7">
        <w:rPr>
          <w:color w:val="000000"/>
        </w:rPr>
        <w:t xml:space="preserve"> Estratégico Decenal para o Combate ao Tráfico de Pessoas, em particular de Mulheres e Crianças (2009-2019)</w:t>
      </w:r>
      <w:r w:rsidRPr="00F25CD7">
        <w:rPr>
          <w:color w:val="000000"/>
          <w:vertAlign w:val="superscript"/>
        </w:rPr>
        <w:footnoteReference w:id="72"/>
      </w:r>
      <w:r w:rsidRPr="00F25CD7">
        <w:rPr>
          <w:color w:val="000000"/>
        </w:rPr>
        <w:t xml:space="preserve">, um empreendimento da </w:t>
      </w:r>
      <w:r w:rsidRPr="00F25CD7">
        <w:rPr>
          <w:i/>
          <w:color w:val="000000"/>
        </w:rPr>
        <w:t xml:space="preserve">Southern </w:t>
      </w:r>
      <w:proofErr w:type="spellStart"/>
      <w:r w:rsidRPr="00F25CD7">
        <w:rPr>
          <w:i/>
          <w:color w:val="000000"/>
        </w:rPr>
        <w:t>African</w:t>
      </w:r>
      <w:proofErr w:type="spellEnd"/>
      <w:r w:rsidRPr="00F25CD7">
        <w:rPr>
          <w:i/>
          <w:color w:val="000000"/>
        </w:rPr>
        <w:t xml:space="preserve"> </w:t>
      </w:r>
      <w:proofErr w:type="spellStart"/>
      <w:r w:rsidRPr="00F25CD7">
        <w:rPr>
          <w:i/>
          <w:color w:val="000000"/>
        </w:rPr>
        <w:t>Development</w:t>
      </w:r>
      <w:proofErr w:type="spellEnd"/>
      <w:r w:rsidRPr="00F25CD7">
        <w:rPr>
          <w:i/>
          <w:color w:val="000000"/>
        </w:rPr>
        <w:t xml:space="preserve"> Community </w:t>
      </w:r>
      <w:r w:rsidRPr="00F25CD7">
        <w:rPr>
          <w:color w:val="000000"/>
        </w:rPr>
        <w:t>(SADC) dedicado à prevenção e combate ao tráfico de pessoas, especialmente mulheres e crianças no interior dos Estados-membros da SADC e na região da África Austral, sendo que de entre diversos aspetos destaca:</w:t>
      </w:r>
    </w:p>
    <w:p w14:paraId="49EA32EE" w14:textId="77777777" w:rsidR="005472EF" w:rsidRDefault="00932FD2" w:rsidP="006D3820">
      <w:pPr>
        <w:tabs>
          <w:tab w:val="left" w:pos="2268"/>
        </w:tabs>
        <w:spacing w:before="240" w:after="240" w:line="240" w:lineRule="auto"/>
        <w:ind w:left="2268"/>
        <w:rPr>
          <w:color w:val="000000"/>
          <w:sz w:val="22"/>
          <w:szCs w:val="22"/>
        </w:rPr>
      </w:pPr>
      <w:r w:rsidRPr="00F25CD7">
        <w:rPr>
          <w:color w:val="000000"/>
          <w:sz w:val="22"/>
          <w:szCs w:val="22"/>
        </w:rPr>
        <w:t>[...] a investigação e a partilha de informação, como uma área importante de intervenção estratégica na luta contra o TP</w:t>
      </w:r>
      <w:r w:rsidRPr="00F25CD7">
        <w:rPr>
          <w:color w:val="000000"/>
          <w:sz w:val="22"/>
          <w:szCs w:val="22"/>
          <w:vertAlign w:val="superscript"/>
        </w:rPr>
        <w:footnoteReference w:id="73"/>
      </w:r>
      <w:r w:rsidRPr="00F25CD7">
        <w:rPr>
          <w:color w:val="000000"/>
          <w:sz w:val="22"/>
          <w:szCs w:val="22"/>
        </w:rPr>
        <w:t xml:space="preserve">, [...] apela ainda à </w:t>
      </w:r>
      <w:r w:rsidRPr="00F25CD7">
        <w:rPr>
          <w:color w:val="000000"/>
          <w:sz w:val="22"/>
          <w:szCs w:val="22"/>
        </w:rPr>
        <w:lastRenderedPageBreak/>
        <w:t>partilha de documentação, de experiências e de práticas eficazes de prevenção e combate ao TP</w:t>
      </w:r>
      <w:r w:rsidRPr="00F25CD7">
        <w:rPr>
          <w:color w:val="000000"/>
          <w:sz w:val="22"/>
          <w:szCs w:val="22"/>
          <w:vertAlign w:val="superscript"/>
        </w:rPr>
        <w:footnoteReference w:id="74"/>
      </w:r>
      <w:r w:rsidRPr="00F25CD7">
        <w:rPr>
          <w:color w:val="000000"/>
          <w:sz w:val="22"/>
          <w:szCs w:val="22"/>
        </w:rPr>
        <w:t>.</w:t>
      </w:r>
      <w:r>
        <w:rPr>
          <w:color w:val="000000"/>
          <w:sz w:val="22"/>
          <w:szCs w:val="22"/>
        </w:rPr>
        <w:t xml:space="preserve"> </w:t>
      </w:r>
    </w:p>
    <w:p w14:paraId="38B0B558" w14:textId="77777777" w:rsidR="005472EF" w:rsidRPr="00F25CD7" w:rsidRDefault="00932FD2">
      <w:pPr>
        <w:spacing w:before="240" w:after="240"/>
        <w:rPr>
          <w:color w:val="000000"/>
        </w:rPr>
      </w:pPr>
      <w:r>
        <w:rPr>
          <w:color w:val="000000"/>
        </w:rPr>
        <w:tab/>
        <w:t xml:space="preserve">Mormente, essas ações resultam de esforços iniciados pelo Estado moçambicano em reconhecimento da existência da problemática do tráfico de pessoas aos níveis internacional e nacional. Como se observa, referindo-se à dimensão do tráfico, especificamente de crianças em Moçambique, a pesquisa encomendada pela Procuradoria Geral da </w:t>
      </w:r>
      <w:r w:rsidRPr="00F25CD7">
        <w:rPr>
          <w:color w:val="000000"/>
        </w:rPr>
        <w:t>República (PGR), em 2014 constatou que,</w:t>
      </w:r>
    </w:p>
    <w:p w14:paraId="6E29C57C" w14:textId="77777777" w:rsidR="005472EF" w:rsidRDefault="00932FD2" w:rsidP="002B5686">
      <w:pPr>
        <w:spacing w:before="240" w:after="240" w:line="240" w:lineRule="auto"/>
        <w:ind w:left="2268"/>
        <w:rPr>
          <w:color w:val="000000"/>
          <w:sz w:val="22"/>
          <w:szCs w:val="22"/>
        </w:rPr>
      </w:pPr>
      <w:r w:rsidRPr="00F25CD7">
        <w:rPr>
          <w:color w:val="000000"/>
        </w:rPr>
        <w:t>[</w:t>
      </w:r>
      <w:r w:rsidRPr="00F25CD7">
        <w:rPr>
          <w:color w:val="000000"/>
          <w:sz w:val="22"/>
          <w:szCs w:val="22"/>
        </w:rPr>
        <w:t xml:space="preserve">...] o problema de Tráfico de Crianças (TC) tem sido </w:t>
      </w:r>
      <w:proofErr w:type="spellStart"/>
      <w:r w:rsidRPr="00F25CD7">
        <w:rPr>
          <w:color w:val="000000"/>
          <w:sz w:val="22"/>
          <w:szCs w:val="22"/>
        </w:rPr>
        <w:t>objecto</w:t>
      </w:r>
      <w:proofErr w:type="spellEnd"/>
      <w:r w:rsidRPr="00F25CD7">
        <w:rPr>
          <w:color w:val="000000"/>
          <w:sz w:val="22"/>
          <w:szCs w:val="22"/>
        </w:rPr>
        <w:t xml:space="preserve"> de reflexão, quer das autoridades estatais, quer das organizações da sociedade civil (OSC). Esta reflexão trouxe resultados que se revelaram satisfatórios com a publicação de estudos sobre o TP em Moçambique, bem como a publicitação dos direitos humanos das mulheres e das crianças. Foi assim que foram ratificados instrumentos legais internacionais</w:t>
      </w:r>
      <w:r w:rsidRPr="00F25CD7">
        <w:rPr>
          <w:color w:val="000000"/>
          <w:sz w:val="22"/>
          <w:szCs w:val="22"/>
          <w:vertAlign w:val="superscript"/>
        </w:rPr>
        <w:footnoteReference w:id="75"/>
      </w:r>
      <w:r w:rsidRPr="00F25CD7">
        <w:rPr>
          <w:color w:val="000000"/>
          <w:sz w:val="22"/>
          <w:szCs w:val="22"/>
        </w:rPr>
        <w:t>.</w:t>
      </w:r>
    </w:p>
    <w:p w14:paraId="538A220D" w14:textId="77777777" w:rsidR="005472EF" w:rsidRDefault="00932FD2">
      <w:pPr>
        <w:spacing w:before="240" w:after="240"/>
        <w:rPr>
          <w:color w:val="000000"/>
        </w:rPr>
      </w:pPr>
      <w:r>
        <w:rPr>
          <w:color w:val="000000"/>
        </w:rPr>
        <w:tab/>
        <w:t xml:space="preserve">Esse esforço normativo foi desenvolvido por Moçambique dada a natureza global e regional do tráfico de pessoas, assim como no sentido de mostrar que “está comprometido com a problemática do TP, o que se traduz na prevenção, na repressão dos traficantes e na assistência e </w:t>
      </w:r>
      <w:proofErr w:type="spellStart"/>
      <w:r>
        <w:rPr>
          <w:color w:val="000000"/>
        </w:rPr>
        <w:t>protecção</w:t>
      </w:r>
      <w:proofErr w:type="spellEnd"/>
      <w:r>
        <w:rPr>
          <w:color w:val="000000"/>
        </w:rPr>
        <w:t xml:space="preserve"> às vítimas, a nível doméstico e internacional”</w:t>
      </w:r>
      <w:r>
        <w:rPr>
          <w:color w:val="000000"/>
          <w:vertAlign w:val="superscript"/>
        </w:rPr>
        <w:footnoteReference w:id="76"/>
      </w:r>
      <w:r>
        <w:rPr>
          <w:color w:val="000000"/>
        </w:rPr>
        <w:t xml:space="preserve">. </w:t>
      </w:r>
    </w:p>
    <w:p w14:paraId="75493E3C" w14:textId="77777777" w:rsidR="005472EF" w:rsidRDefault="00932FD2">
      <w:pPr>
        <w:pBdr>
          <w:top w:val="nil"/>
          <w:left w:val="nil"/>
          <w:bottom w:val="nil"/>
          <w:right w:val="nil"/>
          <w:between w:val="nil"/>
        </w:pBdr>
        <w:spacing w:before="240" w:after="240"/>
        <w:ind w:right="0" w:firstLine="709"/>
        <w:rPr>
          <w:color w:val="000000"/>
        </w:rPr>
      </w:pPr>
      <w:r>
        <w:rPr>
          <w:color w:val="000000"/>
        </w:rPr>
        <w:tab/>
        <w:t xml:space="preserve">Para além da adesão e ratificação dos instrumentos referidos, Moçambique adotou o Protocolo da </w:t>
      </w:r>
      <w:r>
        <w:rPr>
          <w:i/>
          <w:color w:val="000000"/>
        </w:rPr>
        <w:t xml:space="preserve">Southern </w:t>
      </w:r>
      <w:proofErr w:type="spellStart"/>
      <w:r>
        <w:rPr>
          <w:i/>
          <w:color w:val="000000"/>
        </w:rPr>
        <w:t>African</w:t>
      </w:r>
      <w:proofErr w:type="spellEnd"/>
      <w:r>
        <w:rPr>
          <w:i/>
          <w:color w:val="000000"/>
        </w:rPr>
        <w:t xml:space="preserve"> </w:t>
      </w:r>
      <w:proofErr w:type="spellStart"/>
      <w:r>
        <w:rPr>
          <w:i/>
          <w:color w:val="000000"/>
        </w:rPr>
        <w:t>Development</w:t>
      </w:r>
      <w:proofErr w:type="spellEnd"/>
      <w:r>
        <w:rPr>
          <w:i/>
          <w:color w:val="000000"/>
        </w:rPr>
        <w:t xml:space="preserve"> Community </w:t>
      </w:r>
      <w:r>
        <w:rPr>
          <w:color w:val="000000"/>
        </w:rPr>
        <w:t>(SADC) sobre Gênero e Desenvolvimento</w:t>
      </w:r>
      <w:r>
        <w:rPr>
          <w:color w:val="000000"/>
          <w:vertAlign w:val="superscript"/>
        </w:rPr>
        <w:footnoteReference w:id="77"/>
      </w:r>
      <w:r>
        <w:rPr>
          <w:color w:val="000000"/>
        </w:rPr>
        <w:t xml:space="preserve">, que considera o tráfico de pessoas como uma forma de violência baseada no gênero. Esse instrumento regional foi ratificado por Moçambique, em prossecução dos interesses concordados ao nível da região da SADC, relacionados à </w:t>
      </w:r>
      <w:r>
        <w:rPr>
          <w:color w:val="000000"/>
        </w:rPr>
        <w:lastRenderedPageBreak/>
        <w:t xml:space="preserve">necessidade da </w:t>
      </w:r>
      <w:r>
        <w:rPr>
          <w:color w:val="000000"/>
          <w:highlight w:val="white"/>
        </w:rPr>
        <w:t>inclusão de questões de género no programa de ação da SADC e nas suas iniciativas de construção comunitária, o que constitui um fator-chave para o desenvolvimento sustentável da África Austral</w:t>
      </w:r>
      <w:r>
        <w:rPr>
          <w:color w:val="000000"/>
          <w:highlight w:val="white"/>
          <w:vertAlign w:val="superscript"/>
        </w:rPr>
        <w:footnoteReference w:id="78"/>
      </w:r>
      <w:r>
        <w:rPr>
          <w:color w:val="000000"/>
          <w:highlight w:val="white"/>
        </w:rPr>
        <w:t>. </w:t>
      </w:r>
    </w:p>
    <w:p w14:paraId="15E58B1F" w14:textId="3984ED89" w:rsidR="005472EF" w:rsidRPr="00F25CD7" w:rsidRDefault="00932FD2">
      <w:pPr>
        <w:spacing w:before="240" w:after="240"/>
        <w:ind w:right="0" w:firstLine="709"/>
        <w:rPr>
          <w:color w:val="000000"/>
        </w:rPr>
      </w:pPr>
      <w:r w:rsidRPr="00F25CD7">
        <w:rPr>
          <w:color w:val="000000"/>
        </w:rPr>
        <w:t>Essa motivação, inclusive, reafirma o comprometimento dos Estados</w:t>
      </w:r>
      <w:r w:rsidR="002A18EA" w:rsidRPr="00F25CD7">
        <w:rPr>
          <w:color w:val="000000"/>
        </w:rPr>
        <w:t>-</w:t>
      </w:r>
      <w:r w:rsidRPr="00F25CD7">
        <w:rPr>
          <w:color w:val="000000"/>
        </w:rPr>
        <w:t>Membros da SADC a não discriminar nenhuma pessoa em razão do sexo ou g</w:t>
      </w:r>
      <w:r w:rsidR="002A18EA" w:rsidRPr="00F25CD7">
        <w:rPr>
          <w:color w:val="000000"/>
        </w:rPr>
        <w:t>ê</w:t>
      </w:r>
      <w:r w:rsidRPr="00F25CD7">
        <w:rPr>
          <w:color w:val="000000"/>
        </w:rPr>
        <w:t xml:space="preserve">nero, como </w:t>
      </w:r>
      <w:r w:rsidR="002A18EA" w:rsidRPr="00F25CD7">
        <w:rPr>
          <w:color w:val="000000"/>
        </w:rPr>
        <w:t>determina</w:t>
      </w:r>
      <w:r w:rsidRPr="00F25CD7">
        <w:rPr>
          <w:color w:val="000000"/>
        </w:rPr>
        <w:t xml:space="preserve"> o número 2 </w:t>
      </w:r>
      <w:r w:rsidR="00F25CD7" w:rsidRPr="00F25CD7">
        <w:rPr>
          <w:color w:val="000000"/>
        </w:rPr>
        <w:t>do art. 6</w:t>
      </w:r>
      <w:r w:rsidR="004E647C">
        <w:rPr>
          <w:color w:val="000000"/>
        </w:rPr>
        <w:t>º</w:t>
      </w:r>
      <w:r w:rsidRPr="00F25CD7">
        <w:rPr>
          <w:color w:val="000000"/>
        </w:rPr>
        <w:t xml:space="preserve"> do Tratado da SADC</w:t>
      </w:r>
      <w:r w:rsidRPr="00F25CD7">
        <w:rPr>
          <w:color w:val="000000"/>
          <w:vertAlign w:val="superscript"/>
        </w:rPr>
        <w:footnoteReference w:id="79"/>
      </w:r>
      <w:r w:rsidRPr="00F25CD7">
        <w:rPr>
          <w:color w:val="000000"/>
        </w:rPr>
        <w:t>. A isso se acrescenta a noção de que a igualdade e equidade de g</w:t>
      </w:r>
      <w:r w:rsidR="00417A89" w:rsidRPr="00F25CD7">
        <w:rPr>
          <w:color w:val="000000"/>
        </w:rPr>
        <w:t>ê</w:t>
      </w:r>
      <w:r w:rsidRPr="00F25CD7">
        <w:rPr>
          <w:color w:val="000000"/>
        </w:rPr>
        <w:t>nero é um direito humano</w:t>
      </w:r>
      <w:r w:rsidR="00417A89" w:rsidRPr="00F25CD7">
        <w:rPr>
          <w:color w:val="000000"/>
        </w:rPr>
        <w:t xml:space="preserve"> e fundamental</w:t>
      </w:r>
      <w:r w:rsidRPr="00F25CD7">
        <w:rPr>
          <w:color w:val="000000"/>
        </w:rPr>
        <w:t>, o que impulsionou Moçambique, assim como os países da África Austral, a assinar, ratificar ou aderir a Convenção das Nações Unidas sobre a Eliminação de Todas as Formas de Discriminação Contra as Mulheres (CEDAW)</w:t>
      </w:r>
      <w:r w:rsidRPr="00F25CD7">
        <w:rPr>
          <w:color w:val="000000"/>
          <w:vertAlign w:val="superscript"/>
        </w:rPr>
        <w:footnoteReference w:id="80"/>
      </w:r>
      <w:r w:rsidRPr="00F25CD7">
        <w:rPr>
          <w:color w:val="000000"/>
        </w:rPr>
        <w:t>.</w:t>
      </w:r>
    </w:p>
    <w:p w14:paraId="2216D98A" w14:textId="1D7956BB" w:rsidR="005472EF" w:rsidRDefault="00932FD2">
      <w:pPr>
        <w:spacing w:before="240" w:after="240"/>
        <w:ind w:right="0" w:firstLine="709"/>
        <w:rPr>
          <w:color w:val="000000"/>
        </w:rPr>
      </w:pPr>
      <w:r w:rsidRPr="00F25CD7">
        <w:rPr>
          <w:color w:val="000000"/>
        </w:rPr>
        <w:t>No enfrentamento ao tráfico de pessoas ao nível da SADC, a importância do Protocolo da SADC sobre G</w:t>
      </w:r>
      <w:r w:rsidR="00860874" w:rsidRPr="00F25CD7">
        <w:rPr>
          <w:color w:val="000000"/>
        </w:rPr>
        <w:t>ê</w:t>
      </w:r>
      <w:r w:rsidRPr="00F25CD7">
        <w:rPr>
          <w:color w:val="000000"/>
        </w:rPr>
        <w:t xml:space="preserve">nero e Desenvolvimento encontra fundamento ao dispor na alínea </w:t>
      </w:r>
      <w:r w:rsidR="00860874" w:rsidRPr="00F25CD7">
        <w:rPr>
          <w:color w:val="000000"/>
        </w:rPr>
        <w:t>“</w:t>
      </w:r>
      <w:r w:rsidRPr="00F25CD7">
        <w:rPr>
          <w:color w:val="000000"/>
        </w:rPr>
        <w:t>d</w:t>
      </w:r>
      <w:r w:rsidR="00860874" w:rsidRPr="00F25CD7">
        <w:rPr>
          <w:color w:val="000000"/>
        </w:rPr>
        <w:t>”</w:t>
      </w:r>
      <w:r w:rsidRPr="00F25CD7">
        <w:rPr>
          <w:color w:val="000000"/>
        </w:rPr>
        <w:t xml:space="preserve"> do</w:t>
      </w:r>
      <w:r w:rsidR="00F25CD7" w:rsidRPr="00F25CD7">
        <w:rPr>
          <w:color w:val="000000"/>
        </w:rPr>
        <w:t xml:space="preserve"> art. 11</w:t>
      </w:r>
      <w:r w:rsidRPr="00F25CD7">
        <w:rPr>
          <w:color w:val="000000"/>
        </w:rPr>
        <w:t>, que os Estados-</w:t>
      </w:r>
      <w:r w:rsidR="00C03027" w:rsidRPr="00F25CD7">
        <w:rPr>
          <w:color w:val="000000"/>
        </w:rPr>
        <w:t>P</w:t>
      </w:r>
      <w:r w:rsidRPr="00F25CD7">
        <w:rPr>
          <w:color w:val="000000"/>
        </w:rPr>
        <w:t xml:space="preserve">arte devem adoptar legislação, políticas e programas para garantir o desenvolvimento e a proteção de raparigas e rapazes contra a exploração económica, do tráfico de pessoas e de todas as formas de violência, incluindo o abuso sexual. Essa preceituação é reforçada pelas alíneas </w:t>
      </w:r>
      <w:r w:rsidR="00C03027" w:rsidRPr="00F25CD7">
        <w:rPr>
          <w:color w:val="000000"/>
        </w:rPr>
        <w:t>“</w:t>
      </w:r>
      <w:r w:rsidRPr="00F25CD7">
        <w:rPr>
          <w:color w:val="000000"/>
        </w:rPr>
        <w:t>a</w:t>
      </w:r>
      <w:r w:rsidR="00C03027" w:rsidRPr="00F25CD7">
        <w:rPr>
          <w:color w:val="000000"/>
        </w:rPr>
        <w:t>”</w:t>
      </w:r>
      <w:r w:rsidRPr="00F25CD7">
        <w:rPr>
          <w:color w:val="000000"/>
        </w:rPr>
        <w:t xml:space="preserve">, </w:t>
      </w:r>
      <w:r w:rsidR="00C03027" w:rsidRPr="00F25CD7">
        <w:rPr>
          <w:color w:val="000000"/>
        </w:rPr>
        <w:t>“</w:t>
      </w:r>
      <w:r w:rsidRPr="00F25CD7">
        <w:rPr>
          <w:color w:val="000000"/>
        </w:rPr>
        <w:t>b</w:t>
      </w:r>
      <w:r w:rsidR="00C03027" w:rsidRPr="00F25CD7">
        <w:rPr>
          <w:color w:val="000000"/>
        </w:rPr>
        <w:t>”</w:t>
      </w:r>
      <w:r w:rsidRPr="00F25CD7">
        <w:rPr>
          <w:color w:val="000000"/>
        </w:rPr>
        <w:t xml:space="preserve">, </w:t>
      </w:r>
      <w:r w:rsidR="00C03027" w:rsidRPr="00F25CD7">
        <w:rPr>
          <w:color w:val="000000"/>
        </w:rPr>
        <w:t>“</w:t>
      </w:r>
      <w:r w:rsidRPr="00F25CD7">
        <w:rPr>
          <w:color w:val="000000"/>
        </w:rPr>
        <w:t>c</w:t>
      </w:r>
      <w:r w:rsidR="00C03027" w:rsidRPr="00F25CD7">
        <w:rPr>
          <w:color w:val="000000"/>
        </w:rPr>
        <w:t>”</w:t>
      </w:r>
      <w:r w:rsidRPr="00F25CD7">
        <w:rPr>
          <w:color w:val="000000"/>
        </w:rPr>
        <w:t xml:space="preserve">, </w:t>
      </w:r>
      <w:r w:rsidR="00C03027" w:rsidRPr="00F25CD7">
        <w:rPr>
          <w:color w:val="000000"/>
        </w:rPr>
        <w:t>“</w:t>
      </w:r>
      <w:r w:rsidRPr="00F25CD7">
        <w:rPr>
          <w:color w:val="000000"/>
        </w:rPr>
        <w:t>d</w:t>
      </w:r>
      <w:r w:rsidR="00C03027" w:rsidRPr="00F25CD7">
        <w:rPr>
          <w:color w:val="000000"/>
        </w:rPr>
        <w:t>”</w:t>
      </w:r>
      <w:r w:rsidRPr="00F25CD7">
        <w:rPr>
          <w:color w:val="000000"/>
        </w:rPr>
        <w:t xml:space="preserve"> e </w:t>
      </w:r>
      <w:r w:rsidR="00C03027" w:rsidRPr="00F25CD7">
        <w:rPr>
          <w:color w:val="000000"/>
        </w:rPr>
        <w:t>“</w:t>
      </w:r>
      <w:r w:rsidRPr="00F25CD7">
        <w:rPr>
          <w:color w:val="000000"/>
        </w:rPr>
        <w:t>e</w:t>
      </w:r>
      <w:r w:rsidR="00C03027" w:rsidRPr="00F25CD7">
        <w:rPr>
          <w:color w:val="000000"/>
        </w:rPr>
        <w:t>”</w:t>
      </w:r>
      <w:r w:rsidRPr="00F25CD7">
        <w:rPr>
          <w:color w:val="000000"/>
        </w:rPr>
        <w:t>,</w:t>
      </w:r>
      <w:r w:rsidR="00F25CD7" w:rsidRPr="00F25CD7">
        <w:rPr>
          <w:color w:val="000000"/>
        </w:rPr>
        <w:t xml:space="preserve"> do art. 20</w:t>
      </w:r>
      <w:r w:rsidRPr="00F25CD7">
        <w:rPr>
          <w:color w:val="000000"/>
        </w:rPr>
        <w:t xml:space="preserve"> do mesmo instrumento, que  recomendam aos Estados a promulga</w:t>
      </w:r>
      <w:r w:rsidR="00700DEB" w:rsidRPr="00F25CD7">
        <w:rPr>
          <w:color w:val="000000"/>
        </w:rPr>
        <w:t>ção</w:t>
      </w:r>
      <w:r w:rsidRPr="00F25CD7">
        <w:rPr>
          <w:color w:val="000000"/>
        </w:rPr>
        <w:t xml:space="preserve"> e ado</w:t>
      </w:r>
      <w:r w:rsidR="00700DEB" w:rsidRPr="00F25CD7">
        <w:rPr>
          <w:color w:val="000000"/>
        </w:rPr>
        <w:t xml:space="preserve">ção de </w:t>
      </w:r>
      <w:r w:rsidRPr="00F25CD7">
        <w:rPr>
          <w:color w:val="000000"/>
        </w:rPr>
        <w:t>disposições legislativas específicas para prevenir o tráfico de pessoas e prestar serviços holísticos às vítimas, de modo a garantir sua reintegração na sociedade; criar mecanismos que garant</w:t>
      </w:r>
      <w:r w:rsidR="00700DEB" w:rsidRPr="00F25CD7">
        <w:rPr>
          <w:color w:val="000000"/>
        </w:rPr>
        <w:t>a</w:t>
      </w:r>
      <w:r w:rsidRPr="00F25CD7">
        <w:rPr>
          <w:color w:val="000000"/>
        </w:rPr>
        <w:t xml:space="preserve">m que as autoridades e instituições possam prover a proteção dos direitos ao nível nacional, regional e internacional; estabelecer mecanismos harmonizados de </w:t>
      </w:r>
      <w:r w:rsidR="00700DEB" w:rsidRPr="00F25CD7">
        <w:rPr>
          <w:color w:val="000000"/>
        </w:rPr>
        <w:t>coleta</w:t>
      </w:r>
      <w:r w:rsidRPr="00F25CD7">
        <w:rPr>
          <w:color w:val="000000"/>
        </w:rPr>
        <w:t xml:space="preserve"> de dados sobre o tráfico de pessoas, de modo a assegurar uma </w:t>
      </w:r>
      <w:r w:rsidR="0013297C" w:rsidRPr="00F25CD7">
        <w:rPr>
          <w:color w:val="000000"/>
        </w:rPr>
        <w:t>sistematização</w:t>
      </w:r>
      <w:r w:rsidRPr="00F25CD7">
        <w:rPr>
          <w:color w:val="000000"/>
        </w:rPr>
        <w:t xml:space="preserve"> e monitoramento eficazes; </w:t>
      </w:r>
      <w:r w:rsidRPr="00F25CD7">
        <w:rPr>
          <w:color w:val="000000"/>
        </w:rPr>
        <w:lastRenderedPageBreak/>
        <w:t xml:space="preserve">estabelecer acordos bilaterais e multilaterais para executar ações conjuntas de prevenção e combate </w:t>
      </w:r>
      <w:r w:rsidR="006F66DB" w:rsidRPr="00F25CD7">
        <w:rPr>
          <w:color w:val="000000"/>
        </w:rPr>
        <w:t>a</w:t>
      </w:r>
      <w:r w:rsidRPr="00F25CD7">
        <w:rPr>
          <w:color w:val="000000"/>
        </w:rPr>
        <w:t>o tráfico de pessoas nos países de origem, trânsito e destino e; assegurar a capacitação, conscientização e sensibilização sobre o tráfico de pessoas, respectivamente</w:t>
      </w:r>
      <w:r w:rsidRPr="00F25CD7">
        <w:rPr>
          <w:color w:val="000000"/>
          <w:vertAlign w:val="superscript"/>
        </w:rPr>
        <w:footnoteReference w:id="81"/>
      </w:r>
      <w:r w:rsidRPr="00F25CD7">
        <w:rPr>
          <w:color w:val="000000"/>
        </w:rPr>
        <w:t>.</w:t>
      </w:r>
      <w:r>
        <w:rPr>
          <w:color w:val="000000"/>
        </w:rPr>
        <w:t xml:space="preserve"> </w:t>
      </w:r>
    </w:p>
    <w:p w14:paraId="61A43C3A" w14:textId="1F96F620" w:rsidR="005472EF" w:rsidRDefault="00932FD2">
      <w:pPr>
        <w:spacing w:before="240" w:after="240"/>
        <w:rPr>
          <w:color w:val="000000"/>
        </w:rPr>
      </w:pPr>
      <w:r>
        <w:rPr>
          <w:color w:val="000000"/>
        </w:rPr>
        <w:tab/>
      </w:r>
      <w:r w:rsidRPr="00F25CD7">
        <w:rPr>
          <w:color w:val="000000"/>
        </w:rPr>
        <w:t>Dentro do ordenamento jurídico nacional, especificamente, a resposta governamental à problemática do tráfico de pessoas assenta em princípios constitucionais enunciados pelo n</w:t>
      </w:r>
      <w:r w:rsidR="006F66DB" w:rsidRPr="00F25CD7">
        <w:rPr>
          <w:color w:val="000000"/>
        </w:rPr>
        <w:t>.</w:t>
      </w:r>
      <w:r w:rsidR="00F25CD7" w:rsidRPr="00F25CD7">
        <w:rPr>
          <w:color w:val="000000"/>
        </w:rPr>
        <w:t xml:space="preserve"> 4 do art. 2</w:t>
      </w:r>
      <w:r w:rsidR="004E647C">
        <w:rPr>
          <w:color w:val="000000"/>
          <w:sz w:val="26"/>
        </w:rPr>
        <w:t>º</w:t>
      </w:r>
      <w:r w:rsidRPr="00F25CD7">
        <w:rPr>
          <w:color w:val="000000"/>
        </w:rPr>
        <w:t xml:space="preserve"> da CRM de 2004, referente à soberania e legalidade, ao predispor que as “normas constitucionais prevalecem sobre todas as restantes normas do ordenamento jurídico”, assim como </w:t>
      </w:r>
      <w:r w:rsidR="004E647C">
        <w:rPr>
          <w:color w:val="000000"/>
        </w:rPr>
        <w:t>no enunciado do nº 1 do art. 40</w:t>
      </w:r>
      <w:r w:rsidRPr="00F25CD7">
        <w:rPr>
          <w:color w:val="000000"/>
        </w:rPr>
        <w:t>, da CRM de 2004, referente ao direito à vida, que dispõe que “Todo o cidadão tem direito à vida e à integridade física e moral e não pode ser sujeito à tortura ou a tratamentos cruéis e desumanos”</w:t>
      </w:r>
      <w:r w:rsidRPr="00F25CD7">
        <w:rPr>
          <w:color w:val="000000"/>
          <w:vertAlign w:val="superscript"/>
        </w:rPr>
        <w:footnoteReference w:id="82"/>
      </w:r>
      <w:r w:rsidRPr="00F25CD7">
        <w:rPr>
          <w:color w:val="000000"/>
        </w:rPr>
        <w:t xml:space="preserve">. Recordar, que de acordo com o art. 43, da mesma constituição os preceitos constitucionais relativos aos direitos fundamentais devem ser interpretados e integrados de harmonia com a Declaração Universal dos Direitos </w:t>
      </w:r>
      <w:r w:rsidR="00B55557" w:rsidRPr="00F25CD7">
        <w:rPr>
          <w:color w:val="000000"/>
        </w:rPr>
        <w:t>Humanos</w:t>
      </w:r>
      <w:r w:rsidRPr="00F25CD7">
        <w:rPr>
          <w:color w:val="000000"/>
        </w:rPr>
        <w:t xml:space="preserve"> e a Carta Africana dos </w:t>
      </w:r>
      <w:r w:rsidR="00F06F69" w:rsidRPr="00F25CD7">
        <w:rPr>
          <w:color w:val="000000"/>
        </w:rPr>
        <w:t xml:space="preserve">Direitos Humanos </w:t>
      </w:r>
      <w:r w:rsidRPr="00F25CD7">
        <w:rPr>
          <w:color w:val="000000"/>
        </w:rPr>
        <w:t>e dos Povos, o que serve de garantia formal dos direitos e liberdades fundamentais dos cidadãos.</w:t>
      </w:r>
    </w:p>
    <w:p w14:paraId="74A766A4" w14:textId="7D6CE304" w:rsidR="005472EF" w:rsidRPr="00F25CD7" w:rsidRDefault="00932FD2">
      <w:pPr>
        <w:spacing w:before="240" w:after="240"/>
        <w:ind w:right="0" w:firstLine="709"/>
        <w:rPr>
          <w:color w:val="000000"/>
        </w:rPr>
      </w:pPr>
      <w:r w:rsidRPr="00F25CD7">
        <w:rPr>
          <w:color w:val="000000"/>
        </w:rPr>
        <w:t xml:space="preserve">Tal fato sucede uma vez que esses direitos fundamentais que são protegidos constitucionalmente são, universalmente, reafirmados na DUDH e na Carta Africana dos </w:t>
      </w:r>
      <w:r w:rsidR="006B2626" w:rsidRPr="00F25CD7">
        <w:rPr>
          <w:color w:val="000000"/>
        </w:rPr>
        <w:t xml:space="preserve">Direitos Humanos </w:t>
      </w:r>
      <w:r w:rsidR="00F25CD7" w:rsidRPr="00F25CD7">
        <w:rPr>
          <w:color w:val="000000"/>
        </w:rPr>
        <w:t>e dos Povos.  O art. 1</w:t>
      </w:r>
      <w:r w:rsidR="004E647C">
        <w:rPr>
          <w:color w:val="000000"/>
        </w:rPr>
        <w:t>º</w:t>
      </w:r>
      <w:r w:rsidRPr="00F25CD7">
        <w:rPr>
          <w:color w:val="000000"/>
        </w:rPr>
        <w:t xml:space="preserve"> e no n</w:t>
      </w:r>
      <w:r w:rsidR="006B2626" w:rsidRPr="00F25CD7">
        <w:rPr>
          <w:color w:val="000000"/>
        </w:rPr>
        <w:t>.</w:t>
      </w:r>
      <w:r w:rsidRPr="00F25CD7">
        <w:rPr>
          <w:color w:val="000000"/>
        </w:rPr>
        <w:t xml:space="preserve"> 2</w:t>
      </w:r>
      <w:r w:rsidR="00F25CD7" w:rsidRPr="00F25CD7">
        <w:rPr>
          <w:color w:val="000000"/>
        </w:rPr>
        <w:t xml:space="preserve"> do art. 29</w:t>
      </w:r>
      <w:r w:rsidRPr="00F25CD7">
        <w:rPr>
          <w:color w:val="000000"/>
        </w:rPr>
        <w:t xml:space="preserve"> da DUDH preceituam, respectivamente, que “Todos os seres humanos nascem livres e iguais em dignidade e direitos” e que “No exercício de seus direitos e liberdades, todo ser humano estará sujeito apenas às limitações determinadas pela lei, exclusivamente com o fim de assegurar o devido reconhecimento e respeito dos direitos e liberdades de outrem e de satisfazer as </w:t>
      </w:r>
      <w:r w:rsidRPr="00F25CD7">
        <w:rPr>
          <w:color w:val="000000"/>
        </w:rPr>
        <w:lastRenderedPageBreak/>
        <w:t>justas exigências da moral, da ordem pública e do bem-estar de uma sociedade democrática”</w:t>
      </w:r>
      <w:r w:rsidRPr="00F25CD7">
        <w:rPr>
          <w:color w:val="000000"/>
          <w:vertAlign w:val="superscript"/>
        </w:rPr>
        <w:footnoteReference w:id="83"/>
      </w:r>
      <w:r w:rsidRPr="00F25CD7">
        <w:rPr>
          <w:color w:val="000000"/>
        </w:rPr>
        <w:t xml:space="preserve">. </w:t>
      </w:r>
    </w:p>
    <w:p w14:paraId="55199F28" w14:textId="2FAB05BA" w:rsidR="005472EF" w:rsidRPr="00F25CD7" w:rsidRDefault="00932FD2">
      <w:pPr>
        <w:spacing w:before="240" w:after="240"/>
        <w:ind w:firstLine="900"/>
        <w:rPr>
          <w:color w:val="000000"/>
        </w:rPr>
      </w:pPr>
      <w:r w:rsidRPr="00F25CD7">
        <w:rPr>
          <w:color w:val="000000"/>
        </w:rPr>
        <w:t>De igual forma, na mesma</w:t>
      </w:r>
      <w:r w:rsidR="00F25CD7" w:rsidRPr="00F25CD7">
        <w:rPr>
          <w:color w:val="000000"/>
        </w:rPr>
        <w:t xml:space="preserve"> intenção da DUDH, os artigos 4</w:t>
      </w:r>
      <w:r w:rsidR="004E647C">
        <w:rPr>
          <w:color w:val="000000"/>
          <w:sz w:val="26"/>
        </w:rPr>
        <w:t>º</w:t>
      </w:r>
      <w:r w:rsidR="00F25CD7" w:rsidRPr="00F25CD7">
        <w:rPr>
          <w:color w:val="000000"/>
        </w:rPr>
        <w:t xml:space="preserve"> e 5</w:t>
      </w:r>
      <w:r w:rsidR="004E647C">
        <w:rPr>
          <w:color w:val="000000"/>
        </w:rPr>
        <w:t>º</w:t>
      </w:r>
      <w:r w:rsidRPr="00F25CD7">
        <w:rPr>
          <w:color w:val="000000"/>
        </w:rPr>
        <w:t xml:space="preserve">, da Carta Africana dos </w:t>
      </w:r>
      <w:r w:rsidR="006B2626" w:rsidRPr="00F25CD7">
        <w:rPr>
          <w:color w:val="000000"/>
        </w:rPr>
        <w:t xml:space="preserve">Direitos Humanos </w:t>
      </w:r>
      <w:r w:rsidRPr="00F25CD7">
        <w:rPr>
          <w:color w:val="000000"/>
        </w:rPr>
        <w:t>e dos Povos referem, respectivamente, o seguinte:</w:t>
      </w:r>
    </w:p>
    <w:p w14:paraId="52FBABDB" w14:textId="1896F36F" w:rsidR="005472EF" w:rsidRDefault="00932FD2" w:rsidP="006B2626">
      <w:pPr>
        <w:spacing w:before="240" w:after="240" w:line="240" w:lineRule="auto"/>
        <w:ind w:left="2268"/>
        <w:rPr>
          <w:color w:val="000000"/>
          <w:sz w:val="22"/>
          <w:szCs w:val="22"/>
        </w:rPr>
      </w:pPr>
      <w:r w:rsidRPr="00F25CD7">
        <w:rPr>
          <w:color w:val="000000"/>
          <w:sz w:val="22"/>
          <w:szCs w:val="22"/>
        </w:rPr>
        <w:t>A pessoa humana é inviolável. Todo ser humano tem direito ao respeito da sua vida e à integridade física e moral da sua pessoa. Ninguém pode ser arbitrariamente privado desse direito” e que “Todo indivíduo tem direito ao respeito da dignidade inerente à pessoa humana e ao reconhecimento da sua personalidade jurídica. Todas as formas de exploração do homem, nomeadamente a escravatura</w:t>
      </w:r>
      <w:r w:rsidRPr="00F25CD7">
        <w:rPr>
          <w:color w:val="000000"/>
          <w:sz w:val="22"/>
          <w:szCs w:val="22"/>
          <w:vertAlign w:val="superscript"/>
        </w:rPr>
        <w:footnoteReference w:id="84"/>
      </w:r>
      <w:r w:rsidRPr="00F25CD7">
        <w:rPr>
          <w:color w:val="000000"/>
          <w:sz w:val="22"/>
          <w:szCs w:val="22"/>
        </w:rPr>
        <w:t>, o tráfico de pessoas, a tortura física ou moral e as penas ou tratamentos cruéis, desumanos ou degradantes são proibidos</w:t>
      </w:r>
      <w:r w:rsidRPr="00F25CD7">
        <w:rPr>
          <w:color w:val="000000"/>
          <w:sz w:val="22"/>
          <w:szCs w:val="22"/>
          <w:vertAlign w:val="superscript"/>
        </w:rPr>
        <w:footnoteReference w:id="85"/>
      </w:r>
      <w:r w:rsidRPr="00F25CD7">
        <w:rPr>
          <w:color w:val="000000"/>
          <w:sz w:val="22"/>
          <w:szCs w:val="22"/>
        </w:rPr>
        <w:t>.</w:t>
      </w:r>
    </w:p>
    <w:p w14:paraId="1BFCC0BC" w14:textId="1B350595" w:rsidR="005472EF" w:rsidRDefault="00932FD2">
      <w:pPr>
        <w:pBdr>
          <w:top w:val="nil"/>
          <w:left w:val="nil"/>
          <w:bottom w:val="nil"/>
          <w:right w:val="nil"/>
          <w:between w:val="nil"/>
        </w:pBdr>
        <w:spacing w:before="240" w:after="240"/>
        <w:ind w:right="0" w:firstLine="709"/>
        <w:rPr>
          <w:color w:val="000000"/>
        </w:rPr>
      </w:pPr>
      <w:r>
        <w:rPr>
          <w:color w:val="000000"/>
        </w:rPr>
        <w:tab/>
      </w:r>
      <w:r w:rsidRPr="00F25CD7">
        <w:rPr>
          <w:color w:val="000000"/>
        </w:rPr>
        <w:t xml:space="preserve">Com efeito, a incorporação desses instrumentos internacionais na ordem jurídica nacional serviu de base fundacional para </w:t>
      </w:r>
      <w:r w:rsidR="00406360" w:rsidRPr="00F25CD7">
        <w:rPr>
          <w:color w:val="000000"/>
        </w:rPr>
        <w:t>propor</w:t>
      </w:r>
      <w:r w:rsidRPr="00F25CD7">
        <w:rPr>
          <w:color w:val="000000"/>
        </w:rPr>
        <w:t xml:space="preserve"> políticas públicas de enfrentamento ao tráfico de pessoas em Moçambique, considerando que a partir desse exercício o Estado se viu obrigado a cumprir com os compromissos internacionais por si celebrados, ato que se fundamenta no disposto pela Resolução n. 32/2010, de 30 de agosto, sobre a Política Externa de Moçambique, onde na alínea “m”, do n</w:t>
      </w:r>
      <w:r w:rsidR="00307E45" w:rsidRPr="00F25CD7">
        <w:rPr>
          <w:color w:val="000000"/>
        </w:rPr>
        <w:t>.</w:t>
      </w:r>
      <w:r w:rsidRPr="00F25CD7">
        <w:rPr>
          <w:color w:val="000000"/>
        </w:rPr>
        <w:t xml:space="preserve"> 3, estabelece como um dos Princípios Fundamentais da Política Externa da República de Moçambique “a observância das normas do direito internacional, de tratados e acordos internacionais, validamente aprovados e ratificados pelos órgãos competentes do Estado”</w:t>
      </w:r>
      <w:r w:rsidRPr="00F25CD7">
        <w:rPr>
          <w:color w:val="000000"/>
          <w:vertAlign w:val="superscript"/>
        </w:rPr>
        <w:footnoteReference w:id="86"/>
      </w:r>
      <w:r w:rsidRPr="00F25CD7">
        <w:rPr>
          <w:color w:val="000000"/>
        </w:rPr>
        <w:t>.</w:t>
      </w:r>
    </w:p>
    <w:p w14:paraId="4A7AAD69" w14:textId="3626548D" w:rsidR="005472EF" w:rsidRDefault="00E03673">
      <w:pPr>
        <w:pBdr>
          <w:top w:val="nil"/>
          <w:left w:val="nil"/>
          <w:bottom w:val="nil"/>
          <w:right w:val="nil"/>
          <w:between w:val="nil"/>
        </w:pBdr>
        <w:spacing w:before="240" w:after="240"/>
        <w:ind w:right="0" w:firstLine="709"/>
        <w:rPr>
          <w:color w:val="000000"/>
        </w:rPr>
      </w:pPr>
      <w:r w:rsidRPr="00335074">
        <w:rPr>
          <w:color w:val="000000"/>
        </w:rPr>
        <w:t xml:space="preserve">Nessa conjuntura </w:t>
      </w:r>
      <w:r w:rsidR="00932FD2" w:rsidRPr="00335074">
        <w:rPr>
          <w:color w:val="000000"/>
        </w:rPr>
        <w:t xml:space="preserve"> o Estado moçambicano se serviu da articulação formal aferida pela Resolução, numa atitude positiva de manifestação de interesse em contribuir para a prevenção e combate do tráfico de pessoas e no alcance de prioridades comuns, assumidos aos níveis regional, continental e internacional, tendo em vista contribuir para o reforço da </w:t>
      </w:r>
      <w:r w:rsidR="00932FD2" w:rsidRPr="00335074">
        <w:rPr>
          <w:color w:val="000000"/>
        </w:rPr>
        <w:lastRenderedPageBreak/>
        <w:t>paz e segurança internacional, bem como para o progresso harmonioso e bem-estar da humanidade</w:t>
      </w:r>
      <w:r w:rsidR="00932FD2" w:rsidRPr="00335074">
        <w:rPr>
          <w:color w:val="000000"/>
          <w:vertAlign w:val="superscript"/>
        </w:rPr>
        <w:footnoteReference w:id="87"/>
      </w:r>
      <w:r w:rsidR="00932FD2" w:rsidRPr="00335074">
        <w:rPr>
          <w:color w:val="000000"/>
        </w:rPr>
        <w:t>.</w:t>
      </w:r>
      <w:r w:rsidR="00932FD2">
        <w:rPr>
          <w:color w:val="000000"/>
        </w:rPr>
        <w:t xml:space="preserve"> </w:t>
      </w:r>
    </w:p>
    <w:p w14:paraId="5F5B6910" w14:textId="4FFD461A" w:rsidR="005472EF" w:rsidRDefault="00932FD2">
      <w:pPr>
        <w:spacing w:before="240" w:after="240"/>
        <w:ind w:right="0" w:firstLine="709"/>
        <w:rPr>
          <w:color w:val="000000"/>
        </w:rPr>
      </w:pPr>
      <w:r w:rsidRPr="00335074">
        <w:rPr>
          <w:color w:val="000000"/>
        </w:rPr>
        <w:t>Em suma, com a aprovação do Protocolo de Palermo (2000), diversos arranjos político-diplomáticos foram realizados pelos Estados</w:t>
      </w:r>
      <w:r w:rsidR="0050349D" w:rsidRPr="00335074">
        <w:rPr>
          <w:color w:val="000000"/>
        </w:rPr>
        <w:t>-</w:t>
      </w:r>
      <w:r w:rsidRPr="00335074">
        <w:rPr>
          <w:color w:val="000000"/>
        </w:rPr>
        <w:t>Partes no sentido de incorporar essa agenda ao nível interno, o que era prenúncio de que os Estados estavam interessados em atender a agenda global de prevenir, punir e combater o tráfico de pessoas.</w:t>
      </w:r>
      <w:r>
        <w:rPr>
          <w:color w:val="000000"/>
        </w:rPr>
        <w:t> </w:t>
      </w:r>
    </w:p>
    <w:p w14:paraId="50DA756F" w14:textId="5468A98D" w:rsidR="005472EF" w:rsidRDefault="00932FD2">
      <w:pPr>
        <w:spacing w:before="240" w:after="240"/>
        <w:ind w:firstLine="709"/>
        <w:rPr>
          <w:color w:val="000000"/>
        </w:rPr>
      </w:pPr>
      <w:r w:rsidRPr="00335074">
        <w:rPr>
          <w:color w:val="000000"/>
        </w:rPr>
        <w:t xml:space="preserve">Foi diante disso que Moçambique desenvolveu uma série de atividades com vista a garantir a prevenção e combate ao tráfico de pessoas, especialmente mulheres e crianças. Assim, inspirado nas </w:t>
      </w:r>
      <w:r w:rsidR="00CE7D35" w:rsidRPr="00335074">
        <w:rPr>
          <w:color w:val="000000"/>
        </w:rPr>
        <w:t>determinações</w:t>
      </w:r>
      <w:r w:rsidRPr="00335074">
        <w:rPr>
          <w:color w:val="000000"/>
        </w:rPr>
        <w:t xml:space="preserve"> do Protocolo de Palermo (2000),</w:t>
      </w:r>
      <w:r w:rsidR="003974D4" w:rsidRPr="00335074">
        <w:rPr>
          <w:color w:val="000000"/>
        </w:rPr>
        <w:t xml:space="preserve"> </w:t>
      </w:r>
      <w:r w:rsidRPr="00335074">
        <w:rPr>
          <w:color w:val="000000"/>
        </w:rPr>
        <w:t>o país desenvolveu ações, que Guirino Nhatave</w:t>
      </w:r>
      <w:r w:rsidRPr="00335074">
        <w:rPr>
          <w:color w:val="000000"/>
          <w:vertAlign w:val="superscript"/>
        </w:rPr>
        <w:footnoteReference w:id="88"/>
      </w:r>
      <w:r w:rsidRPr="00335074">
        <w:rPr>
          <w:color w:val="000000"/>
        </w:rPr>
        <w:t xml:space="preserve"> descreve na figura 1, como resposta às </w:t>
      </w:r>
      <w:r w:rsidR="00D020B2" w:rsidRPr="00335074">
        <w:rPr>
          <w:color w:val="000000"/>
        </w:rPr>
        <w:t>determinações estabelecidas</w:t>
      </w:r>
      <w:r w:rsidRPr="00335074">
        <w:rPr>
          <w:color w:val="000000"/>
        </w:rPr>
        <w:t xml:space="preserve"> na atividade prioritária - “medidas legislativas e </w:t>
      </w:r>
      <w:r w:rsidR="003974D4" w:rsidRPr="00335074">
        <w:rPr>
          <w:color w:val="000000"/>
        </w:rPr>
        <w:t xml:space="preserve">políticas”, que consta do Plano </w:t>
      </w:r>
      <w:r w:rsidRPr="00335074">
        <w:rPr>
          <w:color w:val="000000"/>
        </w:rPr>
        <w:t>desenhado ao nível da SADC</w:t>
      </w:r>
      <w:r w:rsidRPr="00335074">
        <w:rPr>
          <w:color w:val="000000"/>
          <w:vertAlign w:val="superscript"/>
        </w:rPr>
        <w:footnoteReference w:id="89"/>
      </w:r>
      <w:r w:rsidRPr="00335074">
        <w:rPr>
          <w:color w:val="000000"/>
        </w:rPr>
        <w:t>.</w:t>
      </w:r>
    </w:p>
    <w:p w14:paraId="67D80F5E" w14:textId="77777777" w:rsidR="005472EF" w:rsidRDefault="005472EF">
      <w:pPr>
        <w:spacing w:before="240" w:after="240"/>
        <w:ind w:firstLine="709"/>
        <w:rPr>
          <w:color w:val="000000"/>
        </w:rPr>
      </w:pPr>
    </w:p>
    <w:p w14:paraId="66D28680" w14:textId="6F9C17D3" w:rsidR="005472EF" w:rsidRPr="002E3389" w:rsidRDefault="002E3389">
      <w:pPr>
        <w:spacing w:before="240" w:after="240"/>
        <w:ind w:firstLine="709"/>
        <w:rPr>
          <w:b/>
          <w:bCs/>
          <w:color w:val="000000"/>
        </w:rPr>
      </w:pPr>
      <w:r w:rsidRPr="00335074">
        <w:rPr>
          <w:b/>
          <w:bCs/>
          <w:color w:val="000000"/>
        </w:rPr>
        <w:t>Tabela</w:t>
      </w:r>
      <w:r w:rsidR="00932FD2" w:rsidRPr="00335074">
        <w:rPr>
          <w:b/>
          <w:bCs/>
          <w:color w:val="000000"/>
        </w:rPr>
        <w:t xml:space="preserve"> 1: </w:t>
      </w:r>
      <w:r w:rsidR="00932FD2" w:rsidRPr="00DE71B4">
        <w:rPr>
          <w:bCs/>
          <w:color w:val="000000"/>
        </w:rPr>
        <w:t>Grau de cumprimento das recomendações do Plano Estratégico Decenal de Combate ao Tráfico de Pessoas especialmente mulheres e crianças ao nível da SADC</w:t>
      </w:r>
    </w:p>
    <w:tbl>
      <w:tblPr>
        <w:tblStyle w:val="a"/>
        <w:tblW w:w="894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63"/>
        <w:gridCol w:w="7283"/>
      </w:tblGrid>
      <w:tr w:rsidR="005472EF" w14:paraId="44D6F9B5" w14:textId="77777777" w:rsidTr="003974D4">
        <w:tc>
          <w:tcPr>
            <w:tcW w:w="1663" w:type="dxa"/>
          </w:tcPr>
          <w:p w14:paraId="357ED848" w14:textId="77777777" w:rsidR="005472EF" w:rsidRDefault="005472EF">
            <w:pPr>
              <w:jc w:val="center"/>
              <w:rPr>
                <w:b/>
                <w:color w:val="000000"/>
                <w:sz w:val="20"/>
                <w:szCs w:val="20"/>
              </w:rPr>
            </w:pPr>
          </w:p>
          <w:p w14:paraId="5E3C1EB1" w14:textId="77777777" w:rsidR="005472EF" w:rsidRDefault="00932FD2">
            <w:pPr>
              <w:jc w:val="center"/>
              <w:rPr>
                <w:b/>
                <w:color w:val="000000"/>
                <w:sz w:val="20"/>
                <w:szCs w:val="20"/>
              </w:rPr>
            </w:pPr>
            <w:r>
              <w:rPr>
                <w:b/>
                <w:color w:val="000000"/>
                <w:sz w:val="20"/>
                <w:szCs w:val="20"/>
              </w:rPr>
              <w:t>PONTOS</w:t>
            </w:r>
          </w:p>
          <w:p w14:paraId="437252A7" w14:textId="77777777" w:rsidR="005472EF" w:rsidRDefault="00932FD2">
            <w:pPr>
              <w:jc w:val="center"/>
              <w:rPr>
                <w:b/>
                <w:color w:val="000000"/>
                <w:sz w:val="20"/>
                <w:szCs w:val="20"/>
              </w:rPr>
            </w:pPr>
            <w:r>
              <w:rPr>
                <w:b/>
                <w:color w:val="000000"/>
                <w:sz w:val="20"/>
                <w:szCs w:val="20"/>
              </w:rPr>
              <w:t>FORTES</w:t>
            </w:r>
          </w:p>
        </w:tc>
        <w:tc>
          <w:tcPr>
            <w:tcW w:w="7283" w:type="dxa"/>
          </w:tcPr>
          <w:p w14:paraId="13D9AF28" w14:textId="77777777" w:rsidR="005472EF" w:rsidRPr="00335074" w:rsidRDefault="00932FD2">
            <w:pPr>
              <w:numPr>
                <w:ilvl w:val="0"/>
                <w:numId w:val="3"/>
              </w:numPr>
              <w:spacing w:before="0" w:after="0" w:line="240" w:lineRule="auto"/>
              <w:ind w:left="527" w:right="0" w:hanging="357"/>
              <w:rPr>
                <w:color w:val="000000"/>
                <w:sz w:val="20"/>
                <w:szCs w:val="20"/>
              </w:rPr>
            </w:pPr>
            <w:r w:rsidRPr="00335074">
              <w:rPr>
                <w:color w:val="000000"/>
                <w:sz w:val="20"/>
                <w:szCs w:val="20"/>
              </w:rPr>
              <w:t>Ratificação de Instrumentos Internacionais e Regionais que abordam sobre a Prevenção e Combate ao Tráfico de Pessoas, especialmente Mulheres e Crianças.</w:t>
            </w:r>
          </w:p>
          <w:p w14:paraId="212146E2" w14:textId="77777777" w:rsidR="005472EF" w:rsidRPr="00335074" w:rsidRDefault="00932FD2">
            <w:pPr>
              <w:numPr>
                <w:ilvl w:val="0"/>
                <w:numId w:val="3"/>
              </w:numPr>
              <w:spacing w:before="0" w:after="0" w:line="240" w:lineRule="auto"/>
              <w:ind w:left="527" w:right="0" w:hanging="357"/>
              <w:rPr>
                <w:color w:val="000000"/>
                <w:sz w:val="20"/>
                <w:szCs w:val="20"/>
              </w:rPr>
            </w:pPr>
            <w:r w:rsidRPr="00335074">
              <w:rPr>
                <w:color w:val="000000"/>
                <w:sz w:val="20"/>
                <w:szCs w:val="20"/>
              </w:rPr>
              <w:t>Existência da Legislação Específica sobre o Tráfico de Pessoas e Código Penal Moçambicano de 2014;</w:t>
            </w:r>
          </w:p>
          <w:p w14:paraId="14A90C2B" w14:textId="536B2FB6" w:rsidR="005472EF" w:rsidRPr="00335074" w:rsidRDefault="00932FD2">
            <w:pPr>
              <w:numPr>
                <w:ilvl w:val="0"/>
                <w:numId w:val="3"/>
              </w:numPr>
              <w:spacing w:before="0" w:after="0" w:line="240" w:lineRule="auto"/>
              <w:ind w:left="527" w:right="0" w:hanging="357"/>
              <w:rPr>
                <w:color w:val="000000"/>
                <w:sz w:val="20"/>
                <w:szCs w:val="20"/>
              </w:rPr>
            </w:pPr>
            <w:r w:rsidRPr="00335074">
              <w:rPr>
                <w:color w:val="000000"/>
                <w:sz w:val="20"/>
                <w:szCs w:val="20"/>
              </w:rPr>
              <w:t xml:space="preserve">Aprovação do Decreto </w:t>
            </w:r>
            <w:r w:rsidR="00480631" w:rsidRPr="00335074">
              <w:rPr>
                <w:color w:val="000000"/>
                <w:sz w:val="20"/>
                <w:szCs w:val="20"/>
              </w:rPr>
              <w:t xml:space="preserve">n. </w:t>
            </w:r>
            <w:r w:rsidRPr="00335074">
              <w:rPr>
                <w:color w:val="000000"/>
                <w:sz w:val="20"/>
                <w:szCs w:val="20"/>
              </w:rPr>
              <w:t>11/2008, de 29 de abril – Introduz o Bilhete de Identidade (BI) para o cidadão nacional através de elementos biométricos;</w:t>
            </w:r>
          </w:p>
          <w:p w14:paraId="34448CB6" w14:textId="2920BABC" w:rsidR="005472EF" w:rsidRPr="00335074" w:rsidRDefault="00932FD2">
            <w:pPr>
              <w:numPr>
                <w:ilvl w:val="0"/>
                <w:numId w:val="3"/>
              </w:numPr>
              <w:spacing w:before="0" w:after="0" w:line="240" w:lineRule="auto"/>
              <w:ind w:left="527" w:right="0" w:hanging="357"/>
              <w:rPr>
                <w:color w:val="000000"/>
                <w:sz w:val="20"/>
                <w:szCs w:val="20"/>
              </w:rPr>
            </w:pPr>
            <w:r w:rsidRPr="00335074">
              <w:rPr>
                <w:color w:val="000000"/>
                <w:sz w:val="20"/>
                <w:szCs w:val="20"/>
              </w:rPr>
              <w:t xml:space="preserve">Decreto </w:t>
            </w:r>
            <w:r w:rsidR="00480631" w:rsidRPr="00335074">
              <w:rPr>
                <w:color w:val="000000"/>
                <w:sz w:val="20"/>
                <w:szCs w:val="20"/>
              </w:rPr>
              <w:t xml:space="preserve">n. </w:t>
            </w:r>
            <w:r w:rsidRPr="00335074">
              <w:rPr>
                <w:color w:val="000000"/>
                <w:sz w:val="20"/>
                <w:szCs w:val="20"/>
              </w:rPr>
              <w:t>13/2008, de 29 de abril – Cria o novo modelo de Passaporte para cidadãos nacionais, baseado em elementos biométricos e electrónicos;</w:t>
            </w:r>
          </w:p>
        </w:tc>
      </w:tr>
      <w:tr w:rsidR="005472EF" w14:paraId="499B9008" w14:textId="77777777" w:rsidTr="003974D4">
        <w:tc>
          <w:tcPr>
            <w:tcW w:w="1663" w:type="dxa"/>
          </w:tcPr>
          <w:p w14:paraId="732ED884" w14:textId="77777777" w:rsidR="005472EF" w:rsidRDefault="00932FD2">
            <w:pPr>
              <w:jc w:val="center"/>
              <w:rPr>
                <w:b/>
                <w:color w:val="000000"/>
                <w:sz w:val="20"/>
                <w:szCs w:val="20"/>
              </w:rPr>
            </w:pPr>
            <w:r>
              <w:rPr>
                <w:b/>
                <w:color w:val="000000"/>
                <w:sz w:val="20"/>
                <w:szCs w:val="20"/>
              </w:rPr>
              <w:lastRenderedPageBreak/>
              <w:t>PONTOS</w:t>
            </w:r>
          </w:p>
          <w:p w14:paraId="6735294D" w14:textId="77777777" w:rsidR="005472EF" w:rsidRDefault="00932FD2">
            <w:pPr>
              <w:jc w:val="center"/>
              <w:rPr>
                <w:b/>
                <w:color w:val="000000"/>
                <w:sz w:val="20"/>
                <w:szCs w:val="20"/>
              </w:rPr>
            </w:pPr>
            <w:r>
              <w:rPr>
                <w:b/>
                <w:color w:val="000000"/>
                <w:sz w:val="20"/>
                <w:szCs w:val="20"/>
              </w:rPr>
              <w:t>FRACOS</w:t>
            </w:r>
          </w:p>
        </w:tc>
        <w:tc>
          <w:tcPr>
            <w:tcW w:w="7283" w:type="dxa"/>
          </w:tcPr>
          <w:p w14:paraId="7D7E57CB" w14:textId="6D5326F7" w:rsidR="005472EF" w:rsidRPr="00335074" w:rsidRDefault="00932FD2">
            <w:pPr>
              <w:numPr>
                <w:ilvl w:val="0"/>
                <w:numId w:val="1"/>
              </w:numPr>
              <w:spacing w:before="0" w:after="0" w:line="240" w:lineRule="auto"/>
              <w:ind w:left="601" w:right="0"/>
              <w:rPr>
                <w:color w:val="000000"/>
                <w:sz w:val="20"/>
                <w:szCs w:val="20"/>
              </w:rPr>
            </w:pPr>
            <w:r w:rsidRPr="00335074">
              <w:rPr>
                <w:color w:val="000000"/>
                <w:sz w:val="20"/>
                <w:szCs w:val="20"/>
              </w:rPr>
              <w:t>O Art</w:t>
            </w:r>
            <w:r w:rsidR="00526420" w:rsidRPr="00335074">
              <w:rPr>
                <w:color w:val="000000"/>
                <w:sz w:val="20"/>
                <w:szCs w:val="20"/>
              </w:rPr>
              <w:t>.</w:t>
            </w:r>
            <w:r w:rsidR="004E647C">
              <w:rPr>
                <w:color w:val="000000"/>
                <w:sz w:val="20"/>
                <w:szCs w:val="20"/>
              </w:rPr>
              <w:t xml:space="preserve"> 198</w:t>
            </w:r>
            <w:r w:rsidRPr="00335074">
              <w:rPr>
                <w:color w:val="000000"/>
                <w:sz w:val="20"/>
                <w:szCs w:val="20"/>
              </w:rPr>
              <w:t>, referente ao Tráfico de Pessoas no Código Penal moçambicano de 2014, não se inspira ao Protocolo de 2000;</w:t>
            </w:r>
          </w:p>
          <w:p w14:paraId="72FB0B5E" w14:textId="77777777" w:rsidR="005472EF" w:rsidRPr="00335074" w:rsidRDefault="00932FD2">
            <w:pPr>
              <w:numPr>
                <w:ilvl w:val="0"/>
                <w:numId w:val="1"/>
              </w:numPr>
              <w:spacing w:before="0" w:after="0" w:line="240" w:lineRule="auto"/>
              <w:ind w:left="601" w:right="0"/>
              <w:rPr>
                <w:color w:val="000000"/>
                <w:sz w:val="20"/>
                <w:szCs w:val="20"/>
              </w:rPr>
            </w:pPr>
            <w:r w:rsidRPr="00335074">
              <w:rPr>
                <w:color w:val="000000"/>
                <w:sz w:val="20"/>
                <w:szCs w:val="20"/>
              </w:rPr>
              <w:t>Falta de Regulamentação da Lei sobre Tráfico de Pessoas, especialmente Mulheres e Crianças;</w:t>
            </w:r>
          </w:p>
          <w:p w14:paraId="23F00279" w14:textId="77777777" w:rsidR="005472EF" w:rsidRPr="00335074" w:rsidRDefault="00932FD2">
            <w:pPr>
              <w:numPr>
                <w:ilvl w:val="0"/>
                <w:numId w:val="1"/>
              </w:numPr>
              <w:spacing w:before="0" w:after="0" w:line="240" w:lineRule="auto"/>
              <w:ind w:left="601" w:right="0"/>
              <w:rPr>
                <w:color w:val="000000"/>
                <w:sz w:val="20"/>
                <w:szCs w:val="20"/>
              </w:rPr>
            </w:pPr>
            <w:r w:rsidRPr="00335074">
              <w:rPr>
                <w:color w:val="000000"/>
                <w:sz w:val="20"/>
                <w:szCs w:val="20"/>
              </w:rPr>
              <w:t>Inexistência de Plano Nacional de Prevenção e Combate ao Tráfico de Pessoas.</w:t>
            </w:r>
          </w:p>
        </w:tc>
      </w:tr>
      <w:tr w:rsidR="005472EF" w14:paraId="1173AC25" w14:textId="77777777" w:rsidTr="003974D4">
        <w:tc>
          <w:tcPr>
            <w:tcW w:w="1663" w:type="dxa"/>
          </w:tcPr>
          <w:p w14:paraId="6FF165F5" w14:textId="77777777" w:rsidR="005472EF" w:rsidRDefault="00932FD2">
            <w:pPr>
              <w:jc w:val="center"/>
              <w:rPr>
                <w:color w:val="000000"/>
                <w:sz w:val="18"/>
                <w:szCs w:val="18"/>
              </w:rPr>
            </w:pPr>
            <w:r>
              <w:rPr>
                <w:b/>
                <w:color w:val="000000"/>
                <w:sz w:val="18"/>
                <w:szCs w:val="18"/>
              </w:rPr>
              <w:t>OPORTUNIDADES</w:t>
            </w:r>
          </w:p>
        </w:tc>
        <w:tc>
          <w:tcPr>
            <w:tcW w:w="7283" w:type="dxa"/>
          </w:tcPr>
          <w:p w14:paraId="1AE16D27" w14:textId="77777777" w:rsidR="005472EF" w:rsidRPr="00335074" w:rsidRDefault="00932FD2">
            <w:pPr>
              <w:numPr>
                <w:ilvl w:val="0"/>
                <w:numId w:val="3"/>
              </w:numPr>
              <w:spacing w:before="0" w:after="0" w:line="240" w:lineRule="auto"/>
              <w:ind w:left="601" w:right="0" w:hanging="426"/>
              <w:rPr>
                <w:color w:val="000000"/>
                <w:sz w:val="20"/>
                <w:szCs w:val="20"/>
              </w:rPr>
            </w:pPr>
            <w:r w:rsidRPr="00335074">
              <w:rPr>
                <w:color w:val="000000"/>
                <w:sz w:val="20"/>
                <w:szCs w:val="20"/>
              </w:rPr>
              <w:t>Todos Estados-Membros ratificaram a Convenção das Nações Unidas sobre o Crime Organizado Transnacional e o Protocolo de Palermo 2000;</w:t>
            </w:r>
          </w:p>
          <w:p w14:paraId="55254277" w14:textId="77777777" w:rsidR="005472EF" w:rsidRPr="00335074" w:rsidRDefault="00932FD2">
            <w:pPr>
              <w:numPr>
                <w:ilvl w:val="0"/>
                <w:numId w:val="3"/>
              </w:numPr>
              <w:spacing w:before="0" w:after="0" w:line="240" w:lineRule="auto"/>
              <w:ind w:left="601" w:right="0" w:hanging="426"/>
              <w:rPr>
                <w:color w:val="000000"/>
                <w:sz w:val="20"/>
                <w:szCs w:val="20"/>
              </w:rPr>
            </w:pPr>
            <w:r w:rsidRPr="00335074">
              <w:rPr>
                <w:color w:val="000000"/>
                <w:sz w:val="20"/>
                <w:szCs w:val="20"/>
              </w:rPr>
              <w:t>Todos os Estados-Membros da SADC aderiram ao Plano Estratégico Decenal de Combate ao Tráfico de Pessoas, especialmente Mulheres e Crianças.</w:t>
            </w:r>
          </w:p>
        </w:tc>
      </w:tr>
      <w:tr w:rsidR="005472EF" w14:paraId="6A1C4BBA" w14:textId="77777777" w:rsidTr="003974D4">
        <w:tc>
          <w:tcPr>
            <w:tcW w:w="1663" w:type="dxa"/>
          </w:tcPr>
          <w:p w14:paraId="1D9FC3E9" w14:textId="77777777" w:rsidR="005472EF" w:rsidRDefault="005472EF">
            <w:pPr>
              <w:jc w:val="center"/>
              <w:rPr>
                <w:b/>
                <w:color w:val="000000"/>
                <w:sz w:val="20"/>
                <w:szCs w:val="20"/>
              </w:rPr>
            </w:pPr>
          </w:p>
          <w:p w14:paraId="152B8B87" w14:textId="77777777" w:rsidR="005472EF" w:rsidRDefault="005472EF">
            <w:pPr>
              <w:jc w:val="center"/>
              <w:rPr>
                <w:b/>
                <w:color w:val="000000"/>
                <w:sz w:val="20"/>
                <w:szCs w:val="20"/>
              </w:rPr>
            </w:pPr>
          </w:p>
          <w:p w14:paraId="42947144" w14:textId="77777777" w:rsidR="005472EF" w:rsidRDefault="00932FD2">
            <w:pPr>
              <w:jc w:val="center"/>
              <w:rPr>
                <w:color w:val="000000"/>
                <w:sz w:val="20"/>
                <w:szCs w:val="20"/>
              </w:rPr>
            </w:pPr>
            <w:r>
              <w:rPr>
                <w:b/>
                <w:color w:val="000000"/>
                <w:sz w:val="20"/>
                <w:szCs w:val="20"/>
              </w:rPr>
              <w:t>AMEAÇAS</w:t>
            </w:r>
          </w:p>
        </w:tc>
        <w:tc>
          <w:tcPr>
            <w:tcW w:w="7283" w:type="dxa"/>
          </w:tcPr>
          <w:p w14:paraId="53CA1285" w14:textId="77777777" w:rsidR="005472EF" w:rsidRPr="00335074" w:rsidRDefault="00932FD2">
            <w:pPr>
              <w:numPr>
                <w:ilvl w:val="0"/>
                <w:numId w:val="2"/>
              </w:numPr>
              <w:spacing w:before="0" w:after="0" w:line="240" w:lineRule="auto"/>
              <w:ind w:left="601" w:right="0" w:hanging="426"/>
              <w:rPr>
                <w:color w:val="000000"/>
                <w:sz w:val="20"/>
                <w:szCs w:val="20"/>
              </w:rPr>
            </w:pPr>
            <w:r w:rsidRPr="00335074">
              <w:rPr>
                <w:color w:val="000000"/>
                <w:sz w:val="20"/>
                <w:szCs w:val="20"/>
              </w:rPr>
              <w:t xml:space="preserve">Existência de alguns Estados da SADC que não ratificaram Instrumentos Regionais Cooperação Jurídica e Judiciária, referentes à Prevenção e Combate ao Tráfico de Pessoas, especialmente Mulheres e Crianças (Protocolo da SADC sobre a Extradição e o Protocolo da SADC sobre Ajuda Mútua Judiciária em Matéria Penal); </w:t>
            </w:r>
          </w:p>
          <w:p w14:paraId="0A3569D6" w14:textId="77777777" w:rsidR="005472EF" w:rsidRPr="00335074" w:rsidRDefault="00932FD2">
            <w:pPr>
              <w:numPr>
                <w:ilvl w:val="0"/>
                <w:numId w:val="2"/>
              </w:numPr>
              <w:spacing w:before="0" w:after="0" w:line="240" w:lineRule="auto"/>
              <w:ind w:left="601" w:right="0" w:hanging="426"/>
              <w:rPr>
                <w:color w:val="000000"/>
                <w:sz w:val="20"/>
                <w:szCs w:val="20"/>
              </w:rPr>
            </w:pPr>
            <w:r w:rsidRPr="00335074">
              <w:rPr>
                <w:color w:val="000000"/>
                <w:sz w:val="20"/>
                <w:szCs w:val="20"/>
              </w:rPr>
              <w:t>Existência de alguns Estados da SADC que não possuem legislação específica sobre o Tráfico de Pessoas, especialmente Mulheres e Crianças</w:t>
            </w:r>
          </w:p>
          <w:p w14:paraId="3E29F156" w14:textId="77777777" w:rsidR="005472EF" w:rsidRPr="00335074" w:rsidRDefault="00932FD2">
            <w:pPr>
              <w:numPr>
                <w:ilvl w:val="0"/>
                <w:numId w:val="2"/>
              </w:numPr>
              <w:spacing w:before="0" w:after="0" w:line="240" w:lineRule="auto"/>
              <w:ind w:left="601" w:right="0" w:hanging="426"/>
              <w:rPr>
                <w:color w:val="000000"/>
                <w:sz w:val="20"/>
                <w:szCs w:val="20"/>
              </w:rPr>
            </w:pPr>
            <w:r w:rsidRPr="00335074">
              <w:rPr>
                <w:color w:val="000000"/>
                <w:sz w:val="20"/>
                <w:szCs w:val="20"/>
              </w:rPr>
              <w:t>Existência de alguns Estados da SADC que ainda não possuem Planos Nacionais de prevenção e combate ao Tráfico de Pessoas.</w:t>
            </w:r>
          </w:p>
        </w:tc>
      </w:tr>
    </w:tbl>
    <w:p w14:paraId="5A921674" w14:textId="6A31B05F" w:rsidR="005472EF" w:rsidRDefault="00932FD2">
      <w:pPr>
        <w:spacing w:before="240" w:after="240"/>
        <w:ind w:firstLine="720"/>
        <w:rPr>
          <w:color w:val="000000"/>
        </w:rPr>
      </w:pPr>
      <w:r w:rsidRPr="00335074">
        <w:rPr>
          <w:color w:val="000000"/>
        </w:rPr>
        <w:t xml:space="preserve">Da </w:t>
      </w:r>
      <w:r w:rsidR="00526420" w:rsidRPr="00335074">
        <w:rPr>
          <w:color w:val="000000"/>
        </w:rPr>
        <w:t>interpretação d</w:t>
      </w:r>
      <w:r w:rsidR="00C63A86" w:rsidRPr="00335074">
        <w:rPr>
          <w:color w:val="000000"/>
        </w:rPr>
        <w:t>a tabela</w:t>
      </w:r>
      <w:r w:rsidRPr="00335074">
        <w:rPr>
          <w:color w:val="000000"/>
        </w:rPr>
        <w:t xml:space="preserve"> acima, “pontos fortes”, se denota um avanço no desenvolvimento da resposta do Estado diante da complexidade do tráfico de pessoas, tanto internamente quanto externamente.</w:t>
      </w:r>
      <w:r>
        <w:rPr>
          <w:color w:val="000000"/>
        </w:rPr>
        <w:t xml:space="preserve"> </w:t>
      </w:r>
      <w:r w:rsidR="009E2F06">
        <w:rPr>
          <w:color w:val="000000"/>
        </w:rPr>
        <w:t xml:space="preserve">Diante dos referidos avanços existem aspectos negativos, descritos </w:t>
      </w:r>
      <w:r w:rsidR="009E2F06" w:rsidRPr="009E2F06">
        <w:rPr>
          <w:color w:val="000000"/>
        </w:rPr>
        <w:t xml:space="preserve">como sendo “pontos fracos” e “ameaças”. Os pontos fracos são a </w:t>
      </w:r>
      <w:r w:rsidRPr="009E2F06">
        <w:rPr>
          <w:color w:val="000000"/>
        </w:rPr>
        <w:t>inexistência, na legislação nacional, de um concei</w:t>
      </w:r>
      <w:r w:rsidR="009E2F06" w:rsidRPr="009E2F06">
        <w:rPr>
          <w:color w:val="000000"/>
        </w:rPr>
        <w:t>to de tráfico de pessoas que</w:t>
      </w:r>
      <w:r w:rsidRPr="009E2F06">
        <w:rPr>
          <w:color w:val="000000"/>
        </w:rPr>
        <w:t xml:space="preserve"> se conforma com a definição apresentada pelo Protocolo de Palermo (2000), a falta de regulamentação da Lei sobre e a inexistência de um Plano Nacional de Prevenção e Combate ao Tráfico de Pessoas, especialmente mulheres e crianças. A</w:t>
      </w:r>
      <w:r w:rsidR="009E2F06" w:rsidRPr="009E2F06">
        <w:rPr>
          <w:color w:val="000000"/>
        </w:rPr>
        <w:t>s ameaças, por sua vez, estão relacionadas à existência de</w:t>
      </w:r>
      <w:r w:rsidRPr="009E2F06">
        <w:rPr>
          <w:color w:val="000000"/>
        </w:rPr>
        <w:t xml:space="preserve"> alguns Estados da SADC que não possuem legislação específica e</w:t>
      </w:r>
      <w:r w:rsidR="009E2F06">
        <w:rPr>
          <w:color w:val="000000"/>
        </w:rPr>
        <w:t>,</w:t>
      </w:r>
      <w:r w:rsidRPr="009E2F06">
        <w:rPr>
          <w:color w:val="000000"/>
        </w:rPr>
        <w:t xml:space="preserve"> respectivos</w:t>
      </w:r>
      <w:r w:rsidR="009E2F06">
        <w:rPr>
          <w:color w:val="000000"/>
        </w:rPr>
        <w:t>,</w:t>
      </w:r>
      <w:r w:rsidRPr="009E2F06">
        <w:rPr>
          <w:color w:val="000000"/>
        </w:rPr>
        <w:t xml:space="preserve"> planos</w:t>
      </w:r>
      <w:r w:rsidR="009E2F06">
        <w:rPr>
          <w:color w:val="000000"/>
        </w:rPr>
        <w:t xml:space="preserve"> nacionais</w:t>
      </w:r>
      <w:r w:rsidRPr="009E2F06">
        <w:rPr>
          <w:color w:val="000000"/>
        </w:rPr>
        <w:t>, países que não ratificaram o Protocolo da SADC sobre a Extradição e o Protocolo da SADC sobre Ajuda Mútua e Judiciária em Matéria Penal</w:t>
      </w:r>
      <w:r w:rsidRPr="009E2F06">
        <w:rPr>
          <w:color w:val="000000"/>
          <w:vertAlign w:val="superscript"/>
        </w:rPr>
        <w:footnoteReference w:id="90"/>
      </w:r>
      <w:r w:rsidRPr="009E2F06">
        <w:rPr>
          <w:color w:val="000000"/>
        </w:rPr>
        <w:t>, o que impacta negativamente na prevenção e combate ao tráfico de pessoas em Moçambique e na SADC.</w:t>
      </w:r>
    </w:p>
    <w:p w14:paraId="317451F5" w14:textId="5EC76AB1" w:rsidR="005472EF" w:rsidRDefault="00932FD2">
      <w:pPr>
        <w:spacing w:before="240" w:after="240"/>
        <w:ind w:right="0" w:firstLine="720"/>
        <w:rPr>
          <w:color w:val="000000"/>
        </w:rPr>
      </w:pPr>
      <w:r w:rsidRPr="00335074">
        <w:rPr>
          <w:color w:val="000000"/>
        </w:rPr>
        <w:lastRenderedPageBreak/>
        <w:t xml:space="preserve">Os aspectos negativos referenciados são, igualmente, apontados pelo Relatório sobre o Tráfico de Pessoas em Moçambique de 2018, publicado em 2019, pela Embaixada dos Estados Unidos da América, que </w:t>
      </w:r>
      <w:r w:rsidR="00E940D4" w:rsidRPr="00335074">
        <w:rPr>
          <w:color w:val="000000"/>
        </w:rPr>
        <w:t>demonstram</w:t>
      </w:r>
      <w:r w:rsidRPr="00335074">
        <w:rPr>
          <w:color w:val="000000"/>
        </w:rPr>
        <w:t xml:space="preserve"> que Moçambique não satisfaz os padrões para a eliminação do tráfico de pessoas, por ainda não ter finalizado o Plano Nacional para a Prevenção e Combate ao Tráfico de Pessoas e por não ter regulamentado, ainda, a Lei específica sobre o Tráfico de Pessoas</w:t>
      </w:r>
      <w:r w:rsidRPr="00335074">
        <w:rPr>
          <w:color w:val="000000"/>
          <w:vertAlign w:val="superscript"/>
        </w:rPr>
        <w:footnoteReference w:id="91"/>
      </w:r>
      <w:r w:rsidRPr="00335074">
        <w:rPr>
          <w:color w:val="000000"/>
        </w:rPr>
        <w:t xml:space="preserve">. Posição, também, sustentada pela </w:t>
      </w:r>
      <w:r w:rsidR="00E940D4" w:rsidRPr="00335074">
        <w:rPr>
          <w:color w:val="000000"/>
        </w:rPr>
        <w:t>j</w:t>
      </w:r>
      <w:r w:rsidRPr="00335074">
        <w:rPr>
          <w:color w:val="000000"/>
        </w:rPr>
        <w:t xml:space="preserve">uíza Vitalina </w:t>
      </w:r>
      <w:proofErr w:type="spellStart"/>
      <w:r w:rsidRPr="00335074">
        <w:rPr>
          <w:color w:val="000000"/>
        </w:rPr>
        <w:t>Papadakis</w:t>
      </w:r>
      <w:proofErr w:type="spellEnd"/>
      <w:r w:rsidRPr="00335074">
        <w:rPr>
          <w:color w:val="000000"/>
        </w:rPr>
        <w:t xml:space="preserve"> que aponta como inquietações a falta de regulamentação da lei, a inexistência de centros de acolhimento de vítimas, o número exíguo de casos que chega aos tribunais, a inexistência de um Plano de ação nacional para o combate ao tráfico de pessoas, a não inclusão de todas as questões referentes ao tráfico de pessoas no Programa Quinquenal do Governo (PQG - 2014-2019), o qual faz referência, apenas, ao tráfico de crianças, a redução de esforços para processar judicialmente e condenar os traficantes, entre outras</w:t>
      </w:r>
      <w:r w:rsidRPr="00335074">
        <w:rPr>
          <w:color w:val="000000"/>
          <w:vertAlign w:val="superscript"/>
        </w:rPr>
        <w:footnoteReference w:id="92"/>
      </w:r>
      <w:r w:rsidRPr="00335074">
        <w:rPr>
          <w:color w:val="000000"/>
        </w:rPr>
        <w:t>.</w:t>
      </w:r>
    </w:p>
    <w:p w14:paraId="5678FA78" w14:textId="16EF8654" w:rsidR="005472EF" w:rsidRDefault="00932FD2">
      <w:pPr>
        <w:spacing w:before="240" w:after="240"/>
        <w:ind w:right="0" w:firstLine="720"/>
        <w:rPr>
          <w:color w:val="000000"/>
        </w:rPr>
      </w:pPr>
      <w:r w:rsidRPr="00335074">
        <w:rPr>
          <w:color w:val="000000"/>
        </w:rPr>
        <w:t xml:space="preserve">Todavia, essas constatações não ignoram esforços desenvolvidos por Moçambique, iniciados internamente em 2008, com a aprovação da Lei </w:t>
      </w:r>
      <w:r w:rsidR="00801A37" w:rsidRPr="00335074">
        <w:rPr>
          <w:color w:val="000000"/>
        </w:rPr>
        <w:t xml:space="preserve">n. </w:t>
      </w:r>
      <w:r w:rsidRPr="00335074">
        <w:rPr>
          <w:color w:val="000000"/>
        </w:rPr>
        <w:t>6/2008, de 9 de julho, nos quais se inclui o,</w:t>
      </w:r>
    </w:p>
    <w:p w14:paraId="7A2DBEF5" w14:textId="07281216" w:rsidR="005472EF" w:rsidRDefault="00932FD2">
      <w:pPr>
        <w:spacing w:before="240" w:after="240" w:line="240" w:lineRule="auto"/>
        <w:ind w:left="2250" w:right="0"/>
        <w:rPr>
          <w:color w:val="000000"/>
          <w:sz w:val="28"/>
          <w:szCs w:val="28"/>
        </w:rPr>
      </w:pPr>
      <w:r>
        <w:rPr>
          <w:color w:val="000000"/>
          <w:sz w:val="22"/>
          <w:szCs w:val="22"/>
        </w:rPr>
        <w:t xml:space="preserve">[...] aumento dos esforços através da identificação e referência para os cuidados de significativamente mais vítimas do tráfico e o aumento da formação de agentes da linha da frente, nomeadamente agentes policiais e oficiais de migração, e formou inspectores de trabalho pela primeira vez. O governo aumentou os esforços para prevenir o tráfico com a convocação do Grupo Nacional de Referência (NRG) para coordenar os esforços </w:t>
      </w:r>
      <w:proofErr w:type="spellStart"/>
      <w:r>
        <w:rPr>
          <w:color w:val="000000"/>
          <w:sz w:val="22"/>
          <w:szCs w:val="22"/>
        </w:rPr>
        <w:t>anti</w:t>
      </w:r>
      <w:proofErr w:type="spellEnd"/>
      <w:r>
        <w:rPr>
          <w:color w:val="000000"/>
          <w:sz w:val="22"/>
          <w:szCs w:val="22"/>
        </w:rPr>
        <w:t xml:space="preserve"> tráfico, financiamento de campanhas de sensibilização para educar o público nas áreas rurais e urbanas, e formação de respondedores da linha da frente sobre abordagens centradas nas vítimas</w:t>
      </w:r>
      <w:r>
        <w:rPr>
          <w:color w:val="000000"/>
          <w:sz w:val="22"/>
          <w:szCs w:val="22"/>
          <w:vertAlign w:val="superscript"/>
        </w:rPr>
        <w:footnoteReference w:id="93"/>
      </w:r>
      <w:r>
        <w:rPr>
          <w:color w:val="000000"/>
          <w:sz w:val="22"/>
          <w:szCs w:val="22"/>
        </w:rPr>
        <w:t>.</w:t>
      </w:r>
    </w:p>
    <w:p w14:paraId="4803B663" w14:textId="77777777" w:rsidR="005472EF" w:rsidRDefault="00932FD2">
      <w:pPr>
        <w:spacing w:before="240" w:after="240"/>
        <w:ind w:right="0" w:firstLine="720"/>
        <w:rPr>
          <w:color w:val="000000"/>
        </w:rPr>
      </w:pPr>
      <w:r>
        <w:rPr>
          <w:color w:val="000000"/>
        </w:rPr>
        <w:lastRenderedPageBreak/>
        <w:t>O desenvolvimento dessas ações, por parte de Moçambique, justificou a sua elevação ao Nível 2</w:t>
      </w:r>
      <w:r>
        <w:rPr>
          <w:color w:val="000000"/>
          <w:vertAlign w:val="superscript"/>
        </w:rPr>
        <w:footnoteReference w:id="94"/>
      </w:r>
      <w:r>
        <w:rPr>
          <w:color w:val="000000"/>
        </w:rPr>
        <w:t>(</w:t>
      </w:r>
      <w:proofErr w:type="spellStart"/>
      <w:r>
        <w:rPr>
          <w:i/>
          <w:color w:val="000000"/>
        </w:rPr>
        <w:t>Tier</w:t>
      </w:r>
      <w:proofErr w:type="spellEnd"/>
      <w:r>
        <w:rPr>
          <w:i/>
          <w:color w:val="000000"/>
        </w:rPr>
        <w:t xml:space="preserve"> 2</w:t>
      </w:r>
      <w:r>
        <w:rPr>
          <w:color w:val="000000"/>
        </w:rPr>
        <w:t>)</w:t>
      </w:r>
      <w:r>
        <w:rPr>
          <w:color w:val="000000"/>
          <w:vertAlign w:val="superscript"/>
        </w:rPr>
        <w:footnoteReference w:id="95"/>
      </w:r>
      <w:r>
        <w:rPr>
          <w:color w:val="000000"/>
        </w:rPr>
        <w:t>, uma classificação que é providenciada pelo Departamento dos Estados Unidos, baseado nas ações do governo no cumprimento dos padrões mínimos de enfrentamento ao tráfico de pessoas</w:t>
      </w:r>
      <w:r>
        <w:rPr>
          <w:color w:val="000000"/>
          <w:vertAlign w:val="superscript"/>
        </w:rPr>
        <w:footnoteReference w:id="96"/>
      </w:r>
      <w:r>
        <w:rPr>
          <w:color w:val="000000"/>
        </w:rPr>
        <w:t>.</w:t>
      </w:r>
    </w:p>
    <w:p w14:paraId="5178D7B2" w14:textId="098DF2CD" w:rsidR="005472EF" w:rsidRPr="00335074" w:rsidRDefault="00932FD2">
      <w:pPr>
        <w:spacing w:before="240" w:after="240"/>
        <w:ind w:right="0" w:firstLine="720"/>
        <w:rPr>
          <w:color w:val="auto"/>
        </w:rPr>
      </w:pPr>
      <w:r w:rsidRPr="00335074">
        <w:rPr>
          <w:color w:val="auto"/>
        </w:rPr>
        <w:t xml:space="preserve">Partindo da compreensão que </w:t>
      </w:r>
      <w:r w:rsidR="00801A37" w:rsidRPr="00335074">
        <w:rPr>
          <w:color w:val="auto"/>
        </w:rPr>
        <w:t>constata</w:t>
      </w:r>
      <w:r w:rsidRPr="00335074">
        <w:rPr>
          <w:color w:val="auto"/>
        </w:rPr>
        <w:t xml:space="preserve"> que as medida</w:t>
      </w:r>
      <w:r w:rsidR="00801A37" w:rsidRPr="00335074">
        <w:rPr>
          <w:color w:val="auto"/>
        </w:rPr>
        <w:t>s</w:t>
      </w:r>
      <w:r w:rsidRPr="00335074">
        <w:rPr>
          <w:color w:val="auto"/>
        </w:rPr>
        <w:t xml:space="preserve"> legislativas ou programáticas, que incluem as alterações na legislação, implementação de planos de ação bem concebidos, regimes de proteção das vítimas e mecanismos nacionais de referência contribuem para </w:t>
      </w:r>
      <w:r w:rsidR="000505A9" w:rsidRPr="00335074">
        <w:rPr>
          <w:color w:val="auto"/>
        </w:rPr>
        <w:t>aperfeiçoar</w:t>
      </w:r>
      <w:r w:rsidRPr="00335074">
        <w:rPr>
          <w:color w:val="auto"/>
        </w:rPr>
        <w:t xml:space="preserve"> a identificação das vítimas e a eficácia da justiça penal</w:t>
      </w:r>
      <w:r w:rsidRPr="00335074">
        <w:rPr>
          <w:color w:val="auto"/>
          <w:vertAlign w:val="superscript"/>
        </w:rPr>
        <w:footnoteReference w:id="97"/>
      </w:r>
      <w:r w:rsidRPr="00335074">
        <w:rPr>
          <w:color w:val="auto"/>
        </w:rPr>
        <w:t xml:space="preserve">, julga-se claro que as ações de regulamentação da Lei sobre o tráfico de pessoas e da aprovação do Plano nacional permitiriam a ampliação e o aperfeiçoamento dos mecanismos de prevenção e combate ao tráfico de pessoas em Moçambique. A Regulamentação da Lei </w:t>
      </w:r>
      <w:r w:rsidR="000505A9" w:rsidRPr="00335074">
        <w:rPr>
          <w:color w:val="auto"/>
        </w:rPr>
        <w:t>impulsionaria</w:t>
      </w:r>
      <w:r w:rsidRPr="00335074">
        <w:rPr>
          <w:color w:val="auto"/>
        </w:rPr>
        <w:t xml:space="preserve"> uma melhor atuação dos órgãos de administração da justiça e dos demais poderes públicos envolvidos nessa missão. O Plano, por sua vez, serviria de base para o fortalecimento da coordenação e cooperação entre os órgãos públicos, entre estes e as organizações internacionais e não governamentais, em vice-versa, assim como a definição dos objetivos, atores e suas responsabilidades, metas, orçamentação para o alcance dos resultados previstos e o respectivo monitoramento, partindo do pressuposto de que as ações </w:t>
      </w:r>
      <w:r w:rsidRPr="00335074">
        <w:rPr>
          <w:color w:val="auto"/>
        </w:rPr>
        <w:lastRenderedPageBreak/>
        <w:t>de enfrentamento demandam uma intervenção cooperativa e colaborativa entre os diversos atores estatais e não estatais, mediante uma abordagem multidisciplinar e transversal. </w:t>
      </w:r>
    </w:p>
    <w:p w14:paraId="23F79870" w14:textId="77777777" w:rsidR="005472EF" w:rsidRDefault="005472EF">
      <w:pPr>
        <w:spacing w:before="240" w:after="240"/>
        <w:ind w:firstLine="709"/>
        <w:rPr>
          <w:color w:val="000000"/>
        </w:rPr>
      </w:pPr>
    </w:p>
    <w:p w14:paraId="6C9FD32E" w14:textId="77777777" w:rsidR="005472EF" w:rsidRDefault="00932FD2">
      <w:pPr>
        <w:pBdr>
          <w:top w:val="nil"/>
          <w:left w:val="nil"/>
          <w:bottom w:val="nil"/>
          <w:right w:val="nil"/>
          <w:between w:val="nil"/>
        </w:pBdr>
        <w:spacing w:before="240" w:after="240"/>
        <w:ind w:left="709"/>
        <w:rPr>
          <w:b/>
          <w:color w:val="000000"/>
        </w:rPr>
      </w:pPr>
      <w:r>
        <w:rPr>
          <w:b/>
          <w:color w:val="000000"/>
        </w:rPr>
        <w:t xml:space="preserve">4. Jurisprudência </w:t>
      </w:r>
    </w:p>
    <w:p w14:paraId="4A758B63" w14:textId="7FD9574C" w:rsidR="005472EF" w:rsidRPr="00335074" w:rsidRDefault="00932FD2">
      <w:pPr>
        <w:pBdr>
          <w:top w:val="nil"/>
          <w:left w:val="nil"/>
          <w:bottom w:val="nil"/>
          <w:right w:val="nil"/>
          <w:between w:val="nil"/>
        </w:pBdr>
        <w:tabs>
          <w:tab w:val="left" w:pos="0"/>
        </w:tabs>
        <w:spacing w:before="240" w:after="240"/>
        <w:ind w:firstLine="709"/>
        <w:rPr>
          <w:color w:val="auto"/>
        </w:rPr>
      </w:pPr>
      <w:r w:rsidRPr="00335074">
        <w:rPr>
          <w:color w:val="auto"/>
        </w:rPr>
        <w:t xml:space="preserve">O Relatório sobre o Tráfico de Pessoas de 2018 </w:t>
      </w:r>
      <w:r w:rsidR="005134EF" w:rsidRPr="00335074">
        <w:rPr>
          <w:color w:val="auto"/>
        </w:rPr>
        <w:t>demonstra</w:t>
      </w:r>
      <w:r w:rsidRPr="00335074">
        <w:rPr>
          <w:color w:val="auto"/>
        </w:rPr>
        <w:t xml:space="preserve"> uma relativa melhoria na capacidade das autoridades nacionais em rastrear e avaliar os padrões e fluxos do tráfico de pessoas, sobretudo nos últimos dez anos. De forma exemplificativa, o </w:t>
      </w:r>
      <w:r w:rsidR="005134EF" w:rsidRPr="00335074">
        <w:rPr>
          <w:color w:val="auto"/>
        </w:rPr>
        <w:t>documento</w:t>
      </w:r>
      <w:r w:rsidRPr="00335074">
        <w:rPr>
          <w:color w:val="auto"/>
        </w:rPr>
        <w:t xml:space="preserve"> relata que “em 2009, apenas 26 países tinham alguma instituição que recolhia e divulgava sistematicamente dados sobre casos de tráfico de pessoas, </w:t>
      </w:r>
      <w:proofErr w:type="gramStart"/>
      <w:r w:rsidR="005134EF" w:rsidRPr="00335074">
        <w:rPr>
          <w:color w:val="auto"/>
        </w:rPr>
        <w:t>enquanto que</w:t>
      </w:r>
      <w:proofErr w:type="gramEnd"/>
      <w:r w:rsidRPr="00335074">
        <w:rPr>
          <w:color w:val="auto"/>
        </w:rPr>
        <w:t>, até 2018, o número aumentou para 65”</w:t>
      </w:r>
      <w:r w:rsidR="00732F63" w:rsidRPr="00335074">
        <w:rPr>
          <w:color w:val="auto"/>
        </w:rPr>
        <w:t>.</w:t>
      </w:r>
      <w:r w:rsidRPr="00335074">
        <w:rPr>
          <w:color w:val="auto"/>
          <w:vertAlign w:val="superscript"/>
        </w:rPr>
        <w:footnoteReference w:id="98"/>
      </w:r>
    </w:p>
    <w:p w14:paraId="1A714296" w14:textId="77777777" w:rsidR="005472EF" w:rsidRPr="00335074" w:rsidRDefault="00932FD2">
      <w:pPr>
        <w:pBdr>
          <w:top w:val="nil"/>
          <w:left w:val="nil"/>
          <w:bottom w:val="nil"/>
          <w:right w:val="nil"/>
          <w:between w:val="nil"/>
        </w:pBdr>
        <w:tabs>
          <w:tab w:val="left" w:pos="0"/>
        </w:tabs>
        <w:spacing w:before="240" w:after="240"/>
        <w:ind w:firstLine="709"/>
        <w:rPr>
          <w:color w:val="000000"/>
        </w:rPr>
      </w:pPr>
      <w:r>
        <w:rPr>
          <w:color w:val="000000"/>
        </w:rPr>
        <w:t xml:space="preserve">Com efeito, por forma a dar maior visibilidade de processos bem sucedidos, ao mesmo tempo, promover a conscientização sobre a realidade do tráfico de pessoas, o Escritório das Nações Unidas contra Crime e Drogas desenvolveu em 2014, um portal denominado </w:t>
      </w:r>
      <w:proofErr w:type="spellStart"/>
      <w:r>
        <w:rPr>
          <w:i/>
          <w:color w:val="000000"/>
        </w:rPr>
        <w:t>Human</w:t>
      </w:r>
      <w:proofErr w:type="spellEnd"/>
      <w:r>
        <w:rPr>
          <w:i/>
          <w:color w:val="000000"/>
        </w:rPr>
        <w:t xml:space="preserve"> </w:t>
      </w:r>
      <w:proofErr w:type="spellStart"/>
      <w:r>
        <w:rPr>
          <w:i/>
          <w:color w:val="000000"/>
        </w:rPr>
        <w:t>trafficking</w:t>
      </w:r>
      <w:proofErr w:type="spellEnd"/>
      <w:r>
        <w:rPr>
          <w:i/>
          <w:color w:val="000000"/>
        </w:rPr>
        <w:t xml:space="preserve"> </w:t>
      </w:r>
      <w:proofErr w:type="spellStart"/>
      <w:r>
        <w:rPr>
          <w:i/>
          <w:color w:val="000000"/>
        </w:rPr>
        <w:t>Knowledge</w:t>
      </w:r>
      <w:proofErr w:type="spellEnd"/>
      <w:r>
        <w:rPr>
          <w:i/>
          <w:color w:val="000000"/>
        </w:rPr>
        <w:t xml:space="preserve"> Portal </w:t>
      </w:r>
      <w:r>
        <w:rPr>
          <w:color w:val="000000"/>
        </w:rPr>
        <w:t xml:space="preserve">(ou </w:t>
      </w:r>
      <w:proofErr w:type="spellStart"/>
      <w:r>
        <w:rPr>
          <w:i/>
          <w:color w:val="000000"/>
        </w:rPr>
        <w:t>Sherloc</w:t>
      </w:r>
      <w:proofErr w:type="spellEnd"/>
      <w:r>
        <w:rPr>
          <w:color w:val="000000"/>
        </w:rPr>
        <w:t>)</w:t>
      </w:r>
      <w:r>
        <w:rPr>
          <w:i/>
          <w:color w:val="000000"/>
        </w:rPr>
        <w:t xml:space="preserve">, </w:t>
      </w:r>
      <w:r>
        <w:rPr>
          <w:color w:val="000000"/>
        </w:rPr>
        <w:t xml:space="preserve">que hospeda uma base de dados de jurisprudência sobre casos oficialmente documentados de tráfico de pessoas. Trata-se de um portal </w:t>
      </w:r>
      <w:r w:rsidRPr="00335074">
        <w:rPr>
          <w:color w:val="000000"/>
        </w:rPr>
        <w:t>que objetiva,</w:t>
      </w:r>
    </w:p>
    <w:p w14:paraId="0614445F" w14:textId="77777777" w:rsidR="005472EF" w:rsidRDefault="00932FD2" w:rsidP="00732F63">
      <w:pPr>
        <w:pBdr>
          <w:top w:val="nil"/>
          <w:left w:val="nil"/>
          <w:bottom w:val="nil"/>
          <w:right w:val="nil"/>
          <w:between w:val="nil"/>
        </w:pBdr>
        <w:tabs>
          <w:tab w:val="left" w:pos="142"/>
        </w:tabs>
        <w:spacing w:before="240" w:after="240" w:line="240" w:lineRule="auto"/>
        <w:ind w:left="2268"/>
        <w:rPr>
          <w:color w:val="000000"/>
          <w:sz w:val="22"/>
          <w:szCs w:val="22"/>
        </w:rPr>
      </w:pPr>
      <w:r w:rsidRPr="00335074">
        <w:rPr>
          <w:color w:val="000000"/>
          <w:sz w:val="22"/>
          <w:szCs w:val="22"/>
        </w:rPr>
        <w:t>[...] facilitar a divulgação de informações sobre a implementação da Convenção das Nações Unidas contra o Crime Organizado Transnacional e, especificamente, o Protocolo para Prevenir, Suprimir e Punir o Tráfico de Pessoas, Especialmente Mulheres e Crianças. [...] que os usuários leiam sobre questões de tráfico de pessoas, consultem decisões e práticas de tribunais de diferentes países e ampliem seus conhecimentos sobre crimes de tráfico de pessoas</w:t>
      </w:r>
      <w:r w:rsidRPr="00335074">
        <w:rPr>
          <w:color w:val="000000"/>
          <w:sz w:val="22"/>
          <w:szCs w:val="22"/>
          <w:vertAlign w:val="superscript"/>
        </w:rPr>
        <w:footnoteReference w:id="99"/>
      </w:r>
      <w:r w:rsidRPr="00335074">
        <w:rPr>
          <w:color w:val="000000"/>
          <w:sz w:val="22"/>
          <w:szCs w:val="22"/>
        </w:rPr>
        <w:t>.</w:t>
      </w:r>
    </w:p>
    <w:p w14:paraId="528F95C0" w14:textId="77777777" w:rsidR="005472EF" w:rsidRDefault="00932FD2">
      <w:pPr>
        <w:pBdr>
          <w:top w:val="nil"/>
          <w:left w:val="nil"/>
          <w:bottom w:val="nil"/>
          <w:right w:val="nil"/>
          <w:between w:val="nil"/>
        </w:pBdr>
        <w:tabs>
          <w:tab w:val="left" w:pos="0"/>
        </w:tabs>
        <w:spacing w:before="240" w:after="240"/>
        <w:ind w:firstLine="709"/>
        <w:rPr>
          <w:color w:val="000000"/>
        </w:rPr>
      </w:pPr>
      <w:r>
        <w:rPr>
          <w:color w:val="000000"/>
        </w:rPr>
        <w:t>O referido portal apresenta três bases de dados</w:t>
      </w:r>
      <w:r>
        <w:rPr>
          <w:color w:val="000000"/>
          <w:vertAlign w:val="superscript"/>
        </w:rPr>
        <w:footnoteReference w:id="100"/>
      </w:r>
      <w:r>
        <w:rPr>
          <w:color w:val="000000"/>
        </w:rPr>
        <w:t xml:space="preserve"> de acordo com a figura abaixo:</w:t>
      </w:r>
    </w:p>
    <w:p w14:paraId="6970CB27" w14:textId="77777777" w:rsidR="005472EF" w:rsidRDefault="005472EF">
      <w:pPr>
        <w:pBdr>
          <w:top w:val="nil"/>
          <w:left w:val="nil"/>
          <w:bottom w:val="nil"/>
          <w:right w:val="nil"/>
          <w:between w:val="nil"/>
        </w:pBdr>
        <w:tabs>
          <w:tab w:val="left" w:pos="0"/>
        </w:tabs>
        <w:spacing w:before="240" w:after="240"/>
        <w:ind w:firstLine="709"/>
        <w:rPr>
          <w:color w:val="000000"/>
        </w:rPr>
      </w:pPr>
    </w:p>
    <w:p w14:paraId="272E804B" w14:textId="3C3D5396" w:rsidR="005472EF" w:rsidRDefault="00DE71B4">
      <w:pPr>
        <w:pBdr>
          <w:top w:val="nil"/>
          <w:left w:val="nil"/>
          <w:bottom w:val="nil"/>
          <w:right w:val="nil"/>
          <w:between w:val="nil"/>
        </w:pBdr>
        <w:tabs>
          <w:tab w:val="left" w:pos="0"/>
        </w:tabs>
        <w:spacing w:before="240" w:after="240"/>
        <w:ind w:firstLine="709"/>
        <w:rPr>
          <w:color w:val="000000"/>
        </w:rPr>
      </w:pPr>
      <w:r w:rsidRPr="00DE71B4">
        <w:rPr>
          <w:b/>
          <w:noProof/>
        </w:rPr>
        <mc:AlternateContent>
          <mc:Choice Requires="wpg">
            <w:drawing>
              <wp:anchor distT="0" distB="0" distL="114300" distR="114300" simplePos="0" relativeHeight="251658240" behindDoc="0" locked="0" layoutInCell="1" hidden="0" allowOverlap="1" wp14:anchorId="699EB4AB" wp14:editId="0518EC56">
                <wp:simplePos x="0" y="0"/>
                <wp:positionH relativeFrom="column">
                  <wp:posOffset>332740</wp:posOffset>
                </wp:positionH>
                <wp:positionV relativeFrom="paragraph">
                  <wp:posOffset>379153</wp:posOffset>
                </wp:positionV>
                <wp:extent cx="5486400" cy="3808730"/>
                <wp:effectExtent l="0" t="0" r="19050" b="20320"/>
                <wp:wrapNone/>
                <wp:docPr id="1" name="Grupo 1"/>
                <wp:cNvGraphicFramePr/>
                <a:graphic xmlns:a="http://schemas.openxmlformats.org/drawingml/2006/main">
                  <a:graphicData uri="http://schemas.microsoft.com/office/word/2010/wordprocessingGroup">
                    <wpg:wgp>
                      <wpg:cNvGrpSpPr/>
                      <wpg:grpSpPr>
                        <a:xfrm>
                          <a:off x="0" y="0"/>
                          <a:ext cx="5486400" cy="3808730"/>
                          <a:chOff x="2602800" y="1730855"/>
                          <a:chExt cx="5486400" cy="4098290"/>
                        </a:xfrm>
                      </wpg:grpSpPr>
                      <wpg:grpSp>
                        <wpg:cNvPr id="2" name="Grupo 2"/>
                        <wpg:cNvGrpSpPr/>
                        <wpg:grpSpPr>
                          <a:xfrm>
                            <a:off x="2602800" y="1730855"/>
                            <a:ext cx="5486400" cy="4098290"/>
                            <a:chOff x="2602800" y="1730855"/>
                            <a:chExt cx="5486400" cy="4098290"/>
                          </a:xfrm>
                        </wpg:grpSpPr>
                        <wps:wsp>
                          <wps:cNvPr id="3" name="Retângulo 3"/>
                          <wps:cNvSpPr/>
                          <wps:spPr>
                            <a:xfrm>
                              <a:off x="2602800" y="1730855"/>
                              <a:ext cx="5486400" cy="4098275"/>
                            </a:xfrm>
                            <a:prstGeom prst="rect">
                              <a:avLst/>
                            </a:prstGeom>
                            <a:noFill/>
                            <a:ln>
                              <a:noFill/>
                            </a:ln>
                          </wps:spPr>
                          <wps:txbx>
                            <w:txbxContent>
                              <w:p w14:paraId="771C3A69" w14:textId="77777777" w:rsidR="009E2F06" w:rsidRDefault="009E2F06">
                                <w:pPr>
                                  <w:spacing w:before="0" w:after="0" w:line="240" w:lineRule="auto"/>
                                  <w:ind w:right="0"/>
                                  <w:jc w:val="left"/>
                                  <w:textDirection w:val="btLr"/>
                                </w:pPr>
                              </w:p>
                            </w:txbxContent>
                          </wps:txbx>
                          <wps:bodyPr spcFirstLastPara="1" wrap="square" lIns="91425" tIns="91425" rIns="91425" bIns="91425" anchor="ctr" anchorCtr="0">
                            <a:noAutofit/>
                          </wps:bodyPr>
                        </wps:wsp>
                        <wpg:grpSp>
                          <wpg:cNvPr id="4" name="Grupo 4"/>
                          <wpg:cNvGrpSpPr/>
                          <wpg:grpSpPr>
                            <a:xfrm>
                              <a:off x="2602800" y="1730855"/>
                              <a:ext cx="5486400" cy="4098290"/>
                              <a:chOff x="0" y="0"/>
                              <a:chExt cx="5486400" cy="3200400"/>
                            </a:xfrm>
                          </wpg:grpSpPr>
                          <wps:wsp>
                            <wps:cNvPr id="5" name="Retângulo 5"/>
                            <wps:cNvSpPr/>
                            <wps:spPr>
                              <a:xfrm>
                                <a:off x="0" y="0"/>
                                <a:ext cx="5486400" cy="3200400"/>
                              </a:xfrm>
                              <a:prstGeom prst="rect">
                                <a:avLst/>
                              </a:prstGeom>
                              <a:noFill/>
                              <a:ln>
                                <a:noFill/>
                              </a:ln>
                            </wps:spPr>
                            <wps:txbx>
                              <w:txbxContent>
                                <w:p w14:paraId="56DA774E" w14:textId="77777777" w:rsidR="009E2F06" w:rsidRDefault="009E2F06">
                                  <w:pPr>
                                    <w:spacing w:before="0" w:after="0" w:line="240" w:lineRule="auto"/>
                                    <w:ind w:right="0"/>
                                    <w:jc w:val="left"/>
                                    <w:textDirection w:val="btLr"/>
                                  </w:pPr>
                                </w:p>
                              </w:txbxContent>
                            </wps:txbx>
                            <wps:bodyPr spcFirstLastPara="1" wrap="square" lIns="91425" tIns="91425" rIns="91425" bIns="91425" anchor="ctr" anchorCtr="0">
                              <a:noAutofit/>
                            </wps:bodyPr>
                          </wps:wsp>
                          <wpg:grpSp>
                            <wpg:cNvPr id="6" name="Grupo 6"/>
                            <wpg:cNvGrpSpPr/>
                            <wpg:grpSpPr>
                              <a:xfrm>
                                <a:off x="0" y="0"/>
                                <a:ext cx="5486400" cy="3200400"/>
                                <a:chOff x="0" y="0"/>
                                <a:chExt cx="5486400" cy="3200400"/>
                              </a:xfrm>
                            </wpg:grpSpPr>
                            <wps:wsp>
                              <wps:cNvPr id="7" name="Retângulo 7"/>
                              <wps:cNvSpPr/>
                              <wps:spPr>
                                <a:xfrm>
                                  <a:off x="0" y="0"/>
                                  <a:ext cx="5486400" cy="3200400"/>
                                </a:xfrm>
                                <a:prstGeom prst="rect">
                                  <a:avLst/>
                                </a:prstGeom>
                                <a:noFill/>
                                <a:ln>
                                  <a:noFill/>
                                </a:ln>
                              </wps:spPr>
                              <wps:txbx>
                                <w:txbxContent>
                                  <w:p w14:paraId="5E96A197" w14:textId="77777777" w:rsidR="009E2F06" w:rsidRDefault="009E2F06">
                                    <w:pPr>
                                      <w:spacing w:before="0" w:after="0" w:line="240" w:lineRule="auto"/>
                                      <w:ind w:right="0"/>
                                      <w:jc w:val="left"/>
                                      <w:textDirection w:val="btLr"/>
                                    </w:pPr>
                                  </w:p>
                                </w:txbxContent>
                              </wps:txbx>
                              <wps:bodyPr spcFirstLastPara="1" wrap="square" lIns="91425" tIns="91425" rIns="91425" bIns="91425" anchor="ctr" anchorCtr="0">
                                <a:noAutofit/>
                              </wps:bodyPr>
                            </wps:wsp>
                            <wps:wsp>
                              <wps:cNvPr id="8" name="Retângulo 8"/>
                              <wps:cNvSpPr/>
                              <wps:spPr>
                                <a:xfrm>
                                  <a:off x="0" y="274320"/>
                                  <a:ext cx="5486400" cy="982799"/>
                                </a:xfrm>
                                <a:prstGeom prst="rect">
                                  <a:avLst/>
                                </a:prstGeom>
                                <a:solidFill>
                                  <a:schemeClr val="lt1">
                                    <a:alpha val="89019"/>
                                  </a:schemeClr>
                                </a:solidFill>
                                <a:ln w="25400" cap="flat" cmpd="sng">
                                  <a:solidFill>
                                    <a:schemeClr val="accent4"/>
                                  </a:solidFill>
                                  <a:prstDash val="solid"/>
                                  <a:round/>
                                  <a:headEnd type="none" w="sm" len="sm"/>
                                  <a:tailEnd type="none" w="sm" len="sm"/>
                                </a:ln>
                              </wps:spPr>
                              <wps:txbx>
                                <w:txbxContent>
                                  <w:p w14:paraId="585E5EC0" w14:textId="77777777" w:rsidR="009E2F06" w:rsidRDefault="009E2F06">
                                    <w:pPr>
                                      <w:spacing w:before="0" w:after="0" w:line="240" w:lineRule="auto"/>
                                      <w:ind w:right="0"/>
                                      <w:jc w:val="left"/>
                                      <w:textDirection w:val="btLr"/>
                                    </w:pPr>
                                  </w:p>
                                </w:txbxContent>
                              </wps:txbx>
                              <wps:bodyPr spcFirstLastPara="1" wrap="square" lIns="91425" tIns="91425" rIns="91425" bIns="91425" anchor="ctr" anchorCtr="0">
                                <a:noAutofit/>
                              </wps:bodyPr>
                            </wps:wsp>
                            <wps:wsp>
                              <wps:cNvPr id="9" name="Retângulo 9"/>
                              <wps:cNvSpPr/>
                              <wps:spPr>
                                <a:xfrm>
                                  <a:off x="0" y="274320"/>
                                  <a:ext cx="5486400" cy="982799"/>
                                </a:xfrm>
                                <a:prstGeom prst="rect">
                                  <a:avLst/>
                                </a:prstGeom>
                                <a:noFill/>
                                <a:ln>
                                  <a:noFill/>
                                </a:ln>
                              </wps:spPr>
                              <wps:txbx>
                                <w:txbxContent>
                                  <w:p w14:paraId="583A0DEE" w14:textId="77777777" w:rsidR="009E2F06" w:rsidRDefault="009E2F06">
                                    <w:pPr>
                                      <w:spacing w:before="0" w:after="0" w:line="215" w:lineRule="auto"/>
                                      <w:ind w:left="90" w:right="0" w:firstLine="260"/>
                                      <w:jc w:val="right"/>
                                      <w:textDirection w:val="btLr"/>
                                    </w:pPr>
                                    <w:r>
                                      <w:rPr>
                                        <w:rFonts w:ascii="Cambria" w:eastAsia="Cambria" w:hAnsi="Cambria" w:cs="Cambria"/>
                                        <w:color w:val="000000"/>
                                        <w:sz w:val="16"/>
                                      </w:rPr>
                                      <w:t>Acesso público de documentos oficiais sobre o crime de tráfico de pessoas;</w:t>
                                    </w:r>
                                  </w:p>
                                  <w:p w14:paraId="46353F2C" w14:textId="77777777" w:rsidR="009E2F06" w:rsidRDefault="009E2F06">
                                    <w:pPr>
                                      <w:spacing w:before="24" w:after="0" w:line="215" w:lineRule="auto"/>
                                      <w:ind w:left="90" w:right="0" w:firstLine="260"/>
                                      <w:jc w:val="right"/>
                                      <w:textDirection w:val="btLr"/>
                                    </w:pPr>
                                    <w:r>
                                      <w:rPr>
                                        <w:rFonts w:ascii="Cambria" w:eastAsia="Cambria" w:hAnsi="Cambria" w:cs="Cambria"/>
                                        <w:color w:val="000000"/>
                                        <w:sz w:val="16"/>
                                      </w:rPr>
                                      <w:t>Detalhes sobre vítimas e traficantes, suas nacionalidades, rotas de tráfico, decisões e</w:t>
                                    </w:r>
                                    <w:r>
                                      <w:rPr>
                                        <w:rFonts w:ascii="Cambria" w:eastAsia="Cambria" w:hAnsi="Cambria" w:cs="Cambria"/>
                                        <w:color w:val="000000"/>
                                        <w:sz w:val="16"/>
                                      </w:rPr>
                                      <w:t xml:space="preserve">  outras informações relevantes sobre os processos criminais de todo o mundo;</w:t>
                                    </w:r>
                                  </w:p>
                                  <w:p w14:paraId="03C5616A" w14:textId="77777777" w:rsidR="009E2F06" w:rsidRDefault="009E2F06">
                                    <w:pPr>
                                      <w:spacing w:before="24" w:after="0" w:line="215" w:lineRule="auto"/>
                                      <w:ind w:left="90" w:right="0" w:firstLine="260"/>
                                      <w:jc w:val="right"/>
                                      <w:textDirection w:val="btLr"/>
                                    </w:pPr>
                                    <w:r>
                                      <w:rPr>
                                        <w:rFonts w:ascii="Cambria" w:eastAsia="Cambria" w:hAnsi="Cambria" w:cs="Cambria"/>
                                        <w:color w:val="000000"/>
                                        <w:sz w:val="16"/>
                                      </w:rPr>
                                      <w:t>Apresenta para além de dados estatísticos, histórias reais de pessoas traficadas de acordo com a documentação dos tribunais.</w:t>
                                    </w:r>
                                  </w:p>
                                </w:txbxContent>
                              </wps:txbx>
                              <wps:bodyPr spcFirstLastPara="1" wrap="square" lIns="425800" tIns="208275" rIns="425800" bIns="56875" anchor="t" anchorCtr="0">
                                <a:noAutofit/>
                              </wps:bodyPr>
                            </wps:wsp>
                            <wps:wsp>
                              <wps:cNvPr id="10" name="Retângulo de cantos arredondados 10"/>
                              <wps:cNvSpPr/>
                              <wps:spPr>
                                <a:xfrm>
                                  <a:off x="274320" y="38160"/>
                                  <a:ext cx="1221963" cy="472320"/>
                                </a:xfrm>
                                <a:prstGeom prst="roundRect">
                                  <a:avLst>
                                    <a:gd name="adj" fmla="val 16667"/>
                                  </a:avLst>
                                </a:prstGeom>
                                <a:solidFill>
                                  <a:schemeClr val="accent4"/>
                                </a:solidFill>
                                <a:ln w="25400" cap="flat" cmpd="sng">
                                  <a:solidFill>
                                    <a:schemeClr val="lt1"/>
                                  </a:solidFill>
                                  <a:prstDash val="solid"/>
                                  <a:round/>
                                  <a:headEnd type="none" w="sm" len="sm"/>
                                  <a:tailEnd type="none" w="sm" len="sm"/>
                                </a:ln>
                              </wps:spPr>
                              <wps:txbx>
                                <w:txbxContent>
                                  <w:p w14:paraId="42066B2C" w14:textId="77777777" w:rsidR="009E2F06" w:rsidRDefault="009E2F06">
                                    <w:pPr>
                                      <w:spacing w:before="0" w:after="0" w:line="240" w:lineRule="auto"/>
                                      <w:ind w:right="0"/>
                                      <w:jc w:val="left"/>
                                      <w:textDirection w:val="btLr"/>
                                    </w:pPr>
                                  </w:p>
                                </w:txbxContent>
                              </wps:txbx>
                              <wps:bodyPr spcFirstLastPara="1" wrap="square" lIns="91425" tIns="91425" rIns="91425" bIns="91425" anchor="ctr" anchorCtr="0">
                                <a:noAutofit/>
                              </wps:bodyPr>
                            </wps:wsp>
                            <wps:wsp>
                              <wps:cNvPr id="11" name="Retângulo 11"/>
                              <wps:cNvSpPr/>
                              <wps:spPr>
                                <a:xfrm>
                                  <a:off x="297377" y="61217"/>
                                  <a:ext cx="1175849" cy="426206"/>
                                </a:xfrm>
                                <a:prstGeom prst="rect">
                                  <a:avLst/>
                                </a:prstGeom>
                                <a:noFill/>
                                <a:ln>
                                  <a:noFill/>
                                </a:ln>
                              </wps:spPr>
                              <wps:txbx>
                                <w:txbxContent>
                                  <w:p w14:paraId="3EFCC9F4" w14:textId="77777777" w:rsidR="009E2F06" w:rsidRDefault="009E2F06">
                                    <w:pPr>
                                      <w:spacing w:before="0" w:after="0" w:line="215" w:lineRule="auto"/>
                                      <w:ind w:right="0"/>
                                      <w:jc w:val="center"/>
                                      <w:textDirection w:val="btLr"/>
                                    </w:pPr>
                                    <w:r>
                                      <w:rPr>
                                        <w:rFonts w:ascii="Cambria" w:eastAsia="Cambria" w:hAnsi="Cambria" w:cs="Cambria"/>
                                        <w:b/>
                                        <w:color w:val="000000"/>
                                        <w:sz w:val="20"/>
                                      </w:rPr>
                                      <w:t>Base de dados de jurisprudência</w:t>
                                    </w:r>
                                  </w:p>
                                </w:txbxContent>
                              </wps:txbx>
                              <wps:bodyPr spcFirstLastPara="1" wrap="square" lIns="145150" tIns="0" rIns="145150" bIns="0" anchor="ctr" anchorCtr="0">
                                <a:noAutofit/>
                              </wps:bodyPr>
                            </wps:wsp>
                            <wps:wsp>
                              <wps:cNvPr id="12" name="Retângulo 12"/>
                              <wps:cNvSpPr/>
                              <wps:spPr>
                                <a:xfrm>
                                  <a:off x="0" y="1579680"/>
                                  <a:ext cx="5486400" cy="630000"/>
                                </a:xfrm>
                                <a:prstGeom prst="rect">
                                  <a:avLst/>
                                </a:prstGeom>
                                <a:solidFill>
                                  <a:schemeClr val="lt1">
                                    <a:alpha val="89019"/>
                                  </a:schemeClr>
                                </a:solidFill>
                                <a:ln w="25400" cap="flat" cmpd="sng">
                                  <a:solidFill>
                                    <a:srgbClr val="5665B3"/>
                                  </a:solidFill>
                                  <a:prstDash val="solid"/>
                                  <a:round/>
                                  <a:headEnd type="none" w="sm" len="sm"/>
                                  <a:tailEnd type="none" w="sm" len="sm"/>
                                </a:ln>
                              </wps:spPr>
                              <wps:txbx>
                                <w:txbxContent>
                                  <w:p w14:paraId="5A40DACC" w14:textId="77777777" w:rsidR="009E2F06" w:rsidRDefault="009E2F06">
                                    <w:pPr>
                                      <w:spacing w:before="0" w:after="0" w:line="240" w:lineRule="auto"/>
                                      <w:ind w:right="0"/>
                                      <w:jc w:val="left"/>
                                      <w:textDirection w:val="btLr"/>
                                    </w:pPr>
                                  </w:p>
                                </w:txbxContent>
                              </wps:txbx>
                              <wps:bodyPr spcFirstLastPara="1" wrap="square" lIns="91425" tIns="91425" rIns="91425" bIns="91425" anchor="ctr" anchorCtr="0">
                                <a:noAutofit/>
                              </wps:bodyPr>
                            </wps:wsp>
                            <wps:wsp>
                              <wps:cNvPr id="13" name="Retângulo 13"/>
                              <wps:cNvSpPr/>
                              <wps:spPr>
                                <a:xfrm>
                                  <a:off x="0" y="1579680"/>
                                  <a:ext cx="5486400" cy="630000"/>
                                </a:xfrm>
                                <a:prstGeom prst="rect">
                                  <a:avLst/>
                                </a:prstGeom>
                                <a:noFill/>
                                <a:ln w="9525" cap="flat" cmpd="sng">
                                  <a:solidFill>
                                    <a:srgbClr val="FFFFFF"/>
                                  </a:solidFill>
                                  <a:prstDash val="solid"/>
                                  <a:round/>
                                  <a:headEnd type="none" w="sm" len="sm"/>
                                  <a:tailEnd type="none" w="sm" len="sm"/>
                                </a:ln>
                              </wps:spPr>
                              <wps:txbx>
                                <w:txbxContent>
                                  <w:p w14:paraId="54090A29" w14:textId="77777777" w:rsidR="009E2F06" w:rsidRDefault="009E2F06">
                                    <w:pPr>
                                      <w:spacing w:before="0" w:after="0" w:line="215" w:lineRule="auto"/>
                                      <w:ind w:left="90" w:right="0" w:firstLine="260"/>
                                      <w:jc w:val="right"/>
                                      <w:textDirection w:val="btLr"/>
                                    </w:pPr>
                                    <w:r>
                                      <w:rPr>
                                        <w:rFonts w:ascii="Cambria" w:eastAsia="Cambria" w:hAnsi="Cambria" w:cs="Cambria"/>
                                        <w:color w:val="000000"/>
                                        <w:sz w:val="16"/>
                                      </w:rPr>
                                      <w:t>Legislação atinente ao Crime Organizado (Convenções e Protocolos);</w:t>
                                    </w:r>
                                  </w:p>
                                  <w:p w14:paraId="79D7AFDE" w14:textId="77777777" w:rsidR="009E2F06" w:rsidRDefault="009E2F06">
                                    <w:pPr>
                                      <w:spacing w:before="24" w:after="0" w:line="215" w:lineRule="auto"/>
                                      <w:ind w:left="90" w:right="0" w:firstLine="260"/>
                                      <w:jc w:val="right"/>
                                      <w:textDirection w:val="btLr"/>
                                    </w:pPr>
                                    <w:r>
                                      <w:rPr>
                                        <w:rFonts w:ascii="Cambria" w:eastAsia="Cambria" w:hAnsi="Cambria" w:cs="Cambria"/>
                                        <w:color w:val="000000"/>
                                        <w:sz w:val="16"/>
                                      </w:rPr>
                                      <w:t>Legislação específica que lida com tipos de crime relevantes, incluindo o tráfico de pessoas.</w:t>
                                    </w:r>
                                  </w:p>
                                </w:txbxContent>
                              </wps:txbx>
                              <wps:bodyPr spcFirstLastPara="1" wrap="square" lIns="425800" tIns="208275" rIns="425800" bIns="56875" anchor="t" anchorCtr="0">
                                <a:noAutofit/>
                              </wps:bodyPr>
                            </wps:wsp>
                            <wps:wsp>
                              <wps:cNvPr id="14" name="Retângulo de cantos arredondados 14"/>
                              <wps:cNvSpPr/>
                              <wps:spPr>
                                <a:xfrm>
                                  <a:off x="274320" y="1343520"/>
                                  <a:ext cx="1221963" cy="472320"/>
                                </a:xfrm>
                                <a:prstGeom prst="roundRect">
                                  <a:avLst>
                                    <a:gd name="adj" fmla="val 16667"/>
                                  </a:avLst>
                                </a:prstGeom>
                                <a:solidFill>
                                  <a:srgbClr val="5665B3"/>
                                </a:solidFill>
                                <a:ln w="25400" cap="flat" cmpd="sng">
                                  <a:solidFill>
                                    <a:schemeClr val="lt1"/>
                                  </a:solidFill>
                                  <a:prstDash val="solid"/>
                                  <a:round/>
                                  <a:headEnd type="none" w="sm" len="sm"/>
                                  <a:tailEnd type="none" w="sm" len="sm"/>
                                </a:ln>
                              </wps:spPr>
                              <wps:txbx>
                                <w:txbxContent>
                                  <w:p w14:paraId="4DA01A66" w14:textId="77777777" w:rsidR="009E2F06" w:rsidRDefault="009E2F06">
                                    <w:pPr>
                                      <w:spacing w:before="0" w:after="0" w:line="240" w:lineRule="auto"/>
                                      <w:ind w:right="0"/>
                                      <w:jc w:val="left"/>
                                      <w:textDirection w:val="btLr"/>
                                    </w:pPr>
                                  </w:p>
                                </w:txbxContent>
                              </wps:txbx>
                              <wps:bodyPr spcFirstLastPara="1" wrap="square" lIns="91425" tIns="91425" rIns="91425" bIns="91425" anchor="ctr" anchorCtr="0">
                                <a:noAutofit/>
                              </wps:bodyPr>
                            </wps:wsp>
                            <wps:wsp>
                              <wps:cNvPr id="15" name="Retângulo 15"/>
                              <wps:cNvSpPr/>
                              <wps:spPr>
                                <a:xfrm>
                                  <a:off x="297377" y="1366577"/>
                                  <a:ext cx="1175849" cy="426206"/>
                                </a:xfrm>
                                <a:prstGeom prst="rect">
                                  <a:avLst/>
                                </a:prstGeom>
                                <a:noFill/>
                                <a:ln>
                                  <a:noFill/>
                                </a:ln>
                              </wps:spPr>
                              <wps:txbx>
                                <w:txbxContent>
                                  <w:p w14:paraId="2B741CB9" w14:textId="77777777" w:rsidR="009E2F06" w:rsidRDefault="009E2F06">
                                    <w:pPr>
                                      <w:spacing w:before="0" w:after="0" w:line="215" w:lineRule="auto"/>
                                      <w:ind w:right="0"/>
                                      <w:jc w:val="center"/>
                                      <w:textDirection w:val="btLr"/>
                                    </w:pPr>
                                    <w:r>
                                      <w:rPr>
                                        <w:rFonts w:ascii="Cambria" w:eastAsia="Cambria" w:hAnsi="Cambria" w:cs="Cambria"/>
                                        <w:b/>
                                        <w:color w:val="000000"/>
                                        <w:sz w:val="20"/>
                                      </w:rPr>
                                      <w:t>Base de dados de Legislação</w:t>
                                    </w:r>
                                  </w:p>
                                </w:txbxContent>
                              </wps:txbx>
                              <wps:bodyPr spcFirstLastPara="1" wrap="square" lIns="145150" tIns="0" rIns="145150" bIns="0" anchor="ctr" anchorCtr="0">
                                <a:noAutofit/>
                              </wps:bodyPr>
                            </wps:wsp>
                            <wps:wsp>
                              <wps:cNvPr id="16" name="Retângulo 16"/>
                              <wps:cNvSpPr/>
                              <wps:spPr>
                                <a:xfrm>
                                  <a:off x="0" y="2570400"/>
                                  <a:ext cx="5486400" cy="630000"/>
                                </a:xfrm>
                                <a:prstGeom prst="rect">
                                  <a:avLst/>
                                </a:prstGeom>
                                <a:solidFill>
                                  <a:schemeClr val="lt1">
                                    <a:alpha val="89019"/>
                                  </a:schemeClr>
                                </a:solidFill>
                                <a:ln w="25400" cap="flat" cmpd="sng">
                                  <a:solidFill>
                                    <a:srgbClr val="4AA9C5"/>
                                  </a:solidFill>
                                  <a:prstDash val="solid"/>
                                  <a:round/>
                                  <a:headEnd type="none" w="sm" len="sm"/>
                                  <a:tailEnd type="none" w="sm" len="sm"/>
                                </a:ln>
                              </wps:spPr>
                              <wps:txbx>
                                <w:txbxContent>
                                  <w:p w14:paraId="348619CE" w14:textId="77777777" w:rsidR="009E2F06" w:rsidRDefault="009E2F06">
                                    <w:pPr>
                                      <w:spacing w:before="0" w:after="0" w:line="240" w:lineRule="auto"/>
                                      <w:ind w:right="0"/>
                                      <w:jc w:val="left"/>
                                      <w:textDirection w:val="btLr"/>
                                    </w:pPr>
                                  </w:p>
                                </w:txbxContent>
                              </wps:txbx>
                              <wps:bodyPr spcFirstLastPara="1" wrap="square" lIns="91425" tIns="91425" rIns="91425" bIns="91425" anchor="ctr" anchorCtr="0">
                                <a:noAutofit/>
                              </wps:bodyPr>
                            </wps:wsp>
                            <wps:wsp>
                              <wps:cNvPr id="17" name="Retângulo 17"/>
                              <wps:cNvSpPr/>
                              <wps:spPr>
                                <a:xfrm>
                                  <a:off x="0" y="2570400"/>
                                  <a:ext cx="5486400" cy="630000"/>
                                </a:xfrm>
                                <a:prstGeom prst="rect">
                                  <a:avLst/>
                                </a:prstGeom>
                                <a:noFill/>
                                <a:ln>
                                  <a:noFill/>
                                </a:ln>
                              </wps:spPr>
                              <wps:txbx>
                                <w:txbxContent>
                                  <w:p w14:paraId="5CEECDD2" w14:textId="77777777" w:rsidR="009E2F06" w:rsidRDefault="009E2F06">
                                    <w:pPr>
                                      <w:spacing w:before="0" w:after="0" w:line="215" w:lineRule="auto"/>
                                      <w:ind w:left="90" w:right="0" w:firstLine="260"/>
                                      <w:jc w:val="right"/>
                                      <w:textDirection w:val="btLr"/>
                                    </w:pPr>
                                    <w:r>
                                      <w:rPr>
                                        <w:rFonts w:ascii="Cambria" w:eastAsia="Cambria" w:hAnsi="Cambria" w:cs="Cambria"/>
                                        <w:color w:val="000000"/>
                                        <w:sz w:val="16"/>
                                      </w:rPr>
                                      <w:t>Providencia uma sinopse sobre artigos e publicações sobre tráfico de pessoas;</w:t>
                                    </w:r>
                                  </w:p>
                                  <w:p w14:paraId="505AC881" w14:textId="77777777" w:rsidR="009E2F06" w:rsidRDefault="009E2F06">
                                    <w:pPr>
                                      <w:spacing w:before="24" w:after="0" w:line="215" w:lineRule="auto"/>
                                      <w:ind w:left="90" w:right="0" w:firstLine="260"/>
                                      <w:jc w:val="right"/>
                                      <w:textDirection w:val="btLr"/>
                                    </w:pPr>
                                    <w:r>
                                      <w:rPr>
                                        <w:rFonts w:ascii="Cambria" w:eastAsia="Cambria" w:hAnsi="Cambria" w:cs="Cambria"/>
                                        <w:color w:val="000000"/>
                                        <w:sz w:val="16"/>
                                      </w:rPr>
                                      <w:t>A busca pode ser efetuada de acordo com o país, métodos de localização gerais e por palavras-chave.</w:t>
                                    </w:r>
                                  </w:p>
                                </w:txbxContent>
                              </wps:txbx>
                              <wps:bodyPr spcFirstLastPara="1" wrap="square" lIns="425800" tIns="208275" rIns="425800" bIns="56875" anchor="t" anchorCtr="0">
                                <a:noAutofit/>
                              </wps:bodyPr>
                            </wps:wsp>
                            <wps:wsp>
                              <wps:cNvPr id="18" name="Retângulo de cantos arredondados 18"/>
                              <wps:cNvSpPr/>
                              <wps:spPr>
                                <a:xfrm>
                                  <a:off x="274320" y="2296080"/>
                                  <a:ext cx="1249692" cy="472320"/>
                                </a:xfrm>
                                <a:prstGeom prst="roundRect">
                                  <a:avLst>
                                    <a:gd name="adj" fmla="val 16667"/>
                                  </a:avLst>
                                </a:prstGeom>
                                <a:solidFill>
                                  <a:srgbClr val="4AA9C5"/>
                                </a:solidFill>
                                <a:ln w="25400" cap="flat" cmpd="sng">
                                  <a:solidFill>
                                    <a:schemeClr val="lt1"/>
                                  </a:solidFill>
                                  <a:prstDash val="solid"/>
                                  <a:round/>
                                  <a:headEnd type="none" w="sm" len="sm"/>
                                  <a:tailEnd type="none" w="sm" len="sm"/>
                                </a:ln>
                              </wps:spPr>
                              <wps:txbx>
                                <w:txbxContent>
                                  <w:p w14:paraId="1413EC9D" w14:textId="77777777" w:rsidR="009E2F06" w:rsidRDefault="009E2F06">
                                    <w:pPr>
                                      <w:spacing w:before="0" w:after="0" w:line="240" w:lineRule="auto"/>
                                      <w:ind w:right="0"/>
                                      <w:jc w:val="left"/>
                                      <w:textDirection w:val="btLr"/>
                                    </w:pPr>
                                  </w:p>
                                </w:txbxContent>
                              </wps:txbx>
                              <wps:bodyPr spcFirstLastPara="1" wrap="square" lIns="91425" tIns="91425" rIns="91425" bIns="91425" anchor="ctr" anchorCtr="0">
                                <a:noAutofit/>
                              </wps:bodyPr>
                            </wps:wsp>
                            <wps:wsp>
                              <wps:cNvPr id="19" name="Retângulo 19"/>
                              <wps:cNvSpPr/>
                              <wps:spPr>
                                <a:xfrm>
                                  <a:off x="297377" y="2319137"/>
                                  <a:ext cx="1203578" cy="426206"/>
                                </a:xfrm>
                                <a:prstGeom prst="rect">
                                  <a:avLst/>
                                </a:prstGeom>
                                <a:noFill/>
                                <a:ln>
                                  <a:noFill/>
                                </a:ln>
                              </wps:spPr>
                              <wps:txbx>
                                <w:txbxContent>
                                  <w:p w14:paraId="66D0F9B9" w14:textId="77777777" w:rsidR="009E2F06" w:rsidRDefault="009E2F06">
                                    <w:pPr>
                                      <w:spacing w:before="0" w:after="0" w:line="215" w:lineRule="auto"/>
                                      <w:ind w:right="0"/>
                                      <w:jc w:val="left"/>
                                      <w:textDirection w:val="btLr"/>
                                    </w:pPr>
                                    <w:r>
                                      <w:rPr>
                                        <w:rFonts w:ascii="Cambria" w:eastAsia="Cambria" w:hAnsi="Cambria" w:cs="Cambria"/>
                                        <w:b/>
                                        <w:color w:val="000000"/>
                                        <w:sz w:val="20"/>
                                      </w:rPr>
                                      <w:t>Base de dados de Bibliografia</w:t>
                                    </w:r>
                                  </w:p>
                                </w:txbxContent>
                              </wps:txbx>
                              <wps:bodyPr spcFirstLastPara="1" wrap="square" lIns="145150" tIns="0" rIns="145150" bIns="0" anchor="ctr" anchorCtr="0">
                                <a:noAutofit/>
                              </wps:bodyPr>
                            </wps:wsp>
                          </wpg:grpSp>
                        </wpg:grpSp>
                      </wpg:grpSp>
                    </wpg:wgp>
                  </a:graphicData>
                </a:graphic>
                <wp14:sizeRelV relativeFrom="margin">
                  <wp14:pctHeight>0</wp14:pctHeight>
                </wp14:sizeRelV>
              </wp:anchor>
            </w:drawing>
          </mc:Choice>
          <mc:Fallback>
            <w:pict>
              <v:group w14:anchorId="699EB4AB" id="Grupo 1" o:spid="_x0000_s1026" style="position:absolute;left:0;text-align:left;margin-left:26.2pt;margin-top:29.85pt;width:6in;height:299.9pt;z-index:251658240;mso-height-relative:margin" coordorigin="26028,17308" coordsize="54864,409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">
                <v:group id="Grupo 2" o:spid="_x0000_s1027" style="position:absolute;left:26028;top:17308;width:54864;height:40983" coordorigin="26028,17308" coordsize="54864,409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rect id="Retângulo 3" o:spid="_x0000_s1028" style="position:absolute;left:26028;top:17308;width:54864;height:409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" filled="f" stroked="f">
                    <v:textbox inset="2.53958mm,2.53958mm,2.53958mm,2.53958mm">
                      <w:txbxContent>
                        <w:p w14:paraId="771C3A69" w14:textId="77777777" w:rsidR="009E2F06" w:rsidRDefault="009E2F06">
                          <w:pPr>
                            <w:spacing w:before="0" w:after="0" w:line="240" w:lineRule="auto"/>
                            <w:ind w:right="0"/>
                            <w:jc w:val="left"/>
                            <w:textDirection w:val="btLr"/>
                          </w:pPr>
                        </w:p>
                      </w:txbxContent>
                    </v:textbox>
                  </v:rect>
                  <v:group id="Grupo 4" o:spid="_x0000_s1029" style="position:absolute;left:26028;top:17308;width:54864;height:40983" coordsize="54864,320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rect id="Retângulo 5" o:spid="_x0000_s1030" style="position:absolute;width:54864;height:320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" filled="f" stroked="f">
                      <v:textbox inset="2.53958mm,2.53958mm,2.53958mm,2.53958mm">
                        <w:txbxContent>
                          <w:p w14:paraId="56DA774E" w14:textId="77777777" w:rsidR="009E2F06" w:rsidRDefault="009E2F06">
                            <w:pPr>
                              <w:spacing w:before="0" w:after="0" w:line="240" w:lineRule="auto"/>
                              <w:ind w:right="0"/>
                              <w:jc w:val="left"/>
                              <w:textDirection w:val="btLr"/>
                            </w:pPr>
                          </w:p>
                        </w:txbxContent>
                      </v:textbox>
                    </v:rect>
                    <v:group id="Grupo 6" o:spid="_x0000_s1031" style="position:absolute;width:54864;height:32004" coordsize="54864,320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rect id="Retângulo 7" o:spid="_x0000_s1032" style="position:absolute;width:54864;height:320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" filled="f" stroked="f">
                        <v:textbox inset="2.53958mm,2.53958mm,2.53958mm,2.53958mm">
                          <w:txbxContent>
                            <w:p w14:paraId="5E96A197" w14:textId="77777777" w:rsidR="009E2F06" w:rsidRDefault="009E2F06">
                              <w:pPr>
                                <w:spacing w:before="0" w:after="0" w:line="240" w:lineRule="auto"/>
                                <w:ind w:right="0"/>
                                <w:jc w:val="left"/>
                                <w:textDirection w:val="btLr"/>
                              </w:pPr>
                            </w:p>
                          </w:txbxContent>
                        </v:textbox>
                      </v:rect>
                      <v:rect id="Retângulo 8" o:spid="_x0000_s1033" style="position:absolute;top:2743;width:54864;height:98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" fillcolor="white [3201]" strokecolor="#8064a2 [3207]" strokeweight="2pt">
                        <v:fill opacity="58339f"/>
                        <v:stroke startarrowwidth="narrow" startarrowlength="short" endarrowwidth="narrow" endarrowlength="short" joinstyle="round"/>
                        <v:textbox inset="2.53958mm,2.53958mm,2.53958mm,2.53958mm">
                          <w:txbxContent>
                            <w:p w14:paraId="585E5EC0" w14:textId="77777777" w:rsidR="009E2F06" w:rsidRDefault="009E2F06">
                              <w:pPr>
                                <w:spacing w:before="0" w:after="0" w:line="240" w:lineRule="auto"/>
                                <w:ind w:right="0"/>
                                <w:jc w:val="left"/>
                                <w:textDirection w:val="btLr"/>
                              </w:pPr>
                            </w:p>
                          </w:txbxContent>
                        </v:textbox>
                      </v:rect>
                      <v:rect id="Retângulo 9" o:spid="_x0000_s1034" style="position:absolute;top:2743;width:54864;height:98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" filled="f" stroked="f">
                        <v:textbox inset="11.8278mm,5.78542mm,11.8278mm,1.57986mm">
                          <w:txbxContent>
                            <w:p w14:paraId="583A0DEE" w14:textId="77777777" w:rsidR="009E2F06" w:rsidRDefault="009E2F06">
                              <w:pPr>
                                <w:spacing w:before="0" w:after="0" w:line="215" w:lineRule="auto"/>
                                <w:ind w:left="90" w:right="0" w:firstLine="260"/>
                                <w:jc w:val="right"/>
                                <w:textDirection w:val="btLr"/>
                              </w:pPr>
                              <w:r>
                                <w:rPr>
                                  <w:rFonts w:ascii="Cambria" w:eastAsia="Cambria" w:hAnsi="Cambria" w:cs="Cambria"/>
                                  <w:color w:val="000000"/>
                                  <w:sz w:val="16"/>
                                </w:rPr>
                                <w:t>Acesso público de documentos oficiais sobre o crime de tráfico de pessoas;</w:t>
                              </w:r>
                            </w:p>
                            <w:p w14:paraId="46353F2C" w14:textId="77777777" w:rsidR="009E2F06" w:rsidRDefault="009E2F06">
                              <w:pPr>
                                <w:spacing w:before="24" w:after="0" w:line="215" w:lineRule="auto"/>
                                <w:ind w:left="90" w:right="0" w:firstLine="260"/>
                                <w:jc w:val="right"/>
                                <w:textDirection w:val="btLr"/>
                              </w:pPr>
                              <w:r>
                                <w:rPr>
                                  <w:rFonts w:ascii="Cambria" w:eastAsia="Cambria" w:hAnsi="Cambria" w:cs="Cambria"/>
                                  <w:color w:val="000000"/>
                                  <w:sz w:val="16"/>
                                </w:rPr>
                                <w:t>Detalhes sobre vítimas e traficantes, suas nacionalidades, rotas de tráfico, decisões e</w:t>
                              </w:r>
                              <w:r>
                                <w:rPr>
                                  <w:rFonts w:ascii="Cambria" w:eastAsia="Cambria" w:hAnsi="Cambria" w:cs="Cambria"/>
                                  <w:color w:val="000000"/>
                                  <w:sz w:val="16"/>
                                </w:rPr>
                                <w:t xml:space="preserve">  outras informações relevantes sobre os processos criminais de todo o mundo;</w:t>
                              </w:r>
                            </w:p>
                            <w:p w14:paraId="03C5616A" w14:textId="77777777" w:rsidR="009E2F06" w:rsidRDefault="009E2F06">
                              <w:pPr>
                                <w:spacing w:before="24" w:after="0" w:line="215" w:lineRule="auto"/>
                                <w:ind w:left="90" w:right="0" w:firstLine="260"/>
                                <w:jc w:val="right"/>
                                <w:textDirection w:val="btLr"/>
                              </w:pPr>
                              <w:r>
                                <w:rPr>
                                  <w:rFonts w:ascii="Cambria" w:eastAsia="Cambria" w:hAnsi="Cambria" w:cs="Cambria"/>
                                  <w:color w:val="000000"/>
                                  <w:sz w:val="16"/>
                                </w:rPr>
                                <w:t>Apresenta para além de dados estatísticos, histórias reais de pessoas traficadas de acordo com a documentação dos tribunais.</w:t>
                              </w:r>
                            </w:p>
                          </w:txbxContent>
                        </v:textbox>
                      </v:rect>
                      <v:roundrect id="Retângulo de cantos arredondados 10" o:spid="_x0000_s1035" style="position:absolute;left:2743;top:381;width:12219;height:472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" fillcolor="#8064a2 [3207]" strokecolor="white [3201]" strokeweight="2pt">
                        <v:stroke startarrowwidth="narrow" startarrowlength="short" endarrowwidth="narrow" endarrowlength="short"/>
                        <v:textbox inset="2.53958mm,2.53958mm,2.53958mm,2.53958mm">
                          <w:txbxContent>
                            <w:p w14:paraId="42066B2C" w14:textId="77777777" w:rsidR="009E2F06" w:rsidRDefault="009E2F06">
                              <w:pPr>
                                <w:spacing w:before="0" w:after="0" w:line="240" w:lineRule="auto"/>
                                <w:ind w:right="0"/>
                                <w:jc w:val="left"/>
                                <w:textDirection w:val="btLr"/>
                              </w:pPr>
                            </w:p>
                          </w:txbxContent>
                        </v:textbox>
                      </v:roundrect>
                      <v:rect id="Retângulo 11" o:spid="_x0000_s1036" style="position:absolute;left:2973;top:612;width:11759;height:42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" filled="f" stroked="f">
                        <v:textbox inset="4.03194mm,0,4.03194mm,0">
                          <w:txbxContent>
                            <w:p w14:paraId="3EFCC9F4" w14:textId="77777777" w:rsidR="009E2F06" w:rsidRDefault="009E2F06">
                              <w:pPr>
                                <w:spacing w:before="0" w:after="0" w:line="215" w:lineRule="auto"/>
                                <w:ind w:right="0"/>
                                <w:jc w:val="center"/>
                                <w:textDirection w:val="btLr"/>
                              </w:pPr>
                              <w:r>
                                <w:rPr>
                                  <w:rFonts w:ascii="Cambria" w:eastAsia="Cambria" w:hAnsi="Cambria" w:cs="Cambria"/>
                                  <w:b/>
                                  <w:color w:val="000000"/>
                                  <w:sz w:val="20"/>
                                </w:rPr>
                                <w:t>Base de dados de jurisprudência</w:t>
                              </w:r>
                            </w:p>
                          </w:txbxContent>
                        </v:textbox>
                      </v:rect>
                      <v:rect id="Retângulo 12" o:spid="_x0000_s1037" style="position:absolute;top:15796;width:54864;height:63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" fillcolor="white [3201]" strokecolor="#5665b3" strokeweight="2pt">
                        <v:fill opacity="58339f"/>
                        <v:stroke startarrowwidth="narrow" startarrowlength="short" endarrowwidth="narrow" endarrowlength="short" joinstyle="round"/>
                        <v:textbox inset="2.53958mm,2.53958mm,2.53958mm,2.53958mm">
                          <w:txbxContent>
                            <w:p w14:paraId="5A40DACC" w14:textId="77777777" w:rsidR="009E2F06" w:rsidRDefault="009E2F06">
                              <w:pPr>
                                <w:spacing w:before="0" w:after="0" w:line="240" w:lineRule="auto"/>
                                <w:ind w:right="0"/>
                                <w:jc w:val="left"/>
                                <w:textDirection w:val="btLr"/>
                              </w:pPr>
                            </w:p>
                          </w:txbxContent>
                        </v:textbox>
                      </v:rect>
                      <v:rect id="Retângulo 13" o:spid="_x0000_s1038" style="position:absolute;top:15796;width:54864;height:6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" filled="f" strokecolor="white">
                        <v:stroke startarrowwidth="narrow" startarrowlength="short" endarrowwidth="narrow" endarrowlength="short" joinstyle="round"/>
                        <v:textbox inset="11.8278mm,5.78542mm,11.8278mm,1.57986mm">
                          <w:txbxContent>
                            <w:p w14:paraId="54090A29" w14:textId="77777777" w:rsidR="009E2F06" w:rsidRDefault="009E2F06">
                              <w:pPr>
                                <w:spacing w:before="0" w:after="0" w:line="215" w:lineRule="auto"/>
                                <w:ind w:left="90" w:right="0" w:firstLine="260"/>
                                <w:jc w:val="right"/>
                                <w:textDirection w:val="btLr"/>
                              </w:pPr>
                              <w:r>
                                <w:rPr>
                                  <w:rFonts w:ascii="Cambria" w:eastAsia="Cambria" w:hAnsi="Cambria" w:cs="Cambria"/>
                                  <w:color w:val="000000"/>
                                  <w:sz w:val="16"/>
                                </w:rPr>
                                <w:t>Legislação atinente ao Crime Organizado (Convenções e Protocolos);</w:t>
                              </w:r>
                            </w:p>
                            <w:p w14:paraId="79D7AFDE" w14:textId="77777777" w:rsidR="009E2F06" w:rsidRDefault="009E2F06">
                              <w:pPr>
                                <w:spacing w:before="24" w:after="0" w:line="215" w:lineRule="auto"/>
                                <w:ind w:left="90" w:right="0" w:firstLine="260"/>
                                <w:jc w:val="right"/>
                                <w:textDirection w:val="btLr"/>
                              </w:pPr>
                              <w:r>
                                <w:rPr>
                                  <w:rFonts w:ascii="Cambria" w:eastAsia="Cambria" w:hAnsi="Cambria" w:cs="Cambria"/>
                                  <w:color w:val="000000"/>
                                  <w:sz w:val="16"/>
                                </w:rPr>
                                <w:t>Legislação específica que lida com tipos de crime relevantes, incluindo o tráfico de pessoas.</w:t>
                              </w:r>
                            </w:p>
                          </w:txbxContent>
                        </v:textbox>
                      </v:rect>
                      <v:roundrect id="Retângulo de cantos arredondados 14" o:spid="_x0000_s1039" style="position:absolute;left:2743;top:13435;width:12219;height:472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" fillcolor="#5665b3" strokecolor="white [3201]" strokeweight="2pt">
                        <v:stroke startarrowwidth="narrow" startarrowlength="short" endarrowwidth="narrow" endarrowlength="short"/>
                        <v:textbox inset="2.53958mm,2.53958mm,2.53958mm,2.53958mm">
                          <w:txbxContent>
                            <w:p w14:paraId="4DA01A66" w14:textId="77777777" w:rsidR="009E2F06" w:rsidRDefault="009E2F06">
                              <w:pPr>
                                <w:spacing w:before="0" w:after="0" w:line="240" w:lineRule="auto"/>
                                <w:ind w:right="0"/>
                                <w:jc w:val="left"/>
                                <w:textDirection w:val="btLr"/>
                              </w:pPr>
                            </w:p>
                          </w:txbxContent>
                        </v:textbox>
                      </v:roundrect>
                      <v:rect id="Retângulo 15" o:spid="_x0000_s1040" style="position:absolute;left:2973;top:13665;width:11759;height:42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" filled="f" stroked="f">
                        <v:textbox inset="4.03194mm,0,4.03194mm,0">
                          <w:txbxContent>
                            <w:p w14:paraId="2B741CB9" w14:textId="77777777" w:rsidR="009E2F06" w:rsidRDefault="009E2F06">
                              <w:pPr>
                                <w:spacing w:before="0" w:after="0" w:line="215" w:lineRule="auto"/>
                                <w:ind w:right="0"/>
                                <w:jc w:val="center"/>
                                <w:textDirection w:val="btLr"/>
                              </w:pPr>
                              <w:r>
                                <w:rPr>
                                  <w:rFonts w:ascii="Cambria" w:eastAsia="Cambria" w:hAnsi="Cambria" w:cs="Cambria"/>
                                  <w:b/>
                                  <w:color w:val="000000"/>
                                  <w:sz w:val="20"/>
                                </w:rPr>
                                <w:t>Base de dados de Legislação</w:t>
                              </w:r>
                            </w:p>
                          </w:txbxContent>
                        </v:textbox>
                      </v:rect>
                      <v:rect id="Retângulo 16" o:spid="_x0000_s1041" style="position:absolute;top:25704;width:54864;height:63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" fillcolor="white [3201]" strokecolor="#4aa9c5" strokeweight="2pt">
                        <v:fill opacity="58339f"/>
                        <v:stroke startarrowwidth="narrow" startarrowlength="short" endarrowwidth="narrow" endarrowlength="short" joinstyle="round"/>
                        <v:textbox inset="2.53958mm,2.53958mm,2.53958mm,2.53958mm">
                          <w:txbxContent>
                            <w:p w14:paraId="348619CE" w14:textId="77777777" w:rsidR="009E2F06" w:rsidRDefault="009E2F06">
                              <w:pPr>
                                <w:spacing w:before="0" w:after="0" w:line="240" w:lineRule="auto"/>
                                <w:ind w:right="0"/>
                                <w:jc w:val="left"/>
                                <w:textDirection w:val="btLr"/>
                              </w:pPr>
                            </w:p>
                          </w:txbxContent>
                        </v:textbox>
                      </v:rect>
                      <v:rect id="Retângulo 17" o:spid="_x0000_s1042" style="position:absolute;top:25704;width:54864;height:6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" filled="f" stroked="f">
                        <v:textbox inset="11.8278mm,5.78542mm,11.8278mm,1.57986mm">
                          <w:txbxContent>
                            <w:p w14:paraId="5CEECDD2" w14:textId="77777777" w:rsidR="009E2F06" w:rsidRDefault="009E2F06">
                              <w:pPr>
                                <w:spacing w:before="0" w:after="0" w:line="215" w:lineRule="auto"/>
                                <w:ind w:left="90" w:right="0" w:firstLine="260"/>
                                <w:jc w:val="right"/>
                                <w:textDirection w:val="btLr"/>
                              </w:pPr>
                              <w:r>
                                <w:rPr>
                                  <w:rFonts w:ascii="Cambria" w:eastAsia="Cambria" w:hAnsi="Cambria" w:cs="Cambria"/>
                                  <w:color w:val="000000"/>
                                  <w:sz w:val="16"/>
                                </w:rPr>
                                <w:t>Providencia uma sinopse sobre artigos e publicações sobre tráfico de pessoas;</w:t>
                              </w:r>
                            </w:p>
                            <w:p w14:paraId="505AC881" w14:textId="77777777" w:rsidR="009E2F06" w:rsidRDefault="009E2F06">
                              <w:pPr>
                                <w:spacing w:before="24" w:after="0" w:line="215" w:lineRule="auto"/>
                                <w:ind w:left="90" w:right="0" w:firstLine="260"/>
                                <w:jc w:val="right"/>
                                <w:textDirection w:val="btLr"/>
                              </w:pPr>
                              <w:r>
                                <w:rPr>
                                  <w:rFonts w:ascii="Cambria" w:eastAsia="Cambria" w:hAnsi="Cambria" w:cs="Cambria"/>
                                  <w:color w:val="000000"/>
                                  <w:sz w:val="16"/>
                                </w:rPr>
                                <w:t>A busca pode ser efetuada de acordo com o país, métodos de localização gerais e por palavras-chave.</w:t>
                              </w:r>
                            </w:p>
                          </w:txbxContent>
                        </v:textbox>
                      </v:rect>
                      <v:roundrect id="Retângulo de cantos arredondados 18" o:spid="_x0000_s1043" style="position:absolute;left:2743;top:22960;width:12497;height:47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" fillcolor="#4aa9c5" strokecolor="white [3201]" strokeweight="2pt">
                        <v:stroke startarrowwidth="narrow" startarrowlength="short" endarrowwidth="narrow" endarrowlength="short"/>
                        <v:textbox inset="2.53958mm,2.53958mm,2.53958mm,2.53958mm">
                          <w:txbxContent>
                            <w:p w14:paraId="1413EC9D" w14:textId="77777777" w:rsidR="009E2F06" w:rsidRDefault="009E2F06">
                              <w:pPr>
                                <w:spacing w:before="0" w:after="0" w:line="240" w:lineRule="auto"/>
                                <w:ind w:right="0"/>
                                <w:jc w:val="left"/>
                                <w:textDirection w:val="btLr"/>
                              </w:pPr>
                            </w:p>
                          </w:txbxContent>
                        </v:textbox>
                      </v:roundrect>
                      <v:rect id="Retângulo 19" o:spid="_x0000_s1044" style="position:absolute;left:2973;top:23191;width:12036;height:42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" filled="f" stroked="f">
                        <v:textbox inset="4.03194mm,0,4.03194mm,0">
                          <w:txbxContent>
                            <w:p w14:paraId="66D0F9B9" w14:textId="77777777" w:rsidR="009E2F06" w:rsidRDefault="009E2F06">
                              <w:pPr>
                                <w:spacing w:before="0" w:after="0" w:line="215" w:lineRule="auto"/>
                                <w:ind w:right="0"/>
                                <w:jc w:val="left"/>
                                <w:textDirection w:val="btLr"/>
                              </w:pPr>
                              <w:r>
                                <w:rPr>
                                  <w:rFonts w:ascii="Cambria" w:eastAsia="Cambria" w:hAnsi="Cambria" w:cs="Cambria"/>
                                  <w:b/>
                                  <w:color w:val="000000"/>
                                  <w:sz w:val="20"/>
                                </w:rPr>
                                <w:t>Base de dados de Bibliografia</w:t>
                              </w:r>
                            </w:p>
                          </w:txbxContent>
                        </v:textbox>
                      </v:rect>
                    </v:group>
                  </v:group>
                </v:group>
              </v:group>
            </w:pict>
          </mc:Fallback>
        </mc:AlternateContent>
      </w:r>
      <w:r w:rsidR="00932FD2" w:rsidRPr="00DE71B4">
        <w:rPr>
          <w:b/>
          <w:color w:val="000000"/>
        </w:rPr>
        <w:t>Figura 1:</w:t>
      </w:r>
      <w:r w:rsidR="00932FD2">
        <w:rPr>
          <w:color w:val="000000"/>
        </w:rPr>
        <w:t xml:space="preserve"> Bases de dados da UNODC</w:t>
      </w:r>
    </w:p>
    <w:p w14:paraId="3DFC9104" w14:textId="1437D043" w:rsidR="005472EF" w:rsidRDefault="00932FD2">
      <w:pPr>
        <w:spacing w:before="240" w:after="240"/>
        <w:rPr>
          <w:color w:val="000000"/>
        </w:rPr>
      </w:pPr>
      <w:r>
        <w:rPr>
          <w:color w:val="000000"/>
        </w:rPr>
        <w:tab/>
      </w:r>
    </w:p>
    <w:p w14:paraId="2C88840E" w14:textId="77777777" w:rsidR="00DE71B4" w:rsidRDefault="00DE71B4">
      <w:pPr>
        <w:spacing w:before="240" w:after="240"/>
        <w:ind w:firstLine="851"/>
        <w:rPr>
          <w:color w:val="auto"/>
        </w:rPr>
      </w:pPr>
    </w:p>
    <w:p w14:paraId="0C3ED9BE" w14:textId="77777777" w:rsidR="00DE71B4" w:rsidRDefault="00DE71B4">
      <w:pPr>
        <w:spacing w:before="240" w:after="240"/>
        <w:ind w:firstLine="851"/>
        <w:rPr>
          <w:color w:val="auto"/>
        </w:rPr>
      </w:pPr>
    </w:p>
    <w:p w14:paraId="6233FA87" w14:textId="77777777" w:rsidR="00DE71B4" w:rsidRDefault="00DE71B4">
      <w:pPr>
        <w:spacing w:before="240" w:after="240"/>
        <w:ind w:firstLine="851"/>
        <w:rPr>
          <w:color w:val="auto"/>
        </w:rPr>
      </w:pPr>
    </w:p>
    <w:p w14:paraId="7F1F0932" w14:textId="77777777" w:rsidR="00DE71B4" w:rsidRDefault="00DE71B4">
      <w:pPr>
        <w:spacing w:before="240" w:after="240"/>
        <w:ind w:firstLine="851"/>
        <w:rPr>
          <w:color w:val="auto"/>
        </w:rPr>
      </w:pPr>
    </w:p>
    <w:p w14:paraId="64B0C28A" w14:textId="77777777" w:rsidR="00DE71B4" w:rsidRDefault="00DE71B4">
      <w:pPr>
        <w:spacing w:before="240" w:after="240"/>
        <w:ind w:firstLine="851"/>
        <w:rPr>
          <w:color w:val="auto"/>
        </w:rPr>
      </w:pPr>
    </w:p>
    <w:p w14:paraId="6C24203E" w14:textId="77777777" w:rsidR="00DE71B4" w:rsidRDefault="00DE71B4">
      <w:pPr>
        <w:spacing w:before="240" w:after="240"/>
        <w:ind w:firstLine="851"/>
        <w:rPr>
          <w:color w:val="auto"/>
        </w:rPr>
      </w:pPr>
    </w:p>
    <w:p w14:paraId="40F5CAE2" w14:textId="77777777" w:rsidR="00DE71B4" w:rsidRDefault="00DE71B4">
      <w:pPr>
        <w:spacing w:before="240" w:after="240"/>
        <w:ind w:firstLine="851"/>
        <w:rPr>
          <w:color w:val="auto"/>
        </w:rPr>
      </w:pPr>
    </w:p>
    <w:p w14:paraId="30750A35" w14:textId="77777777" w:rsidR="00DE71B4" w:rsidRDefault="00DE71B4">
      <w:pPr>
        <w:spacing w:before="240" w:after="240"/>
        <w:ind w:firstLine="851"/>
        <w:rPr>
          <w:color w:val="auto"/>
        </w:rPr>
      </w:pPr>
    </w:p>
    <w:p w14:paraId="15155F62" w14:textId="77777777" w:rsidR="00DE71B4" w:rsidRDefault="00DE71B4">
      <w:pPr>
        <w:spacing w:before="240" w:after="240"/>
        <w:ind w:firstLine="851"/>
        <w:rPr>
          <w:color w:val="auto"/>
        </w:rPr>
      </w:pPr>
    </w:p>
    <w:p w14:paraId="1D542324" w14:textId="2050E8D7" w:rsidR="005472EF" w:rsidRPr="00335074" w:rsidRDefault="00932FD2">
      <w:pPr>
        <w:spacing w:before="240" w:after="240"/>
        <w:ind w:firstLine="851"/>
        <w:rPr>
          <w:color w:val="auto"/>
        </w:rPr>
      </w:pPr>
      <w:r w:rsidRPr="00335074">
        <w:rPr>
          <w:color w:val="auto"/>
        </w:rPr>
        <w:t xml:space="preserve">De acordo com essa base de dados, especificamente, </w:t>
      </w:r>
      <w:r w:rsidR="00410981" w:rsidRPr="00335074">
        <w:rPr>
          <w:color w:val="auto"/>
        </w:rPr>
        <w:t xml:space="preserve">a que trata sobre </w:t>
      </w:r>
      <w:r w:rsidRPr="00335074">
        <w:rPr>
          <w:color w:val="auto"/>
        </w:rPr>
        <w:t>jurisprudência sobre o tráfico de pessoas</w:t>
      </w:r>
      <w:r w:rsidRPr="00335074">
        <w:rPr>
          <w:color w:val="auto"/>
          <w:vertAlign w:val="superscript"/>
        </w:rPr>
        <w:footnoteReference w:id="101"/>
      </w:r>
      <w:r w:rsidRPr="00335074">
        <w:rPr>
          <w:color w:val="auto"/>
        </w:rPr>
        <w:t>, Moçambique apresenta registro de, apenas, um caso julgado, como se pode deduzir do gráfico 1</w:t>
      </w:r>
      <w:r w:rsidRPr="00335074">
        <w:rPr>
          <w:color w:val="auto"/>
          <w:vertAlign w:val="superscript"/>
        </w:rPr>
        <w:footnoteReference w:id="102"/>
      </w:r>
      <w:r w:rsidR="00410981" w:rsidRPr="00335074">
        <w:rPr>
          <w:color w:val="auto"/>
        </w:rPr>
        <w:t>,</w:t>
      </w:r>
      <w:r w:rsidRPr="00335074">
        <w:rPr>
          <w:color w:val="auto"/>
        </w:rPr>
        <w:t xml:space="preserve"> abaixo:</w:t>
      </w:r>
    </w:p>
    <w:p w14:paraId="3FD4EA01" w14:textId="0D554771" w:rsidR="005472EF" w:rsidRDefault="00932FD2">
      <w:pPr>
        <w:spacing w:before="240" w:after="240"/>
        <w:rPr>
          <w:color w:val="000000"/>
        </w:rPr>
      </w:pPr>
      <w:r>
        <w:rPr>
          <w:color w:val="000000"/>
        </w:rPr>
        <w:t xml:space="preserve"> </w:t>
      </w:r>
    </w:p>
    <w:p w14:paraId="6621FE9B" w14:textId="77777777" w:rsidR="005472EF" w:rsidRDefault="00932FD2">
      <w:pPr>
        <w:spacing w:before="240" w:after="240"/>
        <w:ind w:firstLine="709"/>
        <w:rPr>
          <w:color w:val="000000"/>
        </w:rPr>
      </w:pPr>
      <w:r w:rsidRPr="00DE71B4">
        <w:rPr>
          <w:b/>
          <w:color w:val="000000"/>
        </w:rPr>
        <w:t>Gráfico 1:</w:t>
      </w:r>
      <w:r>
        <w:rPr>
          <w:color w:val="000000"/>
        </w:rPr>
        <w:t xml:space="preserve"> Número de casos por país da África Austral</w:t>
      </w:r>
    </w:p>
    <w:p w14:paraId="41315CC5" w14:textId="77777777" w:rsidR="005472EF" w:rsidRDefault="00932FD2" w:rsidP="00A05C99">
      <w:pPr>
        <w:spacing w:before="240" w:after="240"/>
        <w:jc w:val="center"/>
        <w:rPr>
          <w:color w:val="000000"/>
        </w:rPr>
      </w:pPr>
      <w:r>
        <w:rPr>
          <w:noProof/>
          <w:color w:val="000000"/>
          <w:sz w:val="20"/>
          <w:szCs w:val="20"/>
        </w:rPr>
        <w:lastRenderedPageBreak/>
        <w:drawing>
          <wp:inline distT="0" distB="0" distL="0" distR="0" wp14:anchorId="155B789E" wp14:editId="6A3F6484">
            <wp:extent cx="3886200" cy="1600200"/>
            <wp:effectExtent l="0" t="0" r="0" b="0"/>
            <wp:docPr id="2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3886202" cy="1600201"/>
                    </a:xfrm>
                    <a:prstGeom prst="rect">
                      <a:avLst/>
                    </a:prstGeom>
                    <a:ln/>
                  </pic:spPr>
                </pic:pic>
              </a:graphicData>
            </a:graphic>
          </wp:inline>
        </w:drawing>
      </w:r>
    </w:p>
    <w:p w14:paraId="1DC0D0F4" w14:textId="77777777" w:rsidR="005472EF" w:rsidRDefault="005472EF">
      <w:pPr>
        <w:spacing w:before="240" w:after="240"/>
        <w:ind w:firstLine="709"/>
        <w:rPr>
          <w:color w:val="000000"/>
        </w:rPr>
      </w:pPr>
    </w:p>
    <w:p w14:paraId="091CDCE3" w14:textId="33536837" w:rsidR="005472EF" w:rsidRPr="00335074" w:rsidRDefault="00932FD2">
      <w:pPr>
        <w:spacing w:before="240" w:after="240"/>
        <w:rPr>
          <w:color w:val="000000"/>
        </w:rPr>
      </w:pPr>
      <w:r>
        <w:rPr>
          <w:color w:val="000000"/>
        </w:rPr>
        <w:tab/>
      </w:r>
      <w:r w:rsidRPr="00335074">
        <w:rPr>
          <w:color w:val="000000"/>
        </w:rPr>
        <w:t xml:space="preserve">De acordo com a informação fornecida pela referida base de dados, trata-se de um caso de tráfico de uma menor de sexo feminino, de 11 anos de idade, de nacionalidade moçambicana, vítima de tráfico interno. A </w:t>
      </w:r>
      <w:r w:rsidR="00491AD3" w:rsidRPr="00335074">
        <w:rPr>
          <w:color w:val="000000"/>
        </w:rPr>
        <w:t>criança</w:t>
      </w:r>
      <w:r w:rsidRPr="00335074">
        <w:rPr>
          <w:color w:val="000000"/>
        </w:rPr>
        <w:t xml:space="preserve"> foi entregue a um curandeiro como garantia de um empréstimo no valor de ZAR</w:t>
      </w:r>
      <w:r w:rsidRPr="00335074">
        <w:rPr>
          <w:color w:val="000000"/>
          <w:vertAlign w:val="superscript"/>
        </w:rPr>
        <w:footnoteReference w:id="103"/>
      </w:r>
      <w:r w:rsidRPr="00335074">
        <w:rPr>
          <w:color w:val="000000"/>
        </w:rPr>
        <w:t xml:space="preserve"> 7000, (aproximadamente U$ 904). Em processo criminal, o caso foi julgado pela 1ª instância do Tribunal Judicial Provincial. Este caso foi decidido em 2010. Porém, quando o caso foi julgado, não havia previsão legal em</w:t>
      </w:r>
      <w:r>
        <w:rPr>
          <w:color w:val="000000"/>
        </w:rPr>
        <w:t xml:space="preserve"> </w:t>
      </w:r>
      <w:r w:rsidRPr="00335074">
        <w:rPr>
          <w:color w:val="000000"/>
        </w:rPr>
        <w:t xml:space="preserve">Moçambique que impedisse ou punisse a venda ou compra de seres humanos. Como tal, o crime foi definido como tráfico de pessoas, no quadro da </w:t>
      </w:r>
      <w:r w:rsidRPr="00335074">
        <w:rPr>
          <w:i/>
          <w:color w:val="000000"/>
        </w:rPr>
        <w:t xml:space="preserve">Lei sobre a Prevenção e Combate ao Tráfico de Pessoas – </w:t>
      </w:r>
      <w:r w:rsidRPr="00335074">
        <w:rPr>
          <w:color w:val="000000"/>
        </w:rPr>
        <w:t>n.</w:t>
      </w:r>
      <w:r w:rsidRPr="00335074">
        <w:rPr>
          <w:i/>
          <w:color w:val="000000"/>
        </w:rPr>
        <w:t xml:space="preserve"> </w:t>
      </w:r>
      <w:r w:rsidRPr="00335074">
        <w:rPr>
          <w:color w:val="000000"/>
        </w:rPr>
        <w:t xml:space="preserve">6, de 9 de </w:t>
      </w:r>
      <w:r w:rsidR="00491AD3" w:rsidRPr="00335074">
        <w:rPr>
          <w:color w:val="000000"/>
        </w:rPr>
        <w:t>j</w:t>
      </w:r>
      <w:r w:rsidRPr="00335074">
        <w:rPr>
          <w:color w:val="000000"/>
        </w:rPr>
        <w:t>ulho de 2008, no entanto foi classificado como tráfico de pessoas, tendo se aplicado uma pena de 7 e 6 anos de prisão efetiva para os dois acusados</w:t>
      </w:r>
      <w:r w:rsidRPr="00335074">
        <w:rPr>
          <w:color w:val="000000"/>
          <w:vertAlign w:val="superscript"/>
        </w:rPr>
        <w:footnoteReference w:id="104"/>
      </w:r>
      <w:r w:rsidRPr="00335074">
        <w:rPr>
          <w:color w:val="000000"/>
        </w:rPr>
        <w:t>, respectivamente.</w:t>
      </w:r>
    </w:p>
    <w:p w14:paraId="3352A571" w14:textId="247250C0" w:rsidR="005472EF" w:rsidRDefault="00932FD2">
      <w:pPr>
        <w:spacing w:before="240" w:after="240"/>
        <w:rPr>
          <w:color w:val="000000"/>
        </w:rPr>
      </w:pPr>
      <w:r w:rsidRPr="00335074">
        <w:rPr>
          <w:color w:val="000000"/>
        </w:rPr>
        <w:tab/>
        <w:t>De acordo com dados que constam da tabela 1, retirados do Informe Anual da Procuradoria Geral da República de Moçambique (PGR) de 2017</w:t>
      </w:r>
      <w:r w:rsidRPr="00335074">
        <w:rPr>
          <w:color w:val="000000"/>
          <w:vertAlign w:val="superscript"/>
        </w:rPr>
        <w:footnoteReference w:id="105"/>
      </w:r>
      <w:r w:rsidRPr="00335074">
        <w:rPr>
          <w:color w:val="000000"/>
        </w:rPr>
        <w:t xml:space="preserve">, no ano de 2016 foram instaurados 19 processos, contra 95 de 2015, representando um decréscimo de 76 processos, correspondente a 80%. Foram proferidos despachos de acusação em 17 </w:t>
      </w:r>
      <w:r w:rsidRPr="00335074">
        <w:rPr>
          <w:color w:val="000000"/>
        </w:rPr>
        <w:lastRenderedPageBreak/>
        <w:t xml:space="preserve">processos, em 1 recaiu despacho de abstenção e 1 encontra-se em </w:t>
      </w:r>
      <w:r w:rsidR="002E3389" w:rsidRPr="00335074">
        <w:rPr>
          <w:color w:val="000000"/>
        </w:rPr>
        <w:t xml:space="preserve">fase de </w:t>
      </w:r>
      <w:r w:rsidRPr="00335074">
        <w:rPr>
          <w:color w:val="000000"/>
        </w:rPr>
        <w:t>instrução preparatória.</w:t>
      </w:r>
    </w:p>
    <w:p w14:paraId="04A1A3A4" w14:textId="1D7AA51C" w:rsidR="005472EF" w:rsidRDefault="00932FD2">
      <w:pPr>
        <w:spacing w:before="240" w:after="240"/>
        <w:ind w:firstLine="709"/>
        <w:rPr>
          <w:b/>
          <w:color w:val="000000"/>
        </w:rPr>
      </w:pPr>
      <w:r>
        <w:rPr>
          <w:b/>
          <w:color w:val="000000"/>
        </w:rPr>
        <w:t xml:space="preserve">Tabela </w:t>
      </w:r>
      <w:r w:rsidR="002E3389">
        <w:rPr>
          <w:b/>
          <w:color w:val="000000"/>
        </w:rPr>
        <w:t>2</w:t>
      </w:r>
      <w:r>
        <w:rPr>
          <w:b/>
          <w:color w:val="000000"/>
        </w:rPr>
        <w:t>: Tráfico de pessoas</w:t>
      </w:r>
    </w:p>
    <w:tbl>
      <w:tblPr>
        <w:tblStyle w:val="a0"/>
        <w:tblW w:w="10600" w:type="dxa"/>
        <w:tblInd w:w="-497" w:type="dxa"/>
        <w:tblLayout w:type="fixed"/>
        <w:tblLook w:val="0000" w:firstRow="0" w:lastRow="0" w:firstColumn="0" w:lastColumn="0" w:noHBand="0" w:noVBand="0"/>
      </w:tblPr>
      <w:tblGrid>
        <w:gridCol w:w="1618"/>
        <w:gridCol w:w="763"/>
        <w:gridCol w:w="963"/>
        <w:gridCol w:w="929"/>
        <w:gridCol w:w="701"/>
        <w:gridCol w:w="585"/>
        <w:gridCol w:w="1085"/>
        <w:gridCol w:w="1163"/>
        <w:gridCol w:w="1485"/>
        <w:gridCol w:w="1308"/>
      </w:tblGrid>
      <w:tr w:rsidR="005472EF" w14:paraId="1477FB5E" w14:textId="77777777">
        <w:trPr>
          <w:trHeight w:val="180"/>
        </w:trPr>
        <w:tc>
          <w:tcPr>
            <w:tcW w:w="10600" w:type="dxa"/>
            <w:gridSpan w:val="10"/>
            <w:tcBorders>
              <w:top w:val="single" w:sz="4" w:space="0" w:color="000000"/>
              <w:left w:val="single" w:sz="4" w:space="0" w:color="000000"/>
              <w:bottom w:val="single" w:sz="4" w:space="0" w:color="000000"/>
              <w:right w:val="single" w:sz="4" w:space="0" w:color="000000"/>
            </w:tcBorders>
            <w:shd w:val="clear" w:color="auto" w:fill="808080"/>
            <w:vAlign w:val="center"/>
          </w:tcPr>
          <w:p w14:paraId="480F77E9" w14:textId="77777777" w:rsidR="005472EF" w:rsidRDefault="00932FD2">
            <w:pPr>
              <w:spacing w:before="0" w:after="0" w:line="240" w:lineRule="auto"/>
              <w:jc w:val="center"/>
              <w:rPr>
                <w:b/>
                <w:color w:val="000000"/>
                <w:sz w:val="20"/>
                <w:szCs w:val="20"/>
              </w:rPr>
            </w:pPr>
            <w:r>
              <w:rPr>
                <w:b/>
                <w:color w:val="000000"/>
                <w:sz w:val="20"/>
                <w:szCs w:val="20"/>
              </w:rPr>
              <w:t>Tráfico de pessoas</w:t>
            </w:r>
          </w:p>
        </w:tc>
      </w:tr>
      <w:tr w:rsidR="005472EF" w14:paraId="15801C6C" w14:textId="77777777">
        <w:trPr>
          <w:trHeight w:val="180"/>
        </w:trPr>
        <w:tc>
          <w:tcPr>
            <w:tcW w:w="1618" w:type="dxa"/>
            <w:vMerge w:val="restart"/>
            <w:tcBorders>
              <w:top w:val="nil"/>
              <w:left w:val="single" w:sz="4" w:space="0" w:color="000000"/>
              <w:bottom w:val="single" w:sz="4" w:space="0" w:color="000000"/>
              <w:right w:val="single" w:sz="4" w:space="0" w:color="000000"/>
            </w:tcBorders>
            <w:shd w:val="clear" w:color="auto" w:fill="808080"/>
            <w:vAlign w:val="center"/>
          </w:tcPr>
          <w:p w14:paraId="59F2F0D5" w14:textId="77777777" w:rsidR="005472EF" w:rsidRDefault="00932FD2">
            <w:pPr>
              <w:spacing w:before="0" w:after="0" w:line="240" w:lineRule="auto"/>
              <w:jc w:val="center"/>
              <w:rPr>
                <w:b/>
                <w:color w:val="000000"/>
                <w:sz w:val="20"/>
                <w:szCs w:val="20"/>
              </w:rPr>
            </w:pPr>
            <w:r>
              <w:rPr>
                <w:b/>
                <w:color w:val="000000"/>
                <w:sz w:val="20"/>
                <w:szCs w:val="20"/>
              </w:rPr>
              <w:t>Província</w:t>
            </w:r>
          </w:p>
        </w:tc>
        <w:tc>
          <w:tcPr>
            <w:tcW w:w="3356" w:type="dxa"/>
            <w:gridSpan w:val="4"/>
            <w:tcBorders>
              <w:top w:val="single" w:sz="4" w:space="0" w:color="000000"/>
              <w:left w:val="nil"/>
              <w:bottom w:val="single" w:sz="4" w:space="0" w:color="000000"/>
              <w:right w:val="single" w:sz="4" w:space="0" w:color="000000"/>
            </w:tcBorders>
            <w:shd w:val="clear" w:color="auto" w:fill="808080"/>
            <w:vAlign w:val="center"/>
          </w:tcPr>
          <w:p w14:paraId="580DF13F" w14:textId="77777777" w:rsidR="005472EF" w:rsidRDefault="00932FD2">
            <w:pPr>
              <w:spacing w:before="0" w:after="0" w:line="240" w:lineRule="auto"/>
              <w:jc w:val="center"/>
              <w:rPr>
                <w:b/>
                <w:color w:val="000000"/>
                <w:sz w:val="20"/>
                <w:szCs w:val="20"/>
              </w:rPr>
            </w:pPr>
            <w:r>
              <w:rPr>
                <w:b/>
                <w:color w:val="000000"/>
                <w:sz w:val="20"/>
                <w:szCs w:val="20"/>
              </w:rPr>
              <w:t>2016</w:t>
            </w:r>
          </w:p>
        </w:tc>
        <w:tc>
          <w:tcPr>
            <w:tcW w:w="585" w:type="dxa"/>
            <w:vMerge w:val="restart"/>
            <w:tcBorders>
              <w:top w:val="nil"/>
              <w:left w:val="single" w:sz="4" w:space="0" w:color="000000"/>
              <w:bottom w:val="single" w:sz="4" w:space="0" w:color="000000"/>
              <w:right w:val="single" w:sz="4" w:space="0" w:color="000000"/>
            </w:tcBorders>
            <w:shd w:val="clear" w:color="auto" w:fill="808080"/>
            <w:vAlign w:val="center"/>
          </w:tcPr>
          <w:p w14:paraId="29ECDDDF" w14:textId="77777777" w:rsidR="005472EF" w:rsidRDefault="00932FD2">
            <w:pPr>
              <w:spacing w:before="0" w:after="0" w:line="240" w:lineRule="auto"/>
              <w:jc w:val="center"/>
              <w:rPr>
                <w:b/>
                <w:color w:val="000000"/>
                <w:sz w:val="20"/>
                <w:szCs w:val="20"/>
              </w:rPr>
            </w:pPr>
            <w:r>
              <w:rPr>
                <w:b/>
                <w:color w:val="000000"/>
                <w:sz w:val="20"/>
                <w:szCs w:val="20"/>
              </w:rPr>
              <w:t>2015</w:t>
            </w:r>
          </w:p>
        </w:tc>
        <w:tc>
          <w:tcPr>
            <w:tcW w:w="1085" w:type="dxa"/>
            <w:vMerge w:val="restart"/>
            <w:tcBorders>
              <w:top w:val="nil"/>
              <w:left w:val="single" w:sz="4" w:space="0" w:color="000000"/>
              <w:bottom w:val="single" w:sz="4" w:space="0" w:color="000000"/>
              <w:right w:val="single" w:sz="4" w:space="0" w:color="000000"/>
            </w:tcBorders>
            <w:shd w:val="clear" w:color="auto" w:fill="808080"/>
            <w:vAlign w:val="center"/>
          </w:tcPr>
          <w:p w14:paraId="7F0881A2" w14:textId="77777777" w:rsidR="005472EF" w:rsidRDefault="00932FD2">
            <w:pPr>
              <w:spacing w:before="0" w:after="0" w:line="240" w:lineRule="auto"/>
              <w:jc w:val="center"/>
              <w:rPr>
                <w:b/>
                <w:color w:val="000000"/>
                <w:sz w:val="20"/>
                <w:szCs w:val="20"/>
              </w:rPr>
            </w:pPr>
            <w:r>
              <w:rPr>
                <w:b/>
                <w:color w:val="000000"/>
                <w:sz w:val="20"/>
                <w:szCs w:val="20"/>
              </w:rPr>
              <w:t>Acusação</w:t>
            </w:r>
          </w:p>
        </w:tc>
        <w:tc>
          <w:tcPr>
            <w:tcW w:w="1163" w:type="dxa"/>
            <w:vMerge w:val="restart"/>
            <w:tcBorders>
              <w:top w:val="nil"/>
              <w:left w:val="single" w:sz="4" w:space="0" w:color="000000"/>
              <w:bottom w:val="single" w:sz="4" w:space="0" w:color="000000"/>
              <w:right w:val="single" w:sz="4" w:space="0" w:color="000000"/>
            </w:tcBorders>
            <w:shd w:val="clear" w:color="auto" w:fill="808080"/>
            <w:vAlign w:val="center"/>
          </w:tcPr>
          <w:p w14:paraId="04622AF4" w14:textId="77777777" w:rsidR="005472EF" w:rsidRDefault="00932FD2">
            <w:pPr>
              <w:spacing w:before="0" w:after="0" w:line="240" w:lineRule="auto"/>
              <w:jc w:val="center"/>
              <w:rPr>
                <w:b/>
                <w:color w:val="000000"/>
                <w:sz w:val="20"/>
                <w:szCs w:val="20"/>
              </w:rPr>
            </w:pPr>
            <w:r>
              <w:rPr>
                <w:b/>
                <w:color w:val="000000"/>
                <w:sz w:val="20"/>
                <w:szCs w:val="20"/>
              </w:rPr>
              <w:t>Abstenção</w:t>
            </w:r>
          </w:p>
        </w:tc>
        <w:tc>
          <w:tcPr>
            <w:tcW w:w="1485" w:type="dxa"/>
            <w:vMerge w:val="restart"/>
            <w:tcBorders>
              <w:top w:val="nil"/>
              <w:left w:val="single" w:sz="4" w:space="0" w:color="000000"/>
              <w:bottom w:val="single" w:sz="4" w:space="0" w:color="000000"/>
              <w:right w:val="single" w:sz="4" w:space="0" w:color="000000"/>
            </w:tcBorders>
            <w:shd w:val="clear" w:color="auto" w:fill="808080"/>
            <w:vAlign w:val="center"/>
          </w:tcPr>
          <w:p w14:paraId="451672EF" w14:textId="77777777" w:rsidR="005472EF" w:rsidRDefault="00932FD2">
            <w:pPr>
              <w:spacing w:before="0" w:after="0" w:line="240" w:lineRule="auto"/>
              <w:jc w:val="center"/>
              <w:rPr>
                <w:b/>
                <w:color w:val="000000"/>
                <w:sz w:val="20"/>
                <w:szCs w:val="20"/>
              </w:rPr>
            </w:pPr>
            <w:r>
              <w:rPr>
                <w:b/>
                <w:color w:val="000000"/>
                <w:sz w:val="20"/>
                <w:szCs w:val="20"/>
              </w:rPr>
              <w:t>Arquivamento</w:t>
            </w:r>
          </w:p>
        </w:tc>
        <w:tc>
          <w:tcPr>
            <w:tcW w:w="1308" w:type="dxa"/>
            <w:vMerge w:val="restart"/>
            <w:tcBorders>
              <w:top w:val="nil"/>
              <w:left w:val="single" w:sz="4" w:space="0" w:color="000000"/>
              <w:bottom w:val="single" w:sz="4" w:space="0" w:color="000000"/>
              <w:right w:val="single" w:sz="4" w:space="0" w:color="000000"/>
            </w:tcBorders>
            <w:shd w:val="clear" w:color="auto" w:fill="808080"/>
            <w:vAlign w:val="center"/>
          </w:tcPr>
          <w:p w14:paraId="09441FAE" w14:textId="77777777" w:rsidR="005472EF" w:rsidRDefault="00932FD2">
            <w:pPr>
              <w:spacing w:before="0" w:after="0" w:line="240" w:lineRule="auto"/>
              <w:jc w:val="center"/>
              <w:rPr>
                <w:b/>
                <w:color w:val="000000"/>
                <w:sz w:val="20"/>
                <w:szCs w:val="20"/>
              </w:rPr>
            </w:pPr>
            <w:r>
              <w:rPr>
                <w:b/>
                <w:color w:val="000000"/>
                <w:sz w:val="20"/>
                <w:szCs w:val="20"/>
              </w:rPr>
              <w:t>Instrução preparatória</w:t>
            </w:r>
          </w:p>
        </w:tc>
      </w:tr>
      <w:tr w:rsidR="005472EF" w14:paraId="1CC2ECB0" w14:textId="77777777">
        <w:trPr>
          <w:trHeight w:val="720"/>
        </w:trPr>
        <w:tc>
          <w:tcPr>
            <w:tcW w:w="1618" w:type="dxa"/>
            <w:vMerge/>
            <w:tcBorders>
              <w:top w:val="nil"/>
              <w:left w:val="single" w:sz="4" w:space="0" w:color="000000"/>
              <w:bottom w:val="single" w:sz="4" w:space="0" w:color="000000"/>
              <w:right w:val="single" w:sz="4" w:space="0" w:color="000000"/>
            </w:tcBorders>
            <w:shd w:val="clear" w:color="auto" w:fill="808080"/>
            <w:vAlign w:val="center"/>
          </w:tcPr>
          <w:p w14:paraId="6ECF1646" w14:textId="77777777" w:rsidR="005472EF" w:rsidRDefault="005472EF">
            <w:pPr>
              <w:widowControl w:val="0"/>
              <w:pBdr>
                <w:top w:val="nil"/>
                <w:left w:val="nil"/>
                <w:bottom w:val="nil"/>
                <w:right w:val="nil"/>
                <w:between w:val="nil"/>
              </w:pBdr>
              <w:spacing w:before="0" w:after="0" w:line="276" w:lineRule="auto"/>
              <w:ind w:right="0"/>
              <w:jc w:val="left"/>
              <w:rPr>
                <w:b/>
                <w:color w:val="000000"/>
                <w:sz w:val="20"/>
                <w:szCs w:val="20"/>
              </w:rPr>
            </w:pPr>
          </w:p>
        </w:tc>
        <w:tc>
          <w:tcPr>
            <w:tcW w:w="763" w:type="dxa"/>
            <w:tcBorders>
              <w:top w:val="nil"/>
              <w:left w:val="nil"/>
              <w:bottom w:val="single" w:sz="4" w:space="0" w:color="000000"/>
              <w:right w:val="single" w:sz="4" w:space="0" w:color="000000"/>
            </w:tcBorders>
            <w:shd w:val="clear" w:color="auto" w:fill="BFBFBF"/>
            <w:vAlign w:val="center"/>
          </w:tcPr>
          <w:p w14:paraId="199680BB" w14:textId="77777777" w:rsidR="005472EF" w:rsidRDefault="00932FD2">
            <w:pPr>
              <w:spacing w:before="0" w:after="0" w:line="240" w:lineRule="auto"/>
              <w:jc w:val="center"/>
              <w:rPr>
                <w:b/>
                <w:color w:val="000000"/>
                <w:sz w:val="20"/>
                <w:szCs w:val="20"/>
              </w:rPr>
            </w:pPr>
            <w:r>
              <w:rPr>
                <w:b/>
                <w:color w:val="000000"/>
                <w:sz w:val="20"/>
                <w:szCs w:val="20"/>
              </w:rPr>
              <w:t>Para abuso sexual</w:t>
            </w:r>
          </w:p>
        </w:tc>
        <w:tc>
          <w:tcPr>
            <w:tcW w:w="963" w:type="dxa"/>
            <w:tcBorders>
              <w:top w:val="nil"/>
              <w:left w:val="nil"/>
              <w:bottom w:val="single" w:sz="4" w:space="0" w:color="000000"/>
              <w:right w:val="single" w:sz="4" w:space="0" w:color="000000"/>
            </w:tcBorders>
            <w:shd w:val="clear" w:color="auto" w:fill="BFBFBF"/>
            <w:vAlign w:val="center"/>
          </w:tcPr>
          <w:p w14:paraId="3DD53ECE" w14:textId="77777777" w:rsidR="005472EF" w:rsidRDefault="00932FD2">
            <w:pPr>
              <w:spacing w:before="0" w:after="0" w:line="240" w:lineRule="auto"/>
              <w:jc w:val="center"/>
              <w:rPr>
                <w:b/>
                <w:color w:val="000000"/>
                <w:sz w:val="20"/>
                <w:szCs w:val="20"/>
              </w:rPr>
            </w:pPr>
            <w:r>
              <w:rPr>
                <w:b/>
                <w:color w:val="000000"/>
                <w:sz w:val="20"/>
                <w:szCs w:val="20"/>
              </w:rPr>
              <w:t>Para extração de órgãos</w:t>
            </w:r>
          </w:p>
        </w:tc>
        <w:tc>
          <w:tcPr>
            <w:tcW w:w="929" w:type="dxa"/>
            <w:tcBorders>
              <w:top w:val="nil"/>
              <w:left w:val="nil"/>
              <w:bottom w:val="single" w:sz="4" w:space="0" w:color="000000"/>
              <w:right w:val="single" w:sz="4" w:space="0" w:color="000000"/>
            </w:tcBorders>
            <w:shd w:val="clear" w:color="auto" w:fill="BFBFBF"/>
            <w:vAlign w:val="center"/>
          </w:tcPr>
          <w:p w14:paraId="38D73981" w14:textId="77777777" w:rsidR="005472EF" w:rsidRDefault="00932FD2">
            <w:pPr>
              <w:spacing w:before="0" w:after="0" w:line="240" w:lineRule="auto"/>
              <w:jc w:val="center"/>
              <w:rPr>
                <w:b/>
                <w:color w:val="000000"/>
                <w:sz w:val="20"/>
                <w:szCs w:val="20"/>
              </w:rPr>
            </w:pPr>
            <w:r>
              <w:rPr>
                <w:b/>
                <w:color w:val="000000"/>
                <w:sz w:val="20"/>
                <w:szCs w:val="20"/>
              </w:rPr>
              <w:t>Para trabalho forçado</w:t>
            </w:r>
          </w:p>
        </w:tc>
        <w:tc>
          <w:tcPr>
            <w:tcW w:w="701" w:type="dxa"/>
            <w:tcBorders>
              <w:top w:val="nil"/>
              <w:left w:val="nil"/>
              <w:bottom w:val="single" w:sz="4" w:space="0" w:color="000000"/>
              <w:right w:val="single" w:sz="4" w:space="0" w:color="000000"/>
            </w:tcBorders>
            <w:shd w:val="clear" w:color="auto" w:fill="BFBFBF"/>
            <w:vAlign w:val="center"/>
          </w:tcPr>
          <w:p w14:paraId="33C5ED72" w14:textId="77777777" w:rsidR="005472EF" w:rsidRDefault="00932FD2">
            <w:pPr>
              <w:spacing w:before="0" w:after="0" w:line="240" w:lineRule="auto"/>
              <w:jc w:val="center"/>
              <w:rPr>
                <w:b/>
                <w:color w:val="000000"/>
                <w:sz w:val="20"/>
                <w:szCs w:val="20"/>
              </w:rPr>
            </w:pPr>
            <w:r>
              <w:rPr>
                <w:b/>
                <w:color w:val="000000"/>
                <w:sz w:val="20"/>
                <w:szCs w:val="20"/>
              </w:rPr>
              <w:t>Total</w:t>
            </w:r>
          </w:p>
        </w:tc>
        <w:tc>
          <w:tcPr>
            <w:tcW w:w="585" w:type="dxa"/>
            <w:vMerge/>
            <w:tcBorders>
              <w:top w:val="nil"/>
              <w:left w:val="single" w:sz="4" w:space="0" w:color="000000"/>
              <w:bottom w:val="single" w:sz="4" w:space="0" w:color="000000"/>
              <w:right w:val="single" w:sz="4" w:space="0" w:color="000000"/>
            </w:tcBorders>
            <w:shd w:val="clear" w:color="auto" w:fill="808080"/>
            <w:vAlign w:val="center"/>
          </w:tcPr>
          <w:p w14:paraId="4B32F140" w14:textId="77777777" w:rsidR="005472EF" w:rsidRDefault="005472EF">
            <w:pPr>
              <w:widowControl w:val="0"/>
              <w:pBdr>
                <w:top w:val="nil"/>
                <w:left w:val="nil"/>
                <w:bottom w:val="nil"/>
                <w:right w:val="nil"/>
                <w:between w:val="nil"/>
              </w:pBdr>
              <w:spacing w:before="0" w:after="0" w:line="276" w:lineRule="auto"/>
              <w:ind w:right="0"/>
              <w:jc w:val="left"/>
              <w:rPr>
                <w:b/>
                <w:color w:val="000000"/>
                <w:sz w:val="20"/>
                <w:szCs w:val="20"/>
              </w:rPr>
            </w:pPr>
          </w:p>
        </w:tc>
        <w:tc>
          <w:tcPr>
            <w:tcW w:w="1085" w:type="dxa"/>
            <w:vMerge/>
            <w:tcBorders>
              <w:top w:val="nil"/>
              <w:left w:val="single" w:sz="4" w:space="0" w:color="000000"/>
              <w:bottom w:val="single" w:sz="4" w:space="0" w:color="000000"/>
              <w:right w:val="single" w:sz="4" w:space="0" w:color="000000"/>
            </w:tcBorders>
            <w:shd w:val="clear" w:color="auto" w:fill="808080"/>
            <w:vAlign w:val="center"/>
          </w:tcPr>
          <w:p w14:paraId="7C5DFEFC" w14:textId="77777777" w:rsidR="005472EF" w:rsidRDefault="005472EF">
            <w:pPr>
              <w:widowControl w:val="0"/>
              <w:pBdr>
                <w:top w:val="nil"/>
                <w:left w:val="nil"/>
                <w:bottom w:val="nil"/>
                <w:right w:val="nil"/>
                <w:between w:val="nil"/>
              </w:pBdr>
              <w:spacing w:before="0" w:after="0" w:line="276" w:lineRule="auto"/>
              <w:ind w:right="0"/>
              <w:jc w:val="left"/>
              <w:rPr>
                <w:b/>
                <w:color w:val="000000"/>
                <w:sz w:val="20"/>
                <w:szCs w:val="20"/>
              </w:rPr>
            </w:pPr>
          </w:p>
        </w:tc>
        <w:tc>
          <w:tcPr>
            <w:tcW w:w="1163" w:type="dxa"/>
            <w:vMerge/>
            <w:tcBorders>
              <w:top w:val="nil"/>
              <w:left w:val="single" w:sz="4" w:space="0" w:color="000000"/>
              <w:bottom w:val="single" w:sz="4" w:space="0" w:color="000000"/>
              <w:right w:val="single" w:sz="4" w:space="0" w:color="000000"/>
            </w:tcBorders>
            <w:shd w:val="clear" w:color="auto" w:fill="808080"/>
            <w:vAlign w:val="center"/>
          </w:tcPr>
          <w:p w14:paraId="3D0C087A" w14:textId="77777777" w:rsidR="005472EF" w:rsidRDefault="005472EF">
            <w:pPr>
              <w:widowControl w:val="0"/>
              <w:pBdr>
                <w:top w:val="nil"/>
                <w:left w:val="nil"/>
                <w:bottom w:val="nil"/>
                <w:right w:val="nil"/>
                <w:between w:val="nil"/>
              </w:pBdr>
              <w:spacing w:before="0" w:after="0" w:line="276" w:lineRule="auto"/>
              <w:ind w:right="0"/>
              <w:jc w:val="left"/>
              <w:rPr>
                <w:b/>
                <w:color w:val="000000"/>
                <w:sz w:val="20"/>
                <w:szCs w:val="20"/>
              </w:rPr>
            </w:pPr>
          </w:p>
        </w:tc>
        <w:tc>
          <w:tcPr>
            <w:tcW w:w="1485" w:type="dxa"/>
            <w:vMerge/>
            <w:tcBorders>
              <w:top w:val="nil"/>
              <w:left w:val="single" w:sz="4" w:space="0" w:color="000000"/>
              <w:bottom w:val="single" w:sz="4" w:space="0" w:color="000000"/>
              <w:right w:val="single" w:sz="4" w:space="0" w:color="000000"/>
            </w:tcBorders>
            <w:shd w:val="clear" w:color="auto" w:fill="808080"/>
            <w:vAlign w:val="center"/>
          </w:tcPr>
          <w:p w14:paraId="11ADFEC6" w14:textId="77777777" w:rsidR="005472EF" w:rsidRDefault="005472EF">
            <w:pPr>
              <w:widowControl w:val="0"/>
              <w:pBdr>
                <w:top w:val="nil"/>
                <w:left w:val="nil"/>
                <w:bottom w:val="nil"/>
                <w:right w:val="nil"/>
                <w:between w:val="nil"/>
              </w:pBdr>
              <w:spacing w:before="0" w:after="0" w:line="276" w:lineRule="auto"/>
              <w:ind w:right="0"/>
              <w:jc w:val="left"/>
              <w:rPr>
                <w:b/>
                <w:color w:val="000000"/>
                <w:sz w:val="20"/>
                <w:szCs w:val="20"/>
              </w:rPr>
            </w:pPr>
          </w:p>
        </w:tc>
        <w:tc>
          <w:tcPr>
            <w:tcW w:w="1308" w:type="dxa"/>
            <w:vMerge/>
            <w:tcBorders>
              <w:top w:val="nil"/>
              <w:left w:val="single" w:sz="4" w:space="0" w:color="000000"/>
              <w:bottom w:val="single" w:sz="4" w:space="0" w:color="000000"/>
              <w:right w:val="single" w:sz="4" w:space="0" w:color="000000"/>
            </w:tcBorders>
            <w:shd w:val="clear" w:color="auto" w:fill="808080"/>
            <w:vAlign w:val="center"/>
          </w:tcPr>
          <w:p w14:paraId="5B13AC39" w14:textId="77777777" w:rsidR="005472EF" w:rsidRDefault="005472EF">
            <w:pPr>
              <w:widowControl w:val="0"/>
              <w:pBdr>
                <w:top w:val="nil"/>
                <w:left w:val="nil"/>
                <w:bottom w:val="nil"/>
                <w:right w:val="nil"/>
                <w:between w:val="nil"/>
              </w:pBdr>
              <w:spacing w:before="0" w:after="0" w:line="276" w:lineRule="auto"/>
              <w:ind w:right="0"/>
              <w:jc w:val="left"/>
              <w:rPr>
                <w:b/>
                <w:color w:val="000000"/>
                <w:sz w:val="20"/>
                <w:szCs w:val="20"/>
              </w:rPr>
            </w:pPr>
          </w:p>
        </w:tc>
      </w:tr>
      <w:tr w:rsidR="005472EF" w14:paraId="397E16FC" w14:textId="77777777">
        <w:trPr>
          <w:trHeight w:val="180"/>
        </w:trPr>
        <w:tc>
          <w:tcPr>
            <w:tcW w:w="1618" w:type="dxa"/>
            <w:tcBorders>
              <w:top w:val="nil"/>
              <w:left w:val="single" w:sz="4" w:space="0" w:color="000000"/>
              <w:bottom w:val="single" w:sz="4" w:space="0" w:color="000000"/>
              <w:right w:val="single" w:sz="4" w:space="0" w:color="000000"/>
            </w:tcBorders>
            <w:shd w:val="clear" w:color="auto" w:fill="808080"/>
            <w:vAlign w:val="center"/>
          </w:tcPr>
          <w:p w14:paraId="7CFED794" w14:textId="77777777" w:rsidR="005472EF" w:rsidRDefault="00932FD2">
            <w:pPr>
              <w:spacing w:before="0" w:after="0" w:line="240" w:lineRule="auto"/>
              <w:jc w:val="left"/>
              <w:rPr>
                <w:b/>
                <w:color w:val="000000"/>
                <w:sz w:val="20"/>
                <w:szCs w:val="20"/>
              </w:rPr>
            </w:pPr>
            <w:r>
              <w:rPr>
                <w:b/>
                <w:color w:val="000000"/>
                <w:sz w:val="20"/>
                <w:szCs w:val="20"/>
              </w:rPr>
              <w:t>Niassa</w:t>
            </w:r>
          </w:p>
        </w:tc>
        <w:tc>
          <w:tcPr>
            <w:tcW w:w="763" w:type="dxa"/>
            <w:tcBorders>
              <w:top w:val="nil"/>
              <w:left w:val="nil"/>
              <w:bottom w:val="single" w:sz="4" w:space="0" w:color="000000"/>
              <w:right w:val="single" w:sz="4" w:space="0" w:color="000000"/>
            </w:tcBorders>
            <w:vAlign w:val="center"/>
          </w:tcPr>
          <w:p w14:paraId="57A13915" w14:textId="77777777" w:rsidR="005472EF" w:rsidRDefault="00932FD2">
            <w:pPr>
              <w:spacing w:before="0" w:after="0" w:line="240" w:lineRule="auto"/>
              <w:jc w:val="center"/>
              <w:rPr>
                <w:color w:val="000000"/>
                <w:sz w:val="20"/>
                <w:szCs w:val="20"/>
              </w:rPr>
            </w:pPr>
            <w:r>
              <w:rPr>
                <w:color w:val="000000"/>
                <w:sz w:val="20"/>
                <w:szCs w:val="20"/>
              </w:rPr>
              <w:t>0</w:t>
            </w:r>
          </w:p>
        </w:tc>
        <w:tc>
          <w:tcPr>
            <w:tcW w:w="963" w:type="dxa"/>
            <w:tcBorders>
              <w:top w:val="nil"/>
              <w:left w:val="nil"/>
              <w:bottom w:val="single" w:sz="4" w:space="0" w:color="000000"/>
              <w:right w:val="single" w:sz="4" w:space="0" w:color="000000"/>
            </w:tcBorders>
            <w:vAlign w:val="center"/>
          </w:tcPr>
          <w:p w14:paraId="5F17BF42" w14:textId="77777777" w:rsidR="005472EF" w:rsidRDefault="00932FD2">
            <w:pPr>
              <w:spacing w:before="0" w:after="0" w:line="240" w:lineRule="auto"/>
              <w:jc w:val="center"/>
              <w:rPr>
                <w:color w:val="000000"/>
                <w:sz w:val="20"/>
                <w:szCs w:val="20"/>
              </w:rPr>
            </w:pPr>
            <w:r>
              <w:rPr>
                <w:color w:val="000000"/>
                <w:sz w:val="20"/>
                <w:szCs w:val="20"/>
              </w:rPr>
              <w:t>3</w:t>
            </w:r>
          </w:p>
        </w:tc>
        <w:tc>
          <w:tcPr>
            <w:tcW w:w="929" w:type="dxa"/>
            <w:tcBorders>
              <w:top w:val="nil"/>
              <w:left w:val="nil"/>
              <w:bottom w:val="single" w:sz="4" w:space="0" w:color="000000"/>
              <w:right w:val="single" w:sz="4" w:space="0" w:color="000000"/>
            </w:tcBorders>
            <w:vAlign w:val="center"/>
          </w:tcPr>
          <w:p w14:paraId="2D111EA5" w14:textId="77777777" w:rsidR="005472EF" w:rsidRDefault="00932FD2">
            <w:pPr>
              <w:spacing w:before="0" w:after="0" w:line="240" w:lineRule="auto"/>
              <w:jc w:val="center"/>
              <w:rPr>
                <w:color w:val="000000"/>
                <w:sz w:val="20"/>
                <w:szCs w:val="20"/>
              </w:rPr>
            </w:pPr>
            <w:r>
              <w:rPr>
                <w:color w:val="000000"/>
                <w:sz w:val="20"/>
                <w:szCs w:val="20"/>
              </w:rPr>
              <w:t>0</w:t>
            </w:r>
          </w:p>
        </w:tc>
        <w:tc>
          <w:tcPr>
            <w:tcW w:w="701" w:type="dxa"/>
            <w:tcBorders>
              <w:top w:val="nil"/>
              <w:left w:val="nil"/>
              <w:bottom w:val="single" w:sz="4" w:space="0" w:color="000000"/>
              <w:right w:val="single" w:sz="4" w:space="0" w:color="000000"/>
            </w:tcBorders>
            <w:vAlign w:val="center"/>
          </w:tcPr>
          <w:p w14:paraId="04D1675A" w14:textId="77777777" w:rsidR="005472EF" w:rsidRDefault="00932FD2">
            <w:pPr>
              <w:spacing w:before="0" w:after="0" w:line="240" w:lineRule="auto"/>
              <w:jc w:val="center"/>
              <w:rPr>
                <w:color w:val="000000"/>
                <w:sz w:val="20"/>
                <w:szCs w:val="20"/>
              </w:rPr>
            </w:pPr>
            <w:r>
              <w:rPr>
                <w:color w:val="000000"/>
                <w:sz w:val="20"/>
                <w:szCs w:val="20"/>
              </w:rPr>
              <w:t>3</w:t>
            </w:r>
          </w:p>
        </w:tc>
        <w:tc>
          <w:tcPr>
            <w:tcW w:w="585" w:type="dxa"/>
            <w:tcBorders>
              <w:top w:val="nil"/>
              <w:left w:val="nil"/>
              <w:bottom w:val="single" w:sz="4" w:space="0" w:color="000000"/>
              <w:right w:val="single" w:sz="4" w:space="0" w:color="000000"/>
            </w:tcBorders>
            <w:vAlign w:val="center"/>
          </w:tcPr>
          <w:p w14:paraId="70769F24" w14:textId="77777777" w:rsidR="005472EF" w:rsidRDefault="00932FD2">
            <w:pPr>
              <w:spacing w:before="0" w:after="0" w:line="240" w:lineRule="auto"/>
              <w:jc w:val="center"/>
              <w:rPr>
                <w:color w:val="000000"/>
                <w:sz w:val="20"/>
                <w:szCs w:val="20"/>
              </w:rPr>
            </w:pPr>
            <w:r>
              <w:rPr>
                <w:color w:val="000000"/>
                <w:sz w:val="20"/>
                <w:szCs w:val="20"/>
              </w:rPr>
              <w:t>9</w:t>
            </w:r>
          </w:p>
        </w:tc>
        <w:tc>
          <w:tcPr>
            <w:tcW w:w="1085" w:type="dxa"/>
            <w:tcBorders>
              <w:top w:val="nil"/>
              <w:left w:val="nil"/>
              <w:bottom w:val="single" w:sz="4" w:space="0" w:color="000000"/>
              <w:right w:val="single" w:sz="4" w:space="0" w:color="000000"/>
            </w:tcBorders>
            <w:vAlign w:val="center"/>
          </w:tcPr>
          <w:p w14:paraId="11C411CE" w14:textId="77777777" w:rsidR="005472EF" w:rsidRDefault="00932FD2">
            <w:pPr>
              <w:spacing w:before="0" w:after="0" w:line="240" w:lineRule="auto"/>
              <w:jc w:val="center"/>
              <w:rPr>
                <w:color w:val="000000"/>
                <w:sz w:val="20"/>
                <w:szCs w:val="20"/>
              </w:rPr>
            </w:pPr>
            <w:r>
              <w:rPr>
                <w:color w:val="000000"/>
                <w:sz w:val="20"/>
                <w:szCs w:val="20"/>
              </w:rPr>
              <w:t>3</w:t>
            </w:r>
          </w:p>
        </w:tc>
        <w:tc>
          <w:tcPr>
            <w:tcW w:w="1163" w:type="dxa"/>
            <w:tcBorders>
              <w:top w:val="nil"/>
              <w:left w:val="nil"/>
              <w:bottom w:val="single" w:sz="4" w:space="0" w:color="000000"/>
              <w:right w:val="single" w:sz="4" w:space="0" w:color="000000"/>
            </w:tcBorders>
            <w:vAlign w:val="center"/>
          </w:tcPr>
          <w:p w14:paraId="29EBCAB4" w14:textId="77777777" w:rsidR="005472EF" w:rsidRDefault="00932FD2">
            <w:pPr>
              <w:spacing w:before="0" w:after="0" w:line="240" w:lineRule="auto"/>
              <w:jc w:val="center"/>
              <w:rPr>
                <w:color w:val="000000"/>
                <w:sz w:val="20"/>
                <w:szCs w:val="20"/>
              </w:rPr>
            </w:pPr>
            <w:r>
              <w:rPr>
                <w:color w:val="000000"/>
                <w:sz w:val="20"/>
                <w:szCs w:val="20"/>
              </w:rPr>
              <w:t>0</w:t>
            </w:r>
          </w:p>
        </w:tc>
        <w:tc>
          <w:tcPr>
            <w:tcW w:w="1485" w:type="dxa"/>
            <w:tcBorders>
              <w:top w:val="nil"/>
              <w:left w:val="nil"/>
              <w:bottom w:val="single" w:sz="4" w:space="0" w:color="000000"/>
              <w:right w:val="single" w:sz="4" w:space="0" w:color="000000"/>
            </w:tcBorders>
            <w:vAlign w:val="center"/>
          </w:tcPr>
          <w:p w14:paraId="55CC1E13" w14:textId="77777777" w:rsidR="005472EF" w:rsidRDefault="00932FD2">
            <w:pPr>
              <w:spacing w:before="0" w:after="0" w:line="240" w:lineRule="auto"/>
              <w:jc w:val="center"/>
              <w:rPr>
                <w:color w:val="000000"/>
                <w:sz w:val="20"/>
                <w:szCs w:val="20"/>
              </w:rPr>
            </w:pPr>
            <w:r>
              <w:rPr>
                <w:color w:val="000000"/>
                <w:sz w:val="20"/>
                <w:szCs w:val="20"/>
              </w:rPr>
              <w:t>0</w:t>
            </w:r>
          </w:p>
        </w:tc>
        <w:tc>
          <w:tcPr>
            <w:tcW w:w="1308" w:type="dxa"/>
            <w:tcBorders>
              <w:top w:val="nil"/>
              <w:left w:val="nil"/>
              <w:bottom w:val="single" w:sz="4" w:space="0" w:color="000000"/>
              <w:right w:val="single" w:sz="4" w:space="0" w:color="000000"/>
            </w:tcBorders>
            <w:vAlign w:val="center"/>
          </w:tcPr>
          <w:p w14:paraId="12AAB212" w14:textId="77777777" w:rsidR="005472EF" w:rsidRDefault="00932FD2">
            <w:pPr>
              <w:spacing w:before="0" w:after="0" w:line="240" w:lineRule="auto"/>
              <w:jc w:val="center"/>
              <w:rPr>
                <w:color w:val="000000"/>
                <w:sz w:val="20"/>
                <w:szCs w:val="20"/>
              </w:rPr>
            </w:pPr>
            <w:r>
              <w:rPr>
                <w:color w:val="000000"/>
                <w:sz w:val="20"/>
                <w:szCs w:val="20"/>
              </w:rPr>
              <w:t>0</w:t>
            </w:r>
          </w:p>
        </w:tc>
      </w:tr>
      <w:tr w:rsidR="005472EF" w14:paraId="43754AA3" w14:textId="77777777">
        <w:trPr>
          <w:trHeight w:val="180"/>
        </w:trPr>
        <w:tc>
          <w:tcPr>
            <w:tcW w:w="1618" w:type="dxa"/>
            <w:tcBorders>
              <w:top w:val="nil"/>
              <w:left w:val="single" w:sz="4" w:space="0" w:color="000000"/>
              <w:bottom w:val="single" w:sz="4" w:space="0" w:color="000000"/>
              <w:right w:val="single" w:sz="4" w:space="0" w:color="000000"/>
            </w:tcBorders>
            <w:shd w:val="clear" w:color="auto" w:fill="808080"/>
            <w:vAlign w:val="center"/>
          </w:tcPr>
          <w:p w14:paraId="35448F19" w14:textId="77777777" w:rsidR="005472EF" w:rsidRDefault="00932FD2">
            <w:pPr>
              <w:spacing w:before="0" w:after="0" w:line="240" w:lineRule="auto"/>
              <w:jc w:val="left"/>
              <w:rPr>
                <w:b/>
                <w:color w:val="000000"/>
                <w:sz w:val="20"/>
                <w:szCs w:val="20"/>
              </w:rPr>
            </w:pPr>
            <w:r>
              <w:rPr>
                <w:b/>
                <w:color w:val="000000"/>
                <w:sz w:val="20"/>
                <w:szCs w:val="20"/>
              </w:rPr>
              <w:t>Cabo delgado</w:t>
            </w:r>
          </w:p>
        </w:tc>
        <w:tc>
          <w:tcPr>
            <w:tcW w:w="763" w:type="dxa"/>
            <w:tcBorders>
              <w:top w:val="nil"/>
              <w:left w:val="nil"/>
              <w:bottom w:val="single" w:sz="4" w:space="0" w:color="000000"/>
              <w:right w:val="single" w:sz="4" w:space="0" w:color="000000"/>
            </w:tcBorders>
            <w:vAlign w:val="center"/>
          </w:tcPr>
          <w:p w14:paraId="22328BD9" w14:textId="77777777" w:rsidR="005472EF" w:rsidRDefault="00932FD2">
            <w:pPr>
              <w:spacing w:before="0" w:after="0" w:line="240" w:lineRule="auto"/>
              <w:jc w:val="center"/>
              <w:rPr>
                <w:color w:val="000000"/>
                <w:sz w:val="20"/>
                <w:szCs w:val="20"/>
              </w:rPr>
            </w:pPr>
            <w:r>
              <w:rPr>
                <w:color w:val="000000"/>
                <w:sz w:val="20"/>
                <w:szCs w:val="20"/>
              </w:rPr>
              <w:t>0</w:t>
            </w:r>
          </w:p>
        </w:tc>
        <w:tc>
          <w:tcPr>
            <w:tcW w:w="963" w:type="dxa"/>
            <w:tcBorders>
              <w:top w:val="nil"/>
              <w:left w:val="nil"/>
              <w:bottom w:val="single" w:sz="4" w:space="0" w:color="000000"/>
              <w:right w:val="single" w:sz="4" w:space="0" w:color="000000"/>
            </w:tcBorders>
            <w:vAlign w:val="center"/>
          </w:tcPr>
          <w:p w14:paraId="082BCE8A" w14:textId="77777777" w:rsidR="005472EF" w:rsidRDefault="00932FD2">
            <w:pPr>
              <w:spacing w:before="0" w:after="0" w:line="240" w:lineRule="auto"/>
              <w:jc w:val="center"/>
              <w:rPr>
                <w:color w:val="000000"/>
                <w:sz w:val="20"/>
                <w:szCs w:val="20"/>
              </w:rPr>
            </w:pPr>
            <w:r>
              <w:rPr>
                <w:color w:val="000000"/>
                <w:sz w:val="20"/>
                <w:szCs w:val="20"/>
              </w:rPr>
              <w:t>1</w:t>
            </w:r>
          </w:p>
        </w:tc>
        <w:tc>
          <w:tcPr>
            <w:tcW w:w="929" w:type="dxa"/>
            <w:tcBorders>
              <w:top w:val="nil"/>
              <w:left w:val="nil"/>
              <w:bottom w:val="single" w:sz="4" w:space="0" w:color="000000"/>
              <w:right w:val="single" w:sz="4" w:space="0" w:color="000000"/>
            </w:tcBorders>
            <w:vAlign w:val="center"/>
          </w:tcPr>
          <w:p w14:paraId="139F3B48" w14:textId="77777777" w:rsidR="005472EF" w:rsidRDefault="00932FD2">
            <w:pPr>
              <w:spacing w:before="0" w:after="0" w:line="240" w:lineRule="auto"/>
              <w:jc w:val="center"/>
              <w:rPr>
                <w:color w:val="000000"/>
                <w:sz w:val="20"/>
                <w:szCs w:val="20"/>
              </w:rPr>
            </w:pPr>
            <w:r>
              <w:rPr>
                <w:color w:val="000000"/>
                <w:sz w:val="20"/>
                <w:szCs w:val="20"/>
              </w:rPr>
              <w:t>0</w:t>
            </w:r>
          </w:p>
        </w:tc>
        <w:tc>
          <w:tcPr>
            <w:tcW w:w="701" w:type="dxa"/>
            <w:tcBorders>
              <w:top w:val="nil"/>
              <w:left w:val="nil"/>
              <w:bottom w:val="single" w:sz="4" w:space="0" w:color="000000"/>
              <w:right w:val="single" w:sz="4" w:space="0" w:color="000000"/>
            </w:tcBorders>
            <w:vAlign w:val="center"/>
          </w:tcPr>
          <w:p w14:paraId="5EB20701" w14:textId="77777777" w:rsidR="005472EF" w:rsidRDefault="00932FD2">
            <w:pPr>
              <w:spacing w:before="0" w:after="0" w:line="240" w:lineRule="auto"/>
              <w:jc w:val="center"/>
              <w:rPr>
                <w:color w:val="000000"/>
                <w:sz w:val="20"/>
                <w:szCs w:val="20"/>
              </w:rPr>
            </w:pPr>
            <w:r>
              <w:rPr>
                <w:color w:val="000000"/>
                <w:sz w:val="20"/>
                <w:szCs w:val="20"/>
              </w:rPr>
              <w:t>1</w:t>
            </w:r>
          </w:p>
        </w:tc>
        <w:tc>
          <w:tcPr>
            <w:tcW w:w="585" w:type="dxa"/>
            <w:tcBorders>
              <w:top w:val="nil"/>
              <w:left w:val="nil"/>
              <w:bottom w:val="single" w:sz="4" w:space="0" w:color="000000"/>
              <w:right w:val="single" w:sz="4" w:space="0" w:color="000000"/>
            </w:tcBorders>
            <w:vAlign w:val="center"/>
          </w:tcPr>
          <w:p w14:paraId="6EC3A700" w14:textId="77777777" w:rsidR="005472EF" w:rsidRDefault="00932FD2">
            <w:pPr>
              <w:spacing w:before="0" w:after="0" w:line="240" w:lineRule="auto"/>
              <w:jc w:val="center"/>
              <w:rPr>
                <w:color w:val="000000"/>
                <w:sz w:val="20"/>
                <w:szCs w:val="20"/>
              </w:rPr>
            </w:pPr>
            <w:r>
              <w:rPr>
                <w:color w:val="000000"/>
                <w:sz w:val="20"/>
                <w:szCs w:val="20"/>
              </w:rPr>
              <w:t>3</w:t>
            </w:r>
          </w:p>
        </w:tc>
        <w:tc>
          <w:tcPr>
            <w:tcW w:w="1085" w:type="dxa"/>
            <w:tcBorders>
              <w:top w:val="nil"/>
              <w:left w:val="nil"/>
              <w:bottom w:val="single" w:sz="4" w:space="0" w:color="000000"/>
              <w:right w:val="single" w:sz="4" w:space="0" w:color="000000"/>
            </w:tcBorders>
            <w:vAlign w:val="center"/>
          </w:tcPr>
          <w:p w14:paraId="62EA8B95" w14:textId="77777777" w:rsidR="005472EF" w:rsidRDefault="00932FD2">
            <w:pPr>
              <w:spacing w:before="0" w:after="0" w:line="240" w:lineRule="auto"/>
              <w:jc w:val="center"/>
              <w:rPr>
                <w:color w:val="000000"/>
                <w:sz w:val="20"/>
                <w:szCs w:val="20"/>
              </w:rPr>
            </w:pPr>
            <w:r>
              <w:rPr>
                <w:color w:val="000000"/>
                <w:sz w:val="20"/>
                <w:szCs w:val="20"/>
              </w:rPr>
              <w:t>0</w:t>
            </w:r>
          </w:p>
        </w:tc>
        <w:tc>
          <w:tcPr>
            <w:tcW w:w="1163" w:type="dxa"/>
            <w:tcBorders>
              <w:top w:val="nil"/>
              <w:left w:val="nil"/>
              <w:bottom w:val="single" w:sz="4" w:space="0" w:color="000000"/>
              <w:right w:val="single" w:sz="4" w:space="0" w:color="000000"/>
            </w:tcBorders>
            <w:vAlign w:val="center"/>
          </w:tcPr>
          <w:p w14:paraId="5AF9B236" w14:textId="77777777" w:rsidR="005472EF" w:rsidRDefault="00932FD2">
            <w:pPr>
              <w:spacing w:before="0" w:after="0" w:line="240" w:lineRule="auto"/>
              <w:jc w:val="center"/>
              <w:rPr>
                <w:color w:val="000000"/>
                <w:sz w:val="20"/>
                <w:szCs w:val="20"/>
              </w:rPr>
            </w:pPr>
            <w:r>
              <w:rPr>
                <w:color w:val="000000"/>
                <w:sz w:val="20"/>
                <w:szCs w:val="20"/>
              </w:rPr>
              <w:t>1</w:t>
            </w:r>
          </w:p>
        </w:tc>
        <w:tc>
          <w:tcPr>
            <w:tcW w:w="1485" w:type="dxa"/>
            <w:tcBorders>
              <w:top w:val="nil"/>
              <w:left w:val="nil"/>
              <w:bottom w:val="single" w:sz="4" w:space="0" w:color="000000"/>
              <w:right w:val="single" w:sz="4" w:space="0" w:color="000000"/>
            </w:tcBorders>
            <w:vAlign w:val="center"/>
          </w:tcPr>
          <w:p w14:paraId="3836AEB7" w14:textId="77777777" w:rsidR="005472EF" w:rsidRDefault="00932FD2">
            <w:pPr>
              <w:spacing w:before="0" w:after="0" w:line="240" w:lineRule="auto"/>
              <w:jc w:val="center"/>
              <w:rPr>
                <w:color w:val="000000"/>
                <w:sz w:val="20"/>
                <w:szCs w:val="20"/>
              </w:rPr>
            </w:pPr>
            <w:r>
              <w:rPr>
                <w:color w:val="000000"/>
                <w:sz w:val="20"/>
                <w:szCs w:val="20"/>
              </w:rPr>
              <w:t>0</w:t>
            </w:r>
          </w:p>
        </w:tc>
        <w:tc>
          <w:tcPr>
            <w:tcW w:w="1308" w:type="dxa"/>
            <w:tcBorders>
              <w:top w:val="nil"/>
              <w:left w:val="nil"/>
              <w:bottom w:val="single" w:sz="4" w:space="0" w:color="000000"/>
              <w:right w:val="single" w:sz="4" w:space="0" w:color="000000"/>
            </w:tcBorders>
            <w:vAlign w:val="center"/>
          </w:tcPr>
          <w:p w14:paraId="24D967F1" w14:textId="77777777" w:rsidR="005472EF" w:rsidRDefault="00932FD2">
            <w:pPr>
              <w:spacing w:before="0" w:after="0" w:line="240" w:lineRule="auto"/>
              <w:jc w:val="center"/>
              <w:rPr>
                <w:color w:val="000000"/>
                <w:sz w:val="20"/>
                <w:szCs w:val="20"/>
              </w:rPr>
            </w:pPr>
            <w:r>
              <w:rPr>
                <w:color w:val="000000"/>
                <w:sz w:val="20"/>
                <w:szCs w:val="20"/>
              </w:rPr>
              <w:t>0</w:t>
            </w:r>
          </w:p>
        </w:tc>
      </w:tr>
      <w:tr w:rsidR="005472EF" w14:paraId="62C4463A" w14:textId="77777777">
        <w:trPr>
          <w:trHeight w:val="180"/>
        </w:trPr>
        <w:tc>
          <w:tcPr>
            <w:tcW w:w="1618" w:type="dxa"/>
            <w:tcBorders>
              <w:top w:val="nil"/>
              <w:left w:val="single" w:sz="4" w:space="0" w:color="000000"/>
              <w:bottom w:val="single" w:sz="4" w:space="0" w:color="000000"/>
              <w:right w:val="single" w:sz="4" w:space="0" w:color="000000"/>
            </w:tcBorders>
            <w:shd w:val="clear" w:color="auto" w:fill="808080"/>
            <w:vAlign w:val="center"/>
          </w:tcPr>
          <w:p w14:paraId="05BD3100" w14:textId="77777777" w:rsidR="005472EF" w:rsidRDefault="00932FD2">
            <w:pPr>
              <w:spacing w:before="0" w:after="0" w:line="240" w:lineRule="auto"/>
              <w:jc w:val="left"/>
              <w:rPr>
                <w:b/>
                <w:color w:val="000000"/>
                <w:sz w:val="20"/>
                <w:szCs w:val="20"/>
              </w:rPr>
            </w:pPr>
            <w:r>
              <w:rPr>
                <w:b/>
                <w:color w:val="000000"/>
                <w:sz w:val="20"/>
                <w:szCs w:val="20"/>
              </w:rPr>
              <w:t>Nampula</w:t>
            </w:r>
          </w:p>
        </w:tc>
        <w:tc>
          <w:tcPr>
            <w:tcW w:w="763" w:type="dxa"/>
            <w:tcBorders>
              <w:top w:val="nil"/>
              <w:left w:val="nil"/>
              <w:bottom w:val="single" w:sz="4" w:space="0" w:color="000000"/>
              <w:right w:val="single" w:sz="4" w:space="0" w:color="000000"/>
            </w:tcBorders>
            <w:vAlign w:val="center"/>
          </w:tcPr>
          <w:p w14:paraId="460D820D" w14:textId="77777777" w:rsidR="005472EF" w:rsidRDefault="00932FD2">
            <w:pPr>
              <w:spacing w:before="0" w:after="0" w:line="240" w:lineRule="auto"/>
              <w:jc w:val="center"/>
              <w:rPr>
                <w:color w:val="000000"/>
                <w:sz w:val="20"/>
                <w:szCs w:val="20"/>
              </w:rPr>
            </w:pPr>
            <w:r>
              <w:rPr>
                <w:color w:val="000000"/>
                <w:sz w:val="20"/>
                <w:szCs w:val="20"/>
              </w:rPr>
              <w:t>0</w:t>
            </w:r>
          </w:p>
        </w:tc>
        <w:tc>
          <w:tcPr>
            <w:tcW w:w="963" w:type="dxa"/>
            <w:tcBorders>
              <w:top w:val="nil"/>
              <w:left w:val="nil"/>
              <w:bottom w:val="nil"/>
              <w:right w:val="nil"/>
            </w:tcBorders>
            <w:vAlign w:val="center"/>
          </w:tcPr>
          <w:p w14:paraId="0F42F748" w14:textId="77777777" w:rsidR="005472EF" w:rsidRDefault="00932FD2">
            <w:pPr>
              <w:spacing w:before="0" w:after="0" w:line="240" w:lineRule="auto"/>
              <w:jc w:val="center"/>
              <w:rPr>
                <w:color w:val="000000"/>
                <w:sz w:val="20"/>
                <w:szCs w:val="20"/>
              </w:rPr>
            </w:pPr>
            <w:r>
              <w:rPr>
                <w:color w:val="000000"/>
                <w:sz w:val="20"/>
                <w:szCs w:val="20"/>
              </w:rPr>
              <w:t>0</w:t>
            </w:r>
          </w:p>
        </w:tc>
        <w:tc>
          <w:tcPr>
            <w:tcW w:w="929" w:type="dxa"/>
            <w:tcBorders>
              <w:top w:val="nil"/>
              <w:left w:val="single" w:sz="4" w:space="0" w:color="000000"/>
              <w:bottom w:val="single" w:sz="4" w:space="0" w:color="000000"/>
              <w:right w:val="single" w:sz="4" w:space="0" w:color="000000"/>
            </w:tcBorders>
            <w:vAlign w:val="center"/>
          </w:tcPr>
          <w:p w14:paraId="17152E5F" w14:textId="77777777" w:rsidR="005472EF" w:rsidRDefault="00932FD2">
            <w:pPr>
              <w:spacing w:before="0" w:after="0" w:line="240" w:lineRule="auto"/>
              <w:jc w:val="center"/>
              <w:rPr>
                <w:color w:val="000000"/>
                <w:sz w:val="20"/>
                <w:szCs w:val="20"/>
              </w:rPr>
            </w:pPr>
            <w:r>
              <w:rPr>
                <w:color w:val="000000"/>
                <w:sz w:val="20"/>
                <w:szCs w:val="20"/>
              </w:rPr>
              <w:t>0</w:t>
            </w:r>
          </w:p>
        </w:tc>
        <w:tc>
          <w:tcPr>
            <w:tcW w:w="701" w:type="dxa"/>
            <w:tcBorders>
              <w:top w:val="nil"/>
              <w:left w:val="nil"/>
              <w:bottom w:val="single" w:sz="4" w:space="0" w:color="000000"/>
              <w:right w:val="single" w:sz="4" w:space="0" w:color="000000"/>
            </w:tcBorders>
            <w:vAlign w:val="center"/>
          </w:tcPr>
          <w:p w14:paraId="22A0A23E" w14:textId="77777777" w:rsidR="005472EF" w:rsidRDefault="00932FD2">
            <w:pPr>
              <w:spacing w:before="0" w:after="0" w:line="240" w:lineRule="auto"/>
              <w:jc w:val="center"/>
              <w:rPr>
                <w:color w:val="000000"/>
                <w:sz w:val="20"/>
                <w:szCs w:val="20"/>
              </w:rPr>
            </w:pPr>
            <w:r>
              <w:rPr>
                <w:color w:val="000000"/>
                <w:sz w:val="20"/>
                <w:szCs w:val="20"/>
              </w:rPr>
              <w:t>0</w:t>
            </w:r>
          </w:p>
        </w:tc>
        <w:tc>
          <w:tcPr>
            <w:tcW w:w="585" w:type="dxa"/>
            <w:tcBorders>
              <w:top w:val="nil"/>
              <w:left w:val="nil"/>
              <w:bottom w:val="single" w:sz="4" w:space="0" w:color="000000"/>
              <w:right w:val="single" w:sz="4" w:space="0" w:color="000000"/>
            </w:tcBorders>
            <w:vAlign w:val="center"/>
          </w:tcPr>
          <w:p w14:paraId="077CF30D" w14:textId="77777777" w:rsidR="005472EF" w:rsidRDefault="00932FD2">
            <w:pPr>
              <w:spacing w:before="0" w:after="0" w:line="240" w:lineRule="auto"/>
              <w:jc w:val="center"/>
              <w:rPr>
                <w:color w:val="000000"/>
                <w:sz w:val="20"/>
                <w:szCs w:val="20"/>
              </w:rPr>
            </w:pPr>
            <w:r>
              <w:rPr>
                <w:color w:val="000000"/>
                <w:sz w:val="20"/>
                <w:szCs w:val="20"/>
              </w:rPr>
              <w:t>32</w:t>
            </w:r>
          </w:p>
        </w:tc>
        <w:tc>
          <w:tcPr>
            <w:tcW w:w="1085" w:type="dxa"/>
            <w:tcBorders>
              <w:top w:val="nil"/>
              <w:left w:val="nil"/>
              <w:bottom w:val="single" w:sz="4" w:space="0" w:color="000000"/>
              <w:right w:val="single" w:sz="4" w:space="0" w:color="000000"/>
            </w:tcBorders>
            <w:vAlign w:val="center"/>
          </w:tcPr>
          <w:p w14:paraId="5F84FAFC" w14:textId="77777777" w:rsidR="005472EF" w:rsidRDefault="00932FD2">
            <w:pPr>
              <w:spacing w:before="0" w:after="0" w:line="240" w:lineRule="auto"/>
              <w:jc w:val="center"/>
              <w:rPr>
                <w:color w:val="000000"/>
                <w:sz w:val="20"/>
                <w:szCs w:val="20"/>
              </w:rPr>
            </w:pPr>
            <w:r>
              <w:rPr>
                <w:color w:val="000000"/>
                <w:sz w:val="20"/>
                <w:szCs w:val="20"/>
              </w:rPr>
              <w:t>0</w:t>
            </w:r>
          </w:p>
        </w:tc>
        <w:tc>
          <w:tcPr>
            <w:tcW w:w="1163" w:type="dxa"/>
            <w:tcBorders>
              <w:top w:val="nil"/>
              <w:left w:val="nil"/>
              <w:bottom w:val="single" w:sz="4" w:space="0" w:color="000000"/>
              <w:right w:val="single" w:sz="4" w:space="0" w:color="000000"/>
            </w:tcBorders>
            <w:vAlign w:val="center"/>
          </w:tcPr>
          <w:p w14:paraId="0B9D7768" w14:textId="77777777" w:rsidR="005472EF" w:rsidRDefault="00932FD2">
            <w:pPr>
              <w:spacing w:before="0" w:after="0" w:line="240" w:lineRule="auto"/>
              <w:jc w:val="center"/>
              <w:rPr>
                <w:color w:val="000000"/>
                <w:sz w:val="20"/>
                <w:szCs w:val="20"/>
              </w:rPr>
            </w:pPr>
            <w:r>
              <w:rPr>
                <w:color w:val="000000"/>
                <w:sz w:val="20"/>
                <w:szCs w:val="20"/>
              </w:rPr>
              <w:t>0</w:t>
            </w:r>
          </w:p>
        </w:tc>
        <w:tc>
          <w:tcPr>
            <w:tcW w:w="1485" w:type="dxa"/>
            <w:tcBorders>
              <w:top w:val="nil"/>
              <w:left w:val="nil"/>
              <w:bottom w:val="single" w:sz="4" w:space="0" w:color="000000"/>
              <w:right w:val="single" w:sz="4" w:space="0" w:color="000000"/>
            </w:tcBorders>
            <w:vAlign w:val="center"/>
          </w:tcPr>
          <w:p w14:paraId="32FA8CCD" w14:textId="77777777" w:rsidR="005472EF" w:rsidRDefault="00932FD2">
            <w:pPr>
              <w:spacing w:before="0" w:after="0" w:line="240" w:lineRule="auto"/>
              <w:jc w:val="center"/>
              <w:rPr>
                <w:color w:val="000000"/>
                <w:sz w:val="20"/>
                <w:szCs w:val="20"/>
              </w:rPr>
            </w:pPr>
            <w:r>
              <w:rPr>
                <w:color w:val="000000"/>
                <w:sz w:val="20"/>
                <w:szCs w:val="20"/>
              </w:rPr>
              <w:t>0</w:t>
            </w:r>
          </w:p>
        </w:tc>
        <w:tc>
          <w:tcPr>
            <w:tcW w:w="1308" w:type="dxa"/>
            <w:tcBorders>
              <w:top w:val="nil"/>
              <w:left w:val="nil"/>
              <w:bottom w:val="single" w:sz="4" w:space="0" w:color="000000"/>
              <w:right w:val="single" w:sz="4" w:space="0" w:color="000000"/>
            </w:tcBorders>
            <w:vAlign w:val="center"/>
          </w:tcPr>
          <w:p w14:paraId="50F85AE8" w14:textId="77777777" w:rsidR="005472EF" w:rsidRDefault="00932FD2">
            <w:pPr>
              <w:spacing w:before="0" w:after="0" w:line="240" w:lineRule="auto"/>
              <w:jc w:val="center"/>
              <w:rPr>
                <w:color w:val="000000"/>
                <w:sz w:val="20"/>
                <w:szCs w:val="20"/>
              </w:rPr>
            </w:pPr>
            <w:r>
              <w:rPr>
                <w:color w:val="000000"/>
                <w:sz w:val="20"/>
                <w:szCs w:val="20"/>
              </w:rPr>
              <w:t>0</w:t>
            </w:r>
          </w:p>
        </w:tc>
      </w:tr>
      <w:tr w:rsidR="005472EF" w14:paraId="487045D8" w14:textId="77777777">
        <w:trPr>
          <w:trHeight w:val="180"/>
        </w:trPr>
        <w:tc>
          <w:tcPr>
            <w:tcW w:w="1618" w:type="dxa"/>
            <w:tcBorders>
              <w:top w:val="nil"/>
              <w:left w:val="single" w:sz="4" w:space="0" w:color="000000"/>
              <w:bottom w:val="single" w:sz="4" w:space="0" w:color="000000"/>
              <w:right w:val="single" w:sz="4" w:space="0" w:color="000000"/>
            </w:tcBorders>
            <w:shd w:val="clear" w:color="auto" w:fill="808080"/>
            <w:vAlign w:val="center"/>
          </w:tcPr>
          <w:p w14:paraId="1EC71802" w14:textId="77777777" w:rsidR="005472EF" w:rsidRDefault="00932FD2">
            <w:pPr>
              <w:spacing w:before="0" w:after="0" w:line="240" w:lineRule="auto"/>
              <w:jc w:val="left"/>
              <w:rPr>
                <w:b/>
                <w:color w:val="000000"/>
                <w:sz w:val="20"/>
                <w:szCs w:val="20"/>
              </w:rPr>
            </w:pPr>
            <w:r>
              <w:rPr>
                <w:b/>
                <w:color w:val="000000"/>
                <w:sz w:val="20"/>
                <w:szCs w:val="20"/>
              </w:rPr>
              <w:t>Zambézia</w:t>
            </w:r>
          </w:p>
        </w:tc>
        <w:tc>
          <w:tcPr>
            <w:tcW w:w="763" w:type="dxa"/>
            <w:tcBorders>
              <w:top w:val="nil"/>
              <w:left w:val="nil"/>
              <w:bottom w:val="single" w:sz="4" w:space="0" w:color="000000"/>
              <w:right w:val="single" w:sz="4" w:space="0" w:color="000000"/>
            </w:tcBorders>
            <w:vAlign w:val="center"/>
          </w:tcPr>
          <w:p w14:paraId="56F0BEA5" w14:textId="77777777" w:rsidR="005472EF" w:rsidRDefault="00932FD2">
            <w:pPr>
              <w:spacing w:before="0" w:after="0" w:line="240" w:lineRule="auto"/>
              <w:jc w:val="center"/>
              <w:rPr>
                <w:color w:val="000000"/>
                <w:sz w:val="20"/>
                <w:szCs w:val="20"/>
              </w:rPr>
            </w:pPr>
            <w:r>
              <w:rPr>
                <w:color w:val="000000"/>
                <w:sz w:val="20"/>
                <w:szCs w:val="20"/>
              </w:rPr>
              <w:t>0</w:t>
            </w:r>
          </w:p>
        </w:tc>
        <w:tc>
          <w:tcPr>
            <w:tcW w:w="963" w:type="dxa"/>
            <w:tcBorders>
              <w:top w:val="single" w:sz="4" w:space="0" w:color="000000"/>
              <w:left w:val="nil"/>
              <w:bottom w:val="single" w:sz="4" w:space="0" w:color="000000"/>
              <w:right w:val="single" w:sz="4" w:space="0" w:color="000000"/>
            </w:tcBorders>
            <w:vAlign w:val="center"/>
          </w:tcPr>
          <w:p w14:paraId="6CCEA970" w14:textId="77777777" w:rsidR="005472EF" w:rsidRDefault="00932FD2">
            <w:pPr>
              <w:spacing w:before="0" w:after="0" w:line="240" w:lineRule="auto"/>
              <w:jc w:val="center"/>
              <w:rPr>
                <w:color w:val="000000"/>
                <w:sz w:val="20"/>
                <w:szCs w:val="20"/>
              </w:rPr>
            </w:pPr>
            <w:r>
              <w:rPr>
                <w:color w:val="000000"/>
                <w:sz w:val="20"/>
                <w:szCs w:val="20"/>
              </w:rPr>
              <w:t>2</w:t>
            </w:r>
          </w:p>
        </w:tc>
        <w:tc>
          <w:tcPr>
            <w:tcW w:w="929" w:type="dxa"/>
            <w:tcBorders>
              <w:top w:val="nil"/>
              <w:left w:val="nil"/>
              <w:bottom w:val="single" w:sz="4" w:space="0" w:color="000000"/>
              <w:right w:val="single" w:sz="4" w:space="0" w:color="000000"/>
            </w:tcBorders>
            <w:vAlign w:val="center"/>
          </w:tcPr>
          <w:p w14:paraId="4F47244C" w14:textId="77777777" w:rsidR="005472EF" w:rsidRDefault="00932FD2">
            <w:pPr>
              <w:spacing w:before="0" w:after="0" w:line="240" w:lineRule="auto"/>
              <w:jc w:val="center"/>
              <w:rPr>
                <w:color w:val="000000"/>
                <w:sz w:val="20"/>
                <w:szCs w:val="20"/>
              </w:rPr>
            </w:pPr>
            <w:r>
              <w:rPr>
                <w:color w:val="000000"/>
                <w:sz w:val="20"/>
                <w:szCs w:val="20"/>
              </w:rPr>
              <w:t>0</w:t>
            </w:r>
          </w:p>
        </w:tc>
        <w:tc>
          <w:tcPr>
            <w:tcW w:w="701" w:type="dxa"/>
            <w:tcBorders>
              <w:top w:val="nil"/>
              <w:left w:val="nil"/>
              <w:bottom w:val="single" w:sz="4" w:space="0" w:color="000000"/>
              <w:right w:val="single" w:sz="4" w:space="0" w:color="000000"/>
            </w:tcBorders>
            <w:vAlign w:val="center"/>
          </w:tcPr>
          <w:p w14:paraId="77486620" w14:textId="77777777" w:rsidR="005472EF" w:rsidRDefault="00932FD2">
            <w:pPr>
              <w:spacing w:before="0" w:after="0" w:line="240" w:lineRule="auto"/>
              <w:jc w:val="center"/>
              <w:rPr>
                <w:color w:val="000000"/>
                <w:sz w:val="20"/>
                <w:szCs w:val="20"/>
              </w:rPr>
            </w:pPr>
            <w:r>
              <w:rPr>
                <w:color w:val="000000"/>
                <w:sz w:val="20"/>
                <w:szCs w:val="20"/>
              </w:rPr>
              <w:t>2</w:t>
            </w:r>
          </w:p>
        </w:tc>
        <w:tc>
          <w:tcPr>
            <w:tcW w:w="585" w:type="dxa"/>
            <w:tcBorders>
              <w:top w:val="nil"/>
              <w:left w:val="nil"/>
              <w:bottom w:val="single" w:sz="4" w:space="0" w:color="000000"/>
              <w:right w:val="single" w:sz="4" w:space="0" w:color="000000"/>
            </w:tcBorders>
            <w:vAlign w:val="center"/>
          </w:tcPr>
          <w:p w14:paraId="2F82D6C2" w14:textId="77777777" w:rsidR="005472EF" w:rsidRDefault="00932FD2">
            <w:pPr>
              <w:spacing w:before="0" w:after="0" w:line="240" w:lineRule="auto"/>
              <w:jc w:val="center"/>
              <w:rPr>
                <w:color w:val="000000"/>
                <w:sz w:val="20"/>
                <w:szCs w:val="20"/>
              </w:rPr>
            </w:pPr>
            <w:r>
              <w:rPr>
                <w:color w:val="000000"/>
                <w:sz w:val="20"/>
                <w:szCs w:val="20"/>
              </w:rPr>
              <w:t>19</w:t>
            </w:r>
          </w:p>
        </w:tc>
        <w:tc>
          <w:tcPr>
            <w:tcW w:w="1085" w:type="dxa"/>
            <w:tcBorders>
              <w:top w:val="nil"/>
              <w:left w:val="nil"/>
              <w:bottom w:val="single" w:sz="4" w:space="0" w:color="000000"/>
              <w:right w:val="single" w:sz="4" w:space="0" w:color="000000"/>
            </w:tcBorders>
            <w:vAlign w:val="center"/>
          </w:tcPr>
          <w:p w14:paraId="49759124" w14:textId="77777777" w:rsidR="005472EF" w:rsidRDefault="00932FD2">
            <w:pPr>
              <w:spacing w:before="0" w:after="0" w:line="240" w:lineRule="auto"/>
              <w:jc w:val="center"/>
              <w:rPr>
                <w:color w:val="000000"/>
                <w:sz w:val="20"/>
                <w:szCs w:val="20"/>
              </w:rPr>
            </w:pPr>
            <w:r>
              <w:rPr>
                <w:color w:val="000000"/>
                <w:sz w:val="20"/>
                <w:szCs w:val="20"/>
              </w:rPr>
              <w:t>2</w:t>
            </w:r>
          </w:p>
        </w:tc>
        <w:tc>
          <w:tcPr>
            <w:tcW w:w="1163" w:type="dxa"/>
            <w:tcBorders>
              <w:top w:val="nil"/>
              <w:left w:val="nil"/>
              <w:bottom w:val="single" w:sz="4" w:space="0" w:color="000000"/>
              <w:right w:val="single" w:sz="4" w:space="0" w:color="000000"/>
            </w:tcBorders>
            <w:vAlign w:val="center"/>
          </w:tcPr>
          <w:p w14:paraId="3E4DE28D" w14:textId="77777777" w:rsidR="005472EF" w:rsidRDefault="00932FD2">
            <w:pPr>
              <w:spacing w:before="0" w:after="0" w:line="240" w:lineRule="auto"/>
              <w:jc w:val="center"/>
              <w:rPr>
                <w:color w:val="000000"/>
                <w:sz w:val="20"/>
                <w:szCs w:val="20"/>
              </w:rPr>
            </w:pPr>
            <w:r>
              <w:rPr>
                <w:color w:val="000000"/>
                <w:sz w:val="20"/>
                <w:szCs w:val="20"/>
              </w:rPr>
              <w:t>0</w:t>
            </w:r>
          </w:p>
        </w:tc>
        <w:tc>
          <w:tcPr>
            <w:tcW w:w="1485" w:type="dxa"/>
            <w:tcBorders>
              <w:top w:val="nil"/>
              <w:left w:val="nil"/>
              <w:bottom w:val="single" w:sz="4" w:space="0" w:color="000000"/>
              <w:right w:val="single" w:sz="4" w:space="0" w:color="000000"/>
            </w:tcBorders>
            <w:vAlign w:val="center"/>
          </w:tcPr>
          <w:p w14:paraId="4CF91835" w14:textId="77777777" w:rsidR="005472EF" w:rsidRDefault="00932FD2">
            <w:pPr>
              <w:spacing w:before="0" w:after="0" w:line="240" w:lineRule="auto"/>
              <w:jc w:val="center"/>
              <w:rPr>
                <w:color w:val="000000"/>
                <w:sz w:val="20"/>
                <w:szCs w:val="20"/>
              </w:rPr>
            </w:pPr>
            <w:r>
              <w:rPr>
                <w:color w:val="000000"/>
                <w:sz w:val="20"/>
                <w:szCs w:val="20"/>
              </w:rPr>
              <w:t>0</w:t>
            </w:r>
          </w:p>
        </w:tc>
        <w:tc>
          <w:tcPr>
            <w:tcW w:w="1308" w:type="dxa"/>
            <w:tcBorders>
              <w:top w:val="nil"/>
              <w:left w:val="nil"/>
              <w:bottom w:val="single" w:sz="4" w:space="0" w:color="000000"/>
              <w:right w:val="single" w:sz="4" w:space="0" w:color="000000"/>
            </w:tcBorders>
            <w:vAlign w:val="center"/>
          </w:tcPr>
          <w:p w14:paraId="0B22930E" w14:textId="77777777" w:rsidR="005472EF" w:rsidRDefault="00932FD2">
            <w:pPr>
              <w:spacing w:before="0" w:after="0" w:line="240" w:lineRule="auto"/>
              <w:jc w:val="center"/>
              <w:rPr>
                <w:color w:val="000000"/>
                <w:sz w:val="20"/>
                <w:szCs w:val="20"/>
              </w:rPr>
            </w:pPr>
            <w:r>
              <w:rPr>
                <w:color w:val="000000"/>
                <w:sz w:val="20"/>
                <w:szCs w:val="20"/>
              </w:rPr>
              <w:t>0</w:t>
            </w:r>
          </w:p>
        </w:tc>
      </w:tr>
      <w:tr w:rsidR="005472EF" w14:paraId="1D08D5C3" w14:textId="77777777">
        <w:trPr>
          <w:trHeight w:val="180"/>
        </w:trPr>
        <w:tc>
          <w:tcPr>
            <w:tcW w:w="1618" w:type="dxa"/>
            <w:tcBorders>
              <w:top w:val="nil"/>
              <w:left w:val="single" w:sz="4" w:space="0" w:color="000000"/>
              <w:bottom w:val="single" w:sz="4" w:space="0" w:color="000000"/>
              <w:right w:val="single" w:sz="4" w:space="0" w:color="000000"/>
            </w:tcBorders>
            <w:shd w:val="clear" w:color="auto" w:fill="808080"/>
            <w:vAlign w:val="center"/>
          </w:tcPr>
          <w:p w14:paraId="16344D6F" w14:textId="77777777" w:rsidR="005472EF" w:rsidRDefault="00932FD2">
            <w:pPr>
              <w:spacing w:before="0" w:after="0" w:line="240" w:lineRule="auto"/>
              <w:jc w:val="left"/>
              <w:rPr>
                <w:b/>
                <w:color w:val="000000"/>
                <w:sz w:val="20"/>
                <w:szCs w:val="20"/>
              </w:rPr>
            </w:pPr>
            <w:r>
              <w:rPr>
                <w:b/>
                <w:color w:val="000000"/>
                <w:sz w:val="20"/>
                <w:szCs w:val="20"/>
              </w:rPr>
              <w:t>Tete</w:t>
            </w:r>
          </w:p>
        </w:tc>
        <w:tc>
          <w:tcPr>
            <w:tcW w:w="763" w:type="dxa"/>
            <w:tcBorders>
              <w:top w:val="nil"/>
              <w:left w:val="nil"/>
              <w:bottom w:val="single" w:sz="4" w:space="0" w:color="000000"/>
              <w:right w:val="single" w:sz="4" w:space="0" w:color="000000"/>
            </w:tcBorders>
            <w:vAlign w:val="center"/>
          </w:tcPr>
          <w:p w14:paraId="6F8B4641" w14:textId="77777777" w:rsidR="005472EF" w:rsidRDefault="00932FD2">
            <w:pPr>
              <w:spacing w:before="0" w:after="0" w:line="240" w:lineRule="auto"/>
              <w:jc w:val="center"/>
              <w:rPr>
                <w:color w:val="000000"/>
                <w:sz w:val="20"/>
                <w:szCs w:val="20"/>
              </w:rPr>
            </w:pPr>
            <w:r>
              <w:rPr>
                <w:color w:val="000000"/>
                <w:sz w:val="20"/>
                <w:szCs w:val="20"/>
              </w:rPr>
              <w:t>0</w:t>
            </w:r>
          </w:p>
        </w:tc>
        <w:tc>
          <w:tcPr>
            <w:tcW w:w="963" w:type="dxa"/>
            <w:tcBorders>
              <w:top w:val="nil"/>
              <w:left w:val="nil"/>
              <w:bottom w:val="single" w:sz="4" w:space="0" w:color="000000"/>
              <w:right w:val="single" w:sz="4" w:space="0" w:color="000000"/>
            </w:tcBorders>
            <w:vAlign w:val="center"/>
          </w:tcPr>
          <w:p w14:paraId="4D132EE3" w14:textId="77777777" w:rsidR="005472EF" w:rsidRDefault="00932FD2">
            <w:pPr>
              <w:spacing w:before="0" w:after="0" w:line="240" w:lineRule="auto"/>
              <w:jc w:val="center"/>
              <w:rPr>
                <w:color w:val="000000"/>
                <w:sz w:val="20"/>
                <w:szCs w:val="20"/>
              </w:rPr>
            </w:pPr>
            <w:r>
              <w:rPr>
                <w:color w:val="000000"/>
                <w:sz w:val="20"/>
                <w:szCs w:val="20"/>
              </w:rPr>
              <w:t>8</w:t>
            </w:r>
          </w:p>
        </w:tc>
        <w:tc>
          <w:tcPr>
            <w:tcW w:w="929" w:type="dxa"/>
            <w:tcBorders>
              <w:top w:val="nil"/>
              <w:left w:val="nil"/>
              <w:bottom w:val="single" w:sz="4" w:space="0" w:color="000000"/>
              <w:right w:val="single" w:sz="4" w:space="0" w:color="000000"/>
            </w:tcBorders>
            <w:vAlign w:val="center"/>
          </w:tcPr>
          <w:p w14:paraId="73FA9D4B" w14:textId="77777777" w:rsidR="005472EF" w:rsidRDefault="00932FD2">
            <w:pPr>
              <w:spacing w:before="0" w:after="0" w:line="240" w:lineRule="auto"/>
              <w:jc w:val="center"/>
              <w:rPr>
                <w:color w:val="000000"/>
                <w:sz w:val="20"/>
                <w:szCs w:val="20"/>
              </w:rPr>
            </w:pPr>
            <w:r>
              <w:rPr>
                <w:color w:val="000000"/>
                <w:sz w:val="20"/>
                <w:szCs w:val="20"/>
              </w:rPr>
              <w:t>0</w:t>
            </w:r>
          </w:p>
        </w:tc>
        <w:tc>
          <w:tcPr>
            <w:tcW w:w="701" w:type="dxa"/>
            <w:tcBorders>
              <w:top w:val="nil"/>
              <w:left w:val="nil"/>
              <w:bottom w:val="single" w:sz="4" w:space="0" w:color="000000"/>
              <w:right w:val="single" w:sz="4" w:space="0" w:color="000000"/>
            </w:tcBorders>
            <w:vAlign w:val="center"/>
          </w:tcPr>
          <w:p w14:paraId="7071367C" w14:textId="77777777" w:rsidR="005472EF" w:rsidRDefault="00932FD2">
            <w:pPr>
              <w:spacing w:before="0" w:after="0" w:line="240" w:lineRule="auto"/>
              <w:jc w:val="center"/>
              <w:rPr>
                <w:color w:val="000000"/>
                <w:sz w:val="20"/>
                <w:szCs w:val="20"/>
              </w:rPr>
            </w:pPr>
            <w:r>
              <w:rPr>
                <w:color w:val="000000"/>
                <w:sz w:val="20"/>
                <w:szCs w:val="20"/>
              </w:rPr>
              <w:t>8</w:t>
            </w:r>
          </w:p>
        </w:tc>
        <w:tc>
          <w:tcPr>
            <w:tcW w:w="585" w:type="dxa"/>
            <w:tcBorders>
              <w:top w:val="nil"/>
              <w:left w:val="nil"/>
              <w:bottom w:val="single" w:sz="4" w:space="0" w:color="000000"/>
              <w:right w:val="single" w:sz="4" w:space="0" w:color="000000"/>
            </w:tcBorders>
            <w:vAlign w:val="center"/>
          </w:tcPr>
          <w:p w14:paraId="42443725" w14:textId="77777777" w:rsidR="005472EF" w:rsidRDefault="00932FD2">
            <w:pPr>
              <w:spacing w:before="0" w:after="0" w:line="240" w:lineRule="auto"/>
              <w:jc w:val="center"/>
              <w:rPr>
                <w:color w:val="000000"/>
                <w:sz w:val="20"/>
                <w:szCs w:val="20"/>
              </w:rPr>
            </w:pPr>
            <w:r>
              <w:rPr>
                <w:color w:val="000000"/>
                <w:sz w:val="20"/>
                <w:szCs w:val="20"/>
              </w:rPr>
              <w:t>8</w:t>
            </w:r>
          </w:p>
        </w:tc>
        <w:tc>
          <w:tcPr>
            <w:tcW w:w="1085" w:type="dxa"/>
            <w:tcBorders>
              <w:top w:val="nil"/>
              <w:left w:val="nil"/>
              <w:bottom w:val="single" w:sz="4" w:space="0" w:color="000000"/>
              <w:right w:val="single" w:sz="4" w:space="0" w:color="000000"/>
            </w:tcBorders>
            <w:vAlign w:val="center"/>
          </w:tcPr>
          <w:p w14:paraId="4E046945" w14:textId="77777777" w:rsidR="005472EF" w:rsidRDefault="00932FD2">
            <w:pPr>
              <w:spacing w:before="0" w:after="0" w:line="240" w:lineRule="auto"/>
              <w:jc w:val="center"/>
              <w:rPr>
                <w:color w:val="000000"/>
                <w:sz w:val="20"/>
                <w:szCs w:val="20"/>
              </w:rPr>
            </w:pPr>
            <w:r>
              <w:rPr>
                <w:color w:val="000000"/>
                <w:sz w:val="20"/>
                <w:szCs w:val="20"/>
              </w:rPr>
              <w:t>7</w:t>
            </w:r>
          </w:p>
        </w:tc>
        <w:tc>
          <w:tcPr>
            <w:tcW w:w="1163" w:type="dxa"/>
            <w:tcBorders>
              <w:top w:val="nil"/>
              <w:left w:val="nil"/>
              <w:bottom w:val="single" w:sz="4" w:space="0" w:color="000000"/>
              <w:right w:val="single" w:sz="4" w:space="0" w:color="000000"/>
            </w:tcBorders>
            <w:vAlign w:val="center"/>
          </w:tcPr>
          <w:p w14:paraId="1A476C50" w14:textId="77777777" w:rsidR="005472EF" w:rsidRDefault="00932FD2">
            <w:pPr>
              <w:spacing w:before="0" w:after="0" w:line="240" w:lineRule="auto"/>
              <w:jc w:val="center"/>
              <w:rPr>
                <w:color w:val="000000"/>
                <w:sz w:val="20"/>
                <w:szCs w:val="20"/>
              </w:rPr>
            </w:pPr>
            <w:r>
              <w:rPr>
                <w:color w:val="000000"/>
                <w:sz w:val="20"/>
                <w:szCs w:val="20"/>
              </w:rPr>
              <w:t>0</w:t>
            </w:r>
          </w:p>
        </w:tc>
        <w:tc>
          <w:tcPr>
            <w:tcW w:w="1485" w:type="dxa"/>
            <w:tcBorders>
              <w:top w:val="nil"/>
              <w:left w:val="nil"/>
              <w:bottom w:val="single" w:sz="4" w:space="0" w:color="000000"/>
              <w:right w:val="single" w:sz="4" w:space="0" w:color="000000"/>
            </w:tcBorders>
            <w:vAlign w:val="center"/>
          </w:tcPr>
          <w:p w14:paraId="4112F049" w14:textId="77777777" w:rsidR="005472EF" w:rsidRDefault="00932FD2">
            <w:pPr>
              <w:spacing w:before="0" w:after="0" w:line="240" w:lineRule="auto"/>
              <w:jc w:val="center"/>
              <w:rPr>
                <w:color w:val="000000"/>
                <w:sz w:val="20"/>
                <w:szCs w:val="20"/>
              </w:rPr>
            </w:pPr>
            <w:r>
              <w:rPr>
                <w:color w:val="000000"/>
                <w:sz w:val="20"/>
                <w:szCs w:val="20"/>
              </w:rPr>
              <w:t>0</w:t>
            </w:r>
          </w:p>
        </w:tc>
        <w:tc>
          <w:tcPr>
            <w:tcW w:w="1308" w:type="dxa"/>
            <w:tcBorders>
              <w:top w:val="nil"/>
              <w:left w:val="nil"/>
              <w:bottom w:val="single" w:sz="4" w:space="0" w:color="000000"/>
              <w:right w:val="single" w:sz="4" w:space="0" w:color="000000"/>
            </w:tcBorders>
            <w:vAlign w:val="center"/>
          </w:tcPr>
          <w:p w14:paraId="0E98F557" w14:textId="77777777" w:rsidR="005472EF" w:rsidRDefault="00932FD2">
            <w:pPr>
              <w:spacing w:before="0" w:after="0" w:line="240" w:lineRule="auto"/>
              <w:jc w:val="center"/>
              <w:rPr>
                <w:color w:val="000000"/>
                <w:sz w:val="20"/>
                <w:szCs w:val="20"/>
              </w:rPr>
            </w:pPr>
            <w:r>
              <w:rPr>
                <w:color w:val="000000"/>
                <w:sz w:val="20"/>
                <w:szCs w:val="20"/>
              </w:rPr>
              <w:t>0</w:t>
            </w:r>
          </w:p>
        </w:tc>
      </w:tr>
      <w:tr w:rsidR="005472EF" w14:paraId="4625F89D" w14:textId="77777777">
        <w:trPr>
          <w:trHeight w:val="180"/>
        </w:trPr>
        <w:tc>
          <w:tcPr>
            <w:tcW w:w="1618" w:type="dxa"/>
            <w:tcBorders>
              <w:top w:val="nil"/>
              <w:left w:val="single" w:sz="4" w:space="0" w:color="000000"/>
              <w:bottom w:val="single" w:sz="4" w:space="0" w:color="000000"/>
              <w:right w:val="single" w:sz="4" w:space="0" w:color="000000"/>
            </w:tcBorders>
            <w:shd w:val="clear" w:color="auto" w:fill="808080"/>
            <w:vAlign w:val="center"/>
          </w:tcPr>
          <w:p w14:paraId="76FD546E" w14:textId="77777777" w:rsidR="005472EF" w:rsidRDefault="00932FD2">
            <w:pPr>
              <w:spacing w:before="0" w:after="0" w:line="240" w:lineRule="auto"/>
              <w:jc w:val="left"/>
              <w:rPr>
                <w:b/>
                <w:color w:val="000000"/>
                <w:sz w:val="20"/>
                <w:szCs w:val="20"/>
              </w:rPr>
            </w:pPr>
            <w:r>
              <w:rPr>
                <w:b/>
                <w:color w:val="000000"/>
                <w:sz w:val="20"/>
                <w:szCs w:val="20"/>
              </w:rPr>
              <w:t>Manica</w:t>
            </w:r>
          </w:p>
        </w:tc>
        <w:tc>
          <w:tcPr>
            <w:tcW w:w="763" w:type="dxa"/>
            <w:tcBorders>
              <w:top w:val="nil"/>
              <w:left w:val="nil"/>
              <w:bottom w:val="single" w:sz="4" w:space="0" w:color="000000"/>
              <w:right w:val="single" w:sz="4" w:space="0" w:color="000000"/>
            </w:tcBorders>
            <w:vAlign w:val="center"/>
          </w:tcPr>
          <w:p w14:paraId="6F9D01CF" w14:textId="77777777" w:rsidR="005472EF" w:rsidRDefault="00932FD2">
            <w:pPr>
              <w:spacing w:before="0" w:after="0" w:line="240" w:lineRule="auto"/>
              <w:jc w:val="center"/>
              <w:rPr>
                <w:color w:val="000000"/>
                <w:sz w:val="20"/>
                <w:szCs w:val="20"/>
              </w:rPr>
            </w:pPr>
            <w:r>
              <w:rPr>
                <w:color w:val="000000"/>
                <w:sz w:val="20"/>
                <w:szCs w:val="20"/>
              </w:rPr>
              <w:t>0</w:t>
            </w:r>
          </w:p>
        </w:tc>
        <w:tc>
          <w:tcPr>
            <w:tcW w:w="963" w:type="dxa"/>
            <w:tcBorders>
              <w:top w:val="nil"/>
              <w:left w:val="nil"/>
              <w:bottom w:val="single" w:sz="4" w:space="0" w:color="000000"/>
              <w:right w:val="single" w:sz="4" w:space="0" w:color="000000"/>
            </w:tcBorders>
            <w:vAlign w:val="center"/>
          </w:tcPr>
          <w:p w14:paraId="755B5A28" w14:textId="77777777" w:rsidR="005472EF" w:rsidRDefault="00932FD2">
            <w:pPr>
              <w:spacing w:before="0" w:after="0" w:line="240" w:lineRule="auto"/>
              <w:jc w:val="center"/>
              <w:rPr>
                <w:color w:val="000000"/>
                <w:sz w:val="20"/>
                <w:szCs w:val="20"/>
              </w:rPr>
            </w:pPr>
            <w:r>
              <w:rPr>
                <w:color w:val="000000"/>
                <w:sz w:val="20"/>
                <w:szCs w:val="20"/>
              </w:rPr>
              <w:t>1</w:t>
            </w:r>
          </w:p>
        </w:tc>
        <w:tc>
          <w:tcPr>
            <w:tcW w:w="929" w:type="dxa"/>
            <w:tcBorders>
              <w:top w:val="nil"/>
              <w:left w:val="nil"/>
              <w:bottom w:val="single" w:sz="4" w:space="0" w:color="000000"/>
              <w:right w:val="single" w:sz="4" w:space="0" w:color="000000"/>
            </w:tcBorders>
            <w:vAlign w:val="center"/>
          </w:tcPr>
          <w:p w14:paraId="4C9EA964" w14:textId="77777777" w:rsidR="005472EF" w:rsidRDefault="00932FD2">
            <w:pPr>
              <w:spacing w:before="0" w:after="0" w:line="240" w:lineRule="auto"/>
              <w:jc w:val="center"/>
              <w:rPr>
                <w:color w:val="000000"/>
                <w:sz w:val="20"/>
                <w:szCs w:val="20"/>
              </w:rPr>
            </w:pPr>
            <w:r>
              <w:rPr>
                <w:color w:val="000000"/>
                <w:sz w:val="20"/>
                <w:szCs w:val="20"/>
              </w:rPr>
              <w:t>0</w:t>
            </w:r>
          </w:p>
        </w:tc>
        <w:tc>
          <w:tcPr>
            <w:tcW w:w="701" w:type="dxa"/>
            <w:tcBorders>
              <w:top w:val="nil"/>
              <w:left w:val="nil"/>
              <w:bottom w:val="single" w:sz="4" w:space="0" w:color="000000"/>
              <w:right w:val="single" w:sz="4" w:space="0" w:color="000000"/>
            </w:tcBorders>
            <w:vAlign w:val="center"/>
          </w:tcPr>
          <w:p w14:paraId="7DD53AB7" w14:textId="77777777" w:rsidR="005472EF" w:rsidRDefault="00932FD2">
            <w:pPr>
              <w:spacing w:before="0" w:after="0" w:line="240" w:lineRule="auto"/>
              <w:jc w:val="center"/>
              <w:rPr>
                <w:color w:val="000000"/>
                <w:sz w:val="20"/>
                <w:szCs w:val="20"/>
              </w:rPr>
            </w:pPr>
            <w:r>
              <w:rPr>
                <w:color w:val="000000"/>
                <w:sz w:val="20"/>
                <w:szCs w:val="20"/>
              </w:rPr>
              <w:t>1</w:t>
            </w:r>
          </w:p>
        </w:tc>
        <w:tc>
          <w:tcPr>
            <w:tcW w:w="585" w:type="dxa"/>
            <w:tcBorders>
              <w:top w:val="nil"/>
              <w:left w:val="nil"/>
              <w:bottom w:val="single" w:sz="4" w:space="0" w:color="000000"/>
              <w:right w:val="single" w:sz="4" w:space="0" w:color="000000"/>
            </w:tcBorders>
            <w:vAlign w:val="center"/>
          </w:tcPr>
          <w:p w14:paraId="783A7311" w14:textId="77777777" w:rsidR="005472EF" w:rsidRDefault="00932FD2">
            <w:pPr>
              <w:spacing w:before="0" w:after="0" w:line="240" w:lineRule="auto"/>
              <w:jc w:val="center"/>
              <w:rPr>
                <w:color w:val="000000"/>
                <w:sz w:val="20"/>
                <w:szCs w:val="20"/>
              </w:rPr>
            </w:pPr>
            <w:r>
              <w:rPr>
                <w:color w:val="000000"/>
                <w:sz w:val="20"/>
                <w:szCs w:val="20"/>
              </w:rPr>
              <w:t>2</w:t>
            </w:r>
          </w:p>
        </w:tc>
        <w:tc>
          <w:tcPr>
            <w:tcW w:w="1085" w:type="dxa"/>
            <w:tcBorders>
              <w:top w:val="nil"/>
              <w:left w:val="nil"/>
              <w:bottom w:val="single" w:sz="4" w:space="0" w:color="000000"/>
              <w:right w:val="single" w:sz="4" w:space="0" w:color="000000"/>
            </w:tcBorders>
            <w:vAlign w:val="center"/>
          </w:tcPr>
          <w:p w14:paraId="755D454A" w14:textId="77777777" w:rsidR="005472EF" w:rsidRDefault="00932FD2">
            <w:pPr>
              <w:spacing w:before="0" w:after="0" w:line="240" w:lineRule="auto"/>
              <w:jc w:val="center"/>
              <w:rPr>
                <w:color w:val="000000"/>
                <w:sz w:val="20"/>
                <w:szCs w:val="20"/>
              </w:rPr>
            </w:pPr>
            <w:r>
              <w:rPr>
                <w:color w:val="000000"/>
                <w:sz w:val="20"/>
                <w:szCs w:val="20"/>
              </w:rPr>
              <w:t>1</w:t>
            </w:r>
          </w:p>
        </w:tc>
        <w:tc>
          <w:tcPr>
            <w:tcW w:w="1163" w:type="dxa"/>
            <w:tcBorders>
              <w:top w:val="nil"/>
              <w:left w:val="nil"/>
              <w:bottom w:val="single" w:sz="4" w:space="0" w:color="000000"/>
              <w:right w:val="single" w:sz="4" w:space="0" w:color="000000"/>
            </w:tcBorders>
            <w:vAlign w:val="center"/>
          </w:tcPr>
          <w:p w14:paraId="16381A4D" w14:textId="77777777" w:rsidR="005472EF" w:rsidRDefault="00932FD2">
            <w:pPr>
              <w:spacing w:before="0" w:after="0" w:line="240" w:lineRule="auto"/>
              <w:jc w:val="center"/>
              <w:rPr>
                <w:color w:val="000000"/>
                <w:sz w:val="20"/>
                <w:szCs w:val="20"/>
              </w:rPr>
            </w:pPr>
            <w:r>
              <w:rPr>
                <w:color w:val="000000"/>
                <w:sz w:val="20"/>
                <w:szCs w:val="20"/>
              </w:rPr>
              <w:t>0</w:t>
            </w:r>
          </w:p>
        </w:tc>
        <w:tc>
          <w:tcPr>
            <w:tcW w:w="1485" w:type="dxa"/>
            <w:tcBorders>
              <w:top w:val="nil"/>
              <w:left w:val="nil"/>
              <w:bottom w:val="single" w:sz="4" w:space="0" w:color="000000"/>
              <w:right w:val="single" w:sz="4" w:space="0" w:color="000000"/>
            </w:tcBorders>
            <w:vAlign w:val="center"/>
          </w:tcPr>
          <w:p w14:paraId="0155BD8A" w14:textId="77777777" w:rsidR="005472EF" w:rsidRDefault="00932FD2">
            <w:pPr>
              <w:spacing w:before="0" w:after="0" w:line="240" w:lineRule="auto"/>
              <w:jc w:val="center"/>
              <w:rPr>
                <w:color w:val="000000"/>
                <w:sz w:val="20"/>
                <w:szCs w:val="20"/>
              </w:rPr>
            </w:pPr>
            <w:r>
              <w:rPr>
                <w:color w:val="000000"/>
                <w:sz w:val="20"/>
                <w:szCs w:val="20"/>
              </w:rPr>
              <w:t>0</w:t>
            </w:r>
          </w:p>
        </w:tc>
        <w:tc>
          <w:tcPr>
            <w:tcW w:w="1308" w:type="dxa"/>
            <w:tcBorders>
              <w:top w:val="nil"/>
              <w:left w:val="nil"/>
              <w:bottom w:val="single" w:sz="4" w:space="0" w:color="000000"/>
              <w:right w:val="single" w:sz="4" w:space="0" w:color="000000"/>
            </w:tcBorders>
            <w:vAlign w:val="center"/>
          </w:tcPr>
          <w:p w14:paraId="51550823" w14:textId="77777777" w:rsidR="005472EF" w:rsidRDefault="00932FD2">
            <w:pPr>
              <w:spacing w:before="0" w:after="0" w:line="240" w:lineRule="auto"/>
              <w:jc w:val="center"/>
              <w:rPr>
                <w:color w:val="000000"/>
                <w:sz w:val="20"/>
                <w:szCs w:val="20"/>
              </w:rPr>
            </w:pPr>
            <w:r>
              <w:rPr>
                <w:color w:val="000000"/>
                <w:sz w:val="20"/>
                <w:szCs w:val="20"/>
              </w:rPr>
              <w:t>1</w:t>
            </w:r>
          </w:p>
        </w:tc>
      </w:tr>
      <w:tr w:rsidR="005472EF" w14:paraId="09BFE4B6" w14:textId="77777777">
        <w:trPr>
          <w:trHeight w:val="180"/>
        </w:trPr>
        <w:tc>
          <w:tcPr>
            <w:tcW w:w="1618" w:type="dxa"/>
            <w:tcBorders>
              <w:top w:val="nil"/>
              <w:left w:val="single" w:sz="4" w:space="0" w:color="000000"/>
              <w:bottom w:val="single" w:sz="4" w:space="0" w:color="000000"/>
              <w:right w:val="single" w:sz="4" w:space="0" w:color="000000"/>
            </w:tcBorders>
            <w:shd w:val="clear" w:color="auto" w:fill="808080"/>
            <w:vAlign w:val="center"/>
          </w:tcPr>
          <w:p w14:paraId="39BF726E" w14:textId="77777777" w:rsidR="005472EF" w:rsidRDefault="00932FD2">
            <w:pPr>
              <w:spacing w:before="0" w:after="0" w:line="240" w:lineRule="auto"/>
              <w:jc w:val="left"/>
              <w:rPr>
                <w:b/>
                <w:color w:val="000000"/>
                <w:sz w:val="20"/>
                <w:szCs w:val="20"/>
              </w:rPr>
            </w:pPr>
            <w:proofErr w:type="spellStart"/>
            <w:r>
              <w:rPr>
                <w:b/>
                <w:color w:val="000000"/>
                <w:sz w:val="20"/>
                <w:szCs w:val="20"/>
              </w:rPr>
              <w:t>Sofala</w:t>
            </w:r>
            <w:proofErr w:type="spellEnd"/>
          </w:p>
        </w:tc>
        <w:tc>
          <w:tcPr>
            <w:tcW w:w="763" w:type="dxa"/>
            <w:tcBorders>
              <w:top w:val="nil"/>
              <w:left w:val="nil"/>
              <w:bottom w:val="single" w:sz="4" w:space="0" w:color="000000"/>
              <w:right w:val="single" w:sz="4" w:space="0" w:color="000000"/>
            </w:tcBorders>
            <w:vAlign w:val="center"/>
          </w:tcPr>
          <w:p w14:paraId="0095C62C" w14:textId="77777777" w:rsidR="005472EF" w:rsidRDefault="00932FD2">
            <w:pPr>
              <w:spacing w:before="0" w:after="0" w:line="240" w:lineRule="auto"/>
              <w:jc w:val="center"/>
              <w:rPr>
                <w:color w:val="000000"/>
                <w:sz w:val="20"/>
                <w:szCs w:val="20"/>
              </w:rPr>
            </w:pPr>
            <w:r>
              <w:rPr>
                <w:color w:val="000000"/>
                <w:sz w:val="20"/>
                <w:szCs w:val="20"/>
              </w:rPr>
              <w:t>0</w:t>
            </w:r>
          </w:p>
        </w:tc>
        <w:tc>
          <w:tcPr>
            <w:tcW w:w="963" w:type="dxa"/>
            <w:tcBorders>
              <w:top w:val="nil"/>
              <w:left w:val="nil"/>
              <w:bottom w:val="single" w:sz="4" w:space="0" w:color="000000"/>
              <w:right w:val="single" w:sz="4" w:space="0" w:color="000000"/>
            </w:tcBorders>
            <w:vAlign w:val="center"/>
          </w:tcPr>
          <w:p w14:paraId="0CE04228" w14:textId="77777777" w:rsidR="005472EF" w:rsidRDefault="00932FD2">
            <w:pPr>
              <w:spacing w:before="0" w:after="0" w:line="240" w:lineRule="auto"/>
              <w:jc w:val="center"/>
              <w:rPr>
                <w:color w:val="000000"/>
                <w:sz w:val="20"/>
                <w:szCs w:val="20"/>
              </w:rPr>
            </w:pPr>
            <w:r>
              <w:rPr>
                <w:color w:val="000000"/>
                <w:sz w:val="20"/>
                <w:szCs w:val="20"/>
              </w:rPr>
              <w:t>1</w:t>
            </w:r>
          </w:p>
        </w:tc>
        <w:tc>
          <w:tcPr>
            <w:tcW w:w="929" w:type="dxa"/>
            <w:tcBorders>
              <w:top w:val="nil"/>
              <w:left w:val="nil"/>
              <w:bottom w:val="single" w:sz="4" w:space="0" w:color="000000"/>
              <w:right w:val="single" w:sz="4" w:space="0" w:color="000000"/>
            </w:tcBorders>
            <w:vAlign w:val="center"/>
          </w:tcPr>
          <w:p w14:paraId="1256A68B" w14:textId="77777777" w:rsidR="005472EF" w:rsidRDefault="00932FD2">
            <w:pPr>
              <w:spacing w:before="0" w:after="0" w:line="240" w:lineRule="auto"/>
              <w:jc w:val="center"/>
              <w:rPr>
                <w:color w:val="000000"/>
                <w:sz w:val="20"/>
                <w:szCs w:val="20"/>
              </w:rPr>
            </w:pPr>
            <w:r>
              <w:rPr>
                <w:color w:val="000000"/>
                <w:sz w:val="20"/>
                <w:szCs w:val="20"/>
              </w:rPr>
              <w:t>0</w:t>
            </w:r>
          </w:p>
        </w:tc>
        <w:tc>
          <w:tcPr>
            <w:tcW w:w="701" w:type="dxa"/>
            <w:tcBorders>
              <w:top w:val="nil"/>
              <w:left w:val="nil"/>
              <w:bottom w:val="single" w:sz="4" w:space="0" w:color="000000"/>
              <w:right w:val="single" w:sz="4" w:space="0" w:color="000000"/>
            </w:tcBorders>
            <w:vAlign w:val="center"/>
          </w:tcPr>
          <w:p w14:paraId="213FCF58" w14:textId="77777777" w:rsidR="005472EF" w:rsidRDefault="00932FD2">
            <w:pPr>
              <w:spacing w:before="0" w:after="0" w:line="240" w:lineRule="auto"/>
              <w:jc w:val="center"/>
              <w:rPr>
                <w:color w:val="000000"/>
                <w:sz w:val="20"/>
                <w:szCs w:val="20"/>
              </w:rPr>
            </w:pPr>
            <w:r>
              <w:rPr>
                <w:color w:val="000000"/>
                <w:sz w:val="20"/>
                <w:szCs w:val="20"/>
              </w:rPr>
              <w:t>1</w:t>
            </w:r>
          </w:p>
        </w:tc>
        <w:tc>
          <w:tcPr>
            <w:tcW w:w="585" w:type="dxa"/>
            <w:tcBorders>
              <w:top w:val="nil"/>
              <w:left w:val="nil"/>
              <w:bottom w:val="single" w:sz="4" w:space="0" w:color="000000"/>
              <w:right w:val="single" w:sz="4" w:space="0" w:color="000000"/>
            </w:tcBorders>
            <w:vAlign w:val="center"/>
          </w:tcPr>
          <w:p w14:paraId="28021E93" w14:textId="77777777" w:rsidR="005472EF" w:rsidRDefault="00932FD2">
            <w:pPr>
              <w:spacing w:before="0" w:after="0" w:line="240" w:lineRule="auto"/>
              <w:jc w:val="center"/>
              <w:rPr>
                <w:color w:val="000000"/>
                <w:sz w:val="20"/>
                <w:szCs w:val="20"/>
              </w:rPr>
            </w:pPr>
            <w:r>
              <w:rPr>
                <w:color w:val="000000"/>
                <w:sz w:val="20"/>
                <w:szCs w:val="20"/>
              </w:rPr>
              <w:t>7</w:t>
            </w:r>
          </w:p>
        </w:tc>
        <w:tc>
          <w:tcPr>
            <w:tcW w:w="1085" w:type="dxa"/>
            <w:tcBorders>
              <w:top w:val="nil"/>
              <w:left w:val="nil"/>
              <w:bottom w:val="single" w:sz="4" w:space="0" w:color="000000"/>
              <w:right w:val="single" w:sz="4" w:space="0" w:color="000000"/>
            </w:tcBorders>
            <w:vAlign w:val="center"/>
          </w:tcPr>
          <w:p w14:paraId="745BC70D" w14:textId="77777777" w:rsidR="005472EF" w:rsidRDefault="00932FD2">
            <w:pPr>
              <w:spacing w:before="0" w:after="0" w:line="240" w:lineRule="auto"/>
              <w:jc w:val="center"/>
              <w:rPr>
                <w:color w:val="000000"/>
                <w:sz w:val="20"/>
                <w:szCs w:val="20"/>
              </w:rPr>
            </w:pPr>
            <w:r>
              <w:rPr>
                <w:color w:val="000000"/>
                <w:sz w:val="20"/>
                <w:szCs w:val="20"/>
              </w:rPr>
              <w:t>1</w:t>
            </w:r>
          </w:p>
        </w:tc>
        <w:tc>
          <w:tcPr>
            <w:tcW w:w="1163" w:type="dxa"/>
            <w:tcBorders>
              <w:top w:val="nil"/>
              <w:left w:val="nil"/>
              <w:bottom w:val="single" w:sz="4" w:space="0" w:color="000000"/>
              <w:right w:val="single" w:sz="4" w:space="0" w:color="000000"/>
            </w:tcBorders>
            <w:vAlign w:val="center"/>
          </w:tcPr>
          <w:p w14:paraId="7FF03784" w14:textId="77777777" w:rsidR="005472EF" w:rsidRDefault="00932FD2">
            <w:pPr>
              <w:spacing w:before="0" w:after="0" w:line="240" w:lineRule="auto"/>
              <w:jc w:val="center"/>
              <w:rPr>
                <w:color w:val="000000"/>
                <w:sz w:val="20"/>
                <w:szCs w:val="20"/>
              </w:rPr>
            </w:pPr>
            <w:r>
              <w:rPr>
                <w:color w:val="000000"/>
                <w:sz w:val="20"/>
                <w:szCs w:val="20"/>
              </w:rPr>
              <w:t>0</w:t>
            </w:r>
          </w:p>
        </w:tc>
        <w:tc>
          <w:tcPr>
            <w:tcW w:w="1485" w:type="dxa"/>
            <w:tcBorders>
              <w:top w:val="nil"/>
              <w:left w:val="nil"/>
              <w:bottom w:val="single" w:sz="4" w:space="0" w:color="000000"/>
              <w:right w:val="single" w:sz="4" w:space="0" w:color="000000"/>
            </w:tcBorders>
            <w:vAlign w:val="center"/>
          </w:tcPr>
          <w:p w14:paraId="3D8EB9DD" w14:textId="77777777" w:rsidR="005472EF" w:rsidRDefault="00932FD2">
            <w:pPr>
              <w:spacing w:before="0" w:after="0" w:line="240" w:lineRule="auto"/>
              <w:jc w:val="center"/>
              <w:rPr>
                <w:color w:val="000000"/>
                <w:sz w:val="20"/>
                <w:szCs w:val="20"/>
              </w:rPr>
            </w:pPr>
            <w:r>
              <w:rPr>
                <w:color w:val="000000"/>
                <w:sz w:val="20"/>
                <w:szCs w:val="20"/>
              </w:rPr>
              <w:t>0</w:t>
            </w:r>
          </w:p>
        </w:tc>
        <w:tc>
          <w:tcPr>
            <w:tcW w:w="1308" w:type="dxa"/>
            <w:tcBorders>
              <w:top w:val="nil"/>
              <w:left w:val="nil"/>
              <w:bottom w:val="single" w:sz="4" w:space="0" w:color="000000"/>
              <w:right w:val="single" w:sz="4" w:space="0" w:color="000000"/>
            </w:tcBorders>
            <w:vAlign w:val="center"/>
          </w:tcPr>
          <w:p w14:paraId="277D3751" w14:textId="77777777" w:rsidR="005472EF" w:rsidRDefault="00932FD2">
            <w:pPr>
              <w:spacing w:before="0" w:after="0" w:line="240" w:lineRule="auto"/>
              <w:jc w:val="center"/>
              <w:rPr>
                <w:color w:val="000000"/>
                <w:sz w:val="20"/>
                <w:szCs w:val="20"/>
              </w:rPr>
            </w:pPr>
            <w:r>
              <w:rPr>
                <w:color w:val="000000"/>
                <w:sz w:val="20"/>
                <w:szCs w:val="20"/>
              </w:rPr>
              <w:t>0</w:t>
            </w:r>
          </w:p>
        </w:tc>
      </w:tr>
      <w:tr w:rsidR="005472EF" w14:paraId="27AED9D5" w14:textId="77777777">
        <w:trPr>
          <w:trHeight w:val="180"/>
        </w:trPr>
        <w:tc>
          <w:tcPr>
            <w:tcW w:w="1618" w:type="dxa"/>
            <w:tcBorders>
              <w:top w:val="nil"/>
              <w:left w:val="single" w:sz="4" w:space="0" w:color="000000"/>
              <w:bottom w:val="single" w:sz="4" w:space="0" w:color="000000"/>
              <w:right w:val="single" w:sz="4" w:space="0" w:color="000000"/>
            </w:tcBorders>
            <w:shd w:val="clear" w:color="auto" w:fill="808080"/>
            <w:vAlign w:val="center"/>
          </w:tcPr>
          <w:p w14:paraId="21B5DC22" w14:textId="77777777" w:rsidR="005472EF" w:rsidRDefault="00932FD2">
            <w:pPr>
              <w:spacing w:before="0" w:after="0" w:line="240" w:lineRule="auto"/>
              <w:jc w:val="left"/>
              <w:rPr>
                <w:b/>
                <w:color w:val="000000"/>
                <w:sz w:val="20"/>
                <w:szCs w:val="20"/>
              </w:rPr>
            </w:pPr>
            <w:r>
              <w:rPr>
                <w:b/>
                <w:color w:val="000000"/>
                <w:sz w:val="20"/>
                <w:szCs w:val="20"/>
              </w:rPr>
              <w:t>Inhambane</w:t>
            </w:r>
          </w:p>
        </w:tc>
        <w:tc>
          <w:tcPr>
            <w:tcW w:w="763" w:type="dxa"/>
            <w:tcBorders>
              <w:top w:val="nil"/>
              <w:left w:val="nil"/>
              <w:bottom w:val="single" w:sz="4" w:space="0" w:color="000000"/>
              <w:right w:val="single" w:sz="4" w:space="0" w:color="000000"/>
            </w:tcBorders>
            <w:vAlign w:val="center"/>
          </w:tcPr>
          <w:p w14:paraId="58CAB8CD" w14:textId="77777777" w:rsidR="005472EF" w:rsidRDefault="00932FD2">
            <w:pPr>
              <w:spacing w:before="0" w:after="0" w:line="240" w:lineRule="auto"/>
              <w:jc w:val="center"/>
              <w:rPr>
                <w:color w:val="000000"/>
                <w:sz w:val="20"/>
                <w:szCs w:val="20"/>
              </w:rPr>
            </w:pPr>
            <w:r>
              <w:rPr>
                <w:color w:val="000000"/>
                <w:sz w:val="20"/>
                <w:szCs w:val="20"/>
              </w:rPr>
              <w:t>0</w:t>
            </w:r>
          </w:p>
        </w:tc>
        <w:tc>
          <w:tcPr>
            <w:tcW w:w="963" w:type="dxa"/>
            <w:tcBorders>
              <w:top w:val="nil"/>
              <w:left w:val="nil"/>
              <w:bottom w:val="single" w:sz="4" w:space="0" w:color="000000"/>
              <w:right w:val="single" w:sz="4" w:space="0" w:color="000000"/>
            </w:tcBorders>
            <w:vAlign w:val="center"/>
          </w:tcPr>
          <w:p w14:paraId="74207001" w14:textId="77777777" w:rsidR="005472EF" w:rsidRDefault="00932FD2">
            <w:pPr>
              <w:spacing w:before="0" w:after="0" w:line="240" w:lineRule="auto"/>
              <w:jc w:val="center"/>
              <w:rPr>
                <w:color w:val="000000"/>
                <w:sz w:val="20"/>
                <w:szCs w:val="20"/>
              </w:rPr>
            </w:pPr>
            <w:r>
              <w:rPr>
                <w:color w:val="000000"/>
                <w:sz w:val="20"/>
                <w:szCs w:val="20"/>
              </w:rPr>
              <w:t>0</w:t>
            </w:r>
          </w:p>
        </w:tc>
        <w:tc>
          <w:tcPr>
            <w:tcW w:w="929" w:type="dxa"/>
            <w:tcBorders>
              <w:top w:val="nil"/>
              <w:left w:val="nil"/>
              <w:bottom w:val="single" w:sz="4" w:space="0" w:color="000000"/>
              <w:right w:val="single" w:sz="4" w:space="0" w:color="000000"/>
            </w:tcBorders>
            <w:vAlign w:val="center"/>
          </w:tcPr>
          <w:p w14:paraId="1B75C6E8" w14:textId="77777777" w:rsidR="005472EF" w:rsidRDefault="00932FD2">
            <w:pPr>
              <w:spacing w:before="0" w:after="0" w:line="240" w:lineRule="auto"/>
              <w:jc w:val="center"/>
              <w:rPr>
                <w:color w:val="000000"/>
                <w:sz w:val="20"/>
                <w:szCs w:val="20"/>
              </w:rPr>
            </w:pPr>
            <w:r>
              <w:rPr>
                <w:color w:val="000000"/>
                <w:sz w:val="20"/>
                <w:szCs w:val="20"/>
              </w:rPr>
              <w:t>0</w:t>
            </w:r>
          </w:p>
        </w:tc>
        <w:tc>
          <w:tcPr>
            <w:tcW w:w="701" w:type="dxa"/>
            <w:tcBorders>
              <w:top w:val="nil"/>
              <w:left w:val="nil"/>
              <w:bottom w:val="single" w:sz="4" w:space="0" w:color="000000"/>
              <w:right w:val="single" w:sz="4" w:space="0" w:color="000000"/>
            </w:tcBorders>
            <w:vAlign w:val="center"/>
          </w:tcPr>
          <w:p w14:paraId="105C8588" w14:textId="77777777" w:rsidR="005472EF" w:rsidRDefault="00932FD2">
            <w:pPr>
              <w:spacing w:before="0" w:after="0" w:line="240" w:lineRule="auto"/>
              <w:jc w:val="center"/>
              <w:rPr>
                <w:color w:val="000000"/>
                <w:sz w:val="20"/>
                <w:szCs w:val="20"/>
              </w:rPr>
            </w:pPr>
            <w:r>
              <w:rPr>
                <w:color w:val="000000"/>
                <w:sz w:val="20"/>
                <w:szCs w:val="20"/>
              </w:rPr>
              <w:t>0</w:t>
            </w:r>
          </w:p>
        </w:tc>
        <w:tc>
          <w:tcPr>
            <w:tcW w:w="585" w:type="dxa"/>
            <w:tcBorders>
              <w:top w:val="nil"/>
              <w:left w:val="nil"/>
              <w:bottom w:val="single" w:sz="4" w:space="0" w:color="000000"/>
              <w:right w:val="single" w:sz="4" w:space="0" w:color="000000"/>
            </w:tcBorders>
            <w:vAlign w:val="center"/>
          </w:tcPr>
          <w:p w14:paraId="487B5E50" w14:textId="77777777" w:rsidR="005472EF" w:rsidRDefault="00932FD2">
            <w:pPr>
              <w:spacing w:before="0" w:after="0" w:line="240" w:lineRule="auto"/>
              <w:jc w:val="center"/>
              <w:rPr>
                <w:color w:val="000000"/>
                <w:sz w:val="20"/>
                <w:szCs w:val="20"/>
              </w:rPr>
            </w:pPr>
            <w:r>
              <w:rPr>
                <w:color w:val="000000"/>
                <w:sz w:val="20"/>
                <w:szCs w:val="20"/>
              </w:rPr>
              <w:t>5</w:t>
            </w:r>
          </w:p>
        </w:tc>
        <w:tc>
          <w:tcPr>
            <w:tcW w:w="1085" w:type="dxa"/>
            <w:tcBorders>
              <w:top w:val="nil"/>
              <w:left w:val="nil"/>
              <w:bottom w:val="single" w:sz="4" w:space="0" w:color="000000"/>
              <w:right w:val="single" w:sz="4" w:space="0" w:color="000000"/>
            </w:tcBorders>
            <w:vAlign w:val="center"/>
          </w:tcPr>
          <w:p w14:paraId="3FDE0DD6" w14:textId="77777777" w:rsidR="005472EF" w:rsidRDefault="00932FD2">
            <w:pPr>
              <w:spacing w:before="0" w:after="0" w:line="240" w:lineRule="auto"/>
              <w:jc w:val="center"/>
              <w:rPr>
                <w:color w:val="000000"/>
                <w:sz w:val="20"/>
                <w:szCs w:val="20"/>
              </w:rPr>
            </w:pPr>
            <w:r>
              <w:rPr>
                <w:color w:val="000000"/>
                <w:sz w:val="20"/>
                <w:szCs w:val="20"/>
              </w:rPr>
              <w:t>0</w:t>
            </w:r>
          </w:p>
        </w:tc>
        <w:tc>
          <w:tcPr>
            <w:tcW w:w="1163" w:type="dxa"/>
            <w:tcBorders>
              <w:top w:val="nil"/>
              <w:left w:val="nil"/>
              <w:bottom w:val="single" w:sz="4" w:space="0" w:color="000000"/>
              <w:right w:val="single" w:sz="4" w:space="0" w:color="000000"/>
            </w:tcBorders>
            <w:vAlign w:val="center"/>
          </w:tcPr>
          <w:p w14:paraId="44C59E5D" w14:textId="77777777" w:rsidR="005472EF" w:rsidRDefault="00932FD2">
            <w:pPr>
              <w:spacing w:before="0" w:after="0" w:line="240" w:lineRule="auto"/>
              <w:jc w:val="center"/>
              <w:rPr>
                <w:color w:val="000000"/>
                <w:sz w:val="20"/>
                <w:szCs w:val="20"/>
              </w:rPr>
            </w:pPr>
            <w:r>
              <w:rPr>
                <w:color w:val="000000"/>
                <w:sz w:val="20"/>
                <w:szCs w:val="20"/>
              </w:rPr>
              <w:t>0</w:t>
            </w:r>
          </w:p>
        </w:tc>
        <w:tc>
          <w:tcPr>
            <w:tcW w:w="1485" w:type="dxa"/>
            <w:tcBorders>
              <w:top w:val="nil"/>
              <w:left w:val="nil"/>
              <w:bottom w:val="single" w:sz="4" w:space="0" w:color="000000"/>
              <w:right w:val="single" w:sz="4" w:space="0" w:color="000000"/>
            </w:tcBorders>
            <w:vAlign w:val="center"/>
          </w:tcPr>
          <w:p w14:paraId="6C592488" w14:textId="77777777" w:rsidR="005472EF" w:rsidRDefault="00932FD2">
            <w:pPr>
              <w:spacing w:before="0" w:after="0" w:line="240" w:lineRule="auto"/>
              <w:jc w:val="center"/>
              <w:rPr>
                <w:color w:val="000000"/>
                <w:sz w:val="20"/>
                <w:szCs w:val="20"/>
              </w:rPr>
            </w:pPr>
            <w:r>
              <w:rPr>
                <w:color w:val="000000"/>
                <w:sz w:val="20"/>
                <w:szCs w:val="20"/>
              </w:rPr>
              <w:t>0</w:t>
            </w:r>
          </w:p>
        </w:tc>
        <w:tc>
          <w:tcPr>
            <w:tcW w:w="1308" w:type="dxa"/>
            <w:tcBorders>
              <w:top w:val="nil"/>
              <w:left w:val="nil"/>
              <w:bottom w:val="single" w:sz="4" w:space="0" w:color="000000"/>
              <w:right w:val="single" w:sz="4" w:space="0" w:color="000000"/>
            </w:tcBorders>
            <w:vAlign w:val="center"/>
          </w:tcPr>
          <w:p w14:paraId="32DB71F0" w14:textId="77777777" w:rsidR="005472EF" w:rsidRDefault="00932FD2">
            <w:pPr>
              <w:spacing w:before="0" w:after="0" w:line="240" w:lineRule="auto"/>
              <w:jc w:val="center"/>
              <w:rPr>
                <w:color w:val="000000"/>
                <w:sz w:val="20"/>
                <w:szCs w:val="20"/>
              </w:rPr>
            </w:pPr>
            <w:r>
              <w:rPr>
                <w:color w:val="000000"/>
                <w:sz w:val="20"/>
                <w:szCs w:val="20"/>
              </w:rPr>
              <w:t>0</w:t>
            </w:r>
          </w:p>
        </w:tc>
      </w:tr>
      <w:tr w:rsidR="005472EF" w14:paraId="3B20FB44" w14:textId="77777777">
        <w:trPr>
          <w:trHeight w:val="180"/>
        </w:trPr>
        <w:tc>
          <w:tcPr>
            <w:tcW w:w="1618" w:type="dxa"/>
            <w:tcBorders>
              <w:top w:val="nil"/>
              <w:left w:val="single" w:sz="4" w:space="0" w:color="000000"/>
              <w:bottom w:val="single" w:sz="4" w:space="0" w:color="000000"/>
              <w:right w:val="single" w:sz="4" w:space="0" w:color="000000"/>
            </w:tcBorders>
            <w:shd w:val="clear" w:color="auto" w:fill="808080"/>
            <w:vAlign w:val="center"/>
          </w:tcPr>
          <w:p w14:paraId="79E78B74" w14:textId="77777777" w:rsidR="005472EF" w:rsidRDefault="00932FD2">
            <w:pPr>
              <w:spacing w:before="0" w:after="0" w:line="240" w:lineRule="auto"/>
              <w:jc w:val="left"/>
              <w:rPr>
                <w:b/>
                <w:color w:val="000000"/>
                <w:sz w:val="20"/>
                <w:szCs w:val="20"/>
              </w:rPr>
            </w:pPr>
            <w:r>
              <w:rPr>
                <w:b/>
                <w:color w:val="000000"/>
                <w:sz w:val="20"/>
                <w:szCs w:val="20"/>
              </w:rPr>
              <w:t>Gaza</w:t>
            </w:r>
          </w:p>
        </w:tc>
        <w:tc>
          <w:tcPr>
            <w:tcW w:w="763" w:type="dxa"/>
            <w:tcBorders>
              <w:top w:val="nil"/>
              <w:left w:val="nil"/>
              <w:bottom w:val="single" w:sz="4" w:space="0" w:color="000000"/>
              <w:right w:val="single" w:sz="4" w:space="0" w:color="000000"/>
            </w:tcBorders>
            <w:vAlign w:val="center"/>
          </w:tcPr>
          <w:p w14:paraId="42DDE17E" w14:textId="77777777" w:rsidR="005472EF" w:rsidRDefault="00932FD2">
            <w:pPr>
              <w:spacing w:before="0" w:after="0" w:line="240" w:lineRule="auto"/>
              <w:jc w:val="center"/>
              <w:rPr>
                <w:color w:val="000000"/>
                <w:sz w:val="20"/>
                <w:szCs w:val="20"/>
              </w:rPr>
            </w:pPr>
            <w:r>
              <w:rPr>
                <w:color w:val="000000"/>
                <w:sz w:val="20"/>
                <w:szCs w:val="20"/>
              </w:rPr>
              <w:t>0</w:t>
            </w:r>
          </w:p>
        </w:tc>
        <w:tc>
          <w:tcPr>
            <w:tcW w:w="963" w:type="dxa"/>
            <w:tcBorders>
              <w:top w:val="nil"/>
              <w:left w:val="nil"/>
              <w:bottom w:val="single" w:sz="4" w:space="0" w:color="000000"/>
              <w:right w:val="single" w:sz="4" w:space="0" w:color="000000"/>
            </w:tcBorders>
            <w:vAlign w:val="center"/>
          </w:tcPr>
          <w:p w14:paraId="55207E75" w14:textId="77777777" w:rsidR="005472EF" w:rsidRDefault="00932FD2">
            <w:pPr>
              <w:spacing w:before="0" w:after="0" w:line="240" w:lineRule="auto"/>
              <w:jc w:val="center"/>
              <w:rPr>
                <w:color w:val="000000"/>
                <w:sz w:val="20"/>
                <w:szCs w:val="20"/>
              </w:rPr>
            </w:pPr>
            <w:r>
              <w:rPr>
                <w:color w:val="000000"/>
                <w:sz w:val="20"/>
                <w:szCs w:val="20"/>
              </w:rPr>
              <w:t>0</w:t>
            </w:r>
          </w:p>
        </w:tc>
        <w:tc>
          <w:tcPr>
            <w:tcW w:w="929" w:type="dxa"/>
            <w:tcBorders>
              <w:top w:val="nil"/>
              <w:left w:val="nil"/>
              <w:bottom w:val="single" w:sz="4" w:space="0" w:color="000000"/>
              <w:right w:val="single" w:sz="4" w:space="0" w:color="000000"/>
            </w:tcBorders>
            <w:vAlign w:val="center"/>
          </w:tcPr>
          <w:p w14:paraId="5AA0269E" w14:textId="77777777" w:rsidR="005472EF" w:rsidRDefault="00932FD2">
            <w:pPr>
              <w:spacing w:before="0" w:after="0" w:line="240" w:lineRule="auto"/>
              <w:jc w:val="center"/>
              <w:rPr>
                <w:color w:val="000000"/>
                <w:sz w:val="20"/>
                <w:szCs w:val="20"/>
              </w:rPr>
            </w:pPr>
            <w:r>
              <w:rPr>
                <w:color w:val="000000"/>
                <w:sz w:val="20"/>
                <w:szCs w:val="20"/>
              </w:rPr>
              <w:t>0</w:t>
            </w:r>
          </w:p>
        </w:tc>
        <w:tc>
          <w:tcPr>
            <w:tcW w:w="701" w:type="dxa"/>
            <w:tcBorders>
              <w:top w:val="nil"/>
              <w:left w:val="nil"/>
              <w:bottom w:val="single" w:sz="4" w:space="0" w:color="000000"/>
              <w:right w:val="single" w:sz="4" w:space="0" w:color="000000"/>
            </w:tcBorders>
            <w:vAlign w:val="center"/>
          </w:tcPr>
          <w:p w14:paraId="4CF66C9D" w14:textId="77777777" w:rsidR="005472EF" w:rsidRDefault="00932FD2">
            <w:pPr>
              <w:spacing w:before="0" w:after="0" w:line="240" w:lineRule="auto"/>
              <w:jc w:val="center"/>
              <w:rPr>
                <w:color w:val="000000"/>
                <w:sz w:val="20"/>
                <w:szCs w:val="20"/>
              </w:rPr>
            </w:pPr>
            <w:r>
              <w:rPr>
                <w:color w:val="000000"/>
                <w:sz w:val="20"/>
                <w:szCs w:val="20"/>
              </w:rPr>
              <w:t>0</w:t>
            </w:r>
          </w:p>
        </w:tc>
        <w:tc>
          <w:tcPr>
            <w:tcW w:w="585" w:type="dxa"/>
            <w:tcBorders>
              <w:top w:val="nil"/>
              <w:left w:val="nil"/>
              <w:bottom w:val="single" w:sz="4" w:space="0" w:color="000000"/>
              <w:right w:val="single" w:sz="4" w:space="0" w:color="000000"/>
            </w:tcBorders>
            <w:vAlign w:val="center"/>
          </w:tcPr>
          <w:p w14:paraId="24B1AE7C" w14:textId="77777777" w:rsidR="005472EF" w:rsidRDefault="00932FD2">
            <w:pPr>
              <w:spacing w:before="0" w:after="0" w:line="240" w:lineRule="auto"/>
              <w:jc w:val="center"/>
              <w:rPr>
                <w:color w:val="000000"/>
                <w:sz w:val="20"/>
                <w:szCs w:val="20"/>
              </w:rPr>
            </w:pPr>
            <w:r>
              <w:rPr>
                <w:color w:val="000000"/>
                <w:sz w:val="20"/>
                <w:szCs w:val="20"/>
              </w:rPr>
              <w:t>8</w:t>
            </w:r>
          </w:p>
        </w:tc>
        <w:tc>
          <w:tcPr>
            <w:tcW w:w="1085" w:type="dxa"/>
            <w:tcBorders>
              <w:top w:val="nil"/>
              <w:left w:val="nil"/>
              <w:bottom w:val="single" w:sz="4" w:space="0" w:color="000000"/>
              <w:right w:val="single" w:sz="4" w:space="0" w:color="000000"/>
            </w:tcBorders>
            <w:vAlign w:val="center"/>
          </w:tcPr>
          <w:p w14:paraId="4F7F90A8" w14:textId="77777777" w:rsidR="005472EF" w:rsidRDefault="00932FD2">
            <w:pPr>
              <w:spacing w:before="0" w:after="0" w:line="240" w:lineRule="auto"/>
              <w:jc w:val="center"/>
              <w:rPr>
                <w:color w:val="000000"/>
                <w:sz w:val="20"/>
                <w:szCs w:val="20"/>
              </w:rPr>
            </w:pPr>
            <w:r>
              <w:rPr>
                <w:color w:val="000000"/>
                <w:sz w:val="20"/>
                <w:szCs w:val="20"/>
              </w:rPr>
              <w:t>0</w:t>
            </w:r>
          </w:p>
        </w:tc>
        <w:tc>
          <w:tcPr>
            <w:tcW w:w="1163" w:type="dxa"/>
            <w:tcBorders>
              <w:top w:val="nil"/>
              <w:left w:val="nil"/>
              <w:bottom w:val="single" w:sz="4" w:space="0" w:color="000000"/>
              <w:right w:val="single" w:sz="4" w:space="0" w:color="000000"/>
            </w:tcBorders>
            <w:vAlign w:val="center"/>
          </w:tcPr>
          <w:p w14:paraId="6BDD4D0D" w14:textId="77777777" w:rsidR="005472EF" w:rsidRDefault="00932FD2">
            <w:pPr>
              <w:spacing w:before="0" w:after="0" w:line="240" w:lineRule="auto"/>
              <w:jc w:val="center"/>
              <w:rPr>
                <w:color w:val="000000"/>
                <w:sz w:val="20"/>
                <w:szCs w:val="20"/>
              </w:rPr>
            </w:pPr>
            <w:r>
              <w:rPr>
                <w:color w:val="000000"/>
                <w:sz w:val="20"/>
                <w:szCs w:val="20"/>
              </w:rPr>
              <w:t>0</w:t>
            </w:r>
          </w:p>
        </w:tc>
        <w:tc>
          <w:tcPr>
            <w:tcW w:w="1485" w:type="dxa"/>
            <w:tcBorders>
              <w:top w:val="nil"/>
              <w:left w:val="nil"/>
              <w:bottom w:val="single" w:sz="4" w:space="0" w:color="000000"/>
              <w:right w:val="single" w:sz="4" w:space="0" w:color="000000"/>
            </w:tcBorders>
            <w:vAlign w:val="center"/>
          </w:tcPr>
          <w:p w14:paraId="23E1EBA1" w14:textId="77777777" w:rsidR="005472EF" w:rsidRDefault="00932FD2">
            <w:pPr>
              <w:spacing w:before="0" w:after="0" w:line="240" w:lineRule="auto"/>
              <w:jc w:val="center"/>
              <w:rPr>
                <w:color w:val="000000"/>
                <w:sz w:val="20"/>
                <w:szCs w:val="20"/>
              </w:rPr>
            </w:pPr>
            <w:r>
              <w:rPr>
                <w:color w:val="000000"/>
                <w:sz w:val="20"/>
                <w:szCs w:val="20"/>
              </w:rPr>
              <w:t>0</w:t>
            </w:r>
          </w:p>
        </w:tc>
        <w:tc>
          <w:tcPr>
            <w:tcW w:w="1308" w:type="dxa"/>
            <w:tcBorders>
              <w:top w:val="nil"/>
              <w:left w:val="nil"/>
              <w:bottom w:val="single" w:sz="4" w:space="0" w:color="000000"/>
              <w:right w:val="single" w:sz="4" w:space="0" w:color="000000"/>
            </w:tcBorders>
            <w:vAlign w:val="center"/>
          </w:tcPr>
          <w:p w14:paraId="2D19355D" w14:textId="77777777" w:rsidR="005472EF" w:rsidRDefault="00932FD2">
            <w:pPr>
              <w:spacing w:before="0" w:after="0" w:line="240" w:lineRule="auto"/>
              <w:jc w:val="center"/>
              <w:rPr>
                <w:color w:val="000000"/>
                <w:sz w:val="20"/>
                <w:szCs w:val="20"/>
              </w:rPr>
            </w:pPr>
            <w:r>
              <w:rPr>
                <w:color w:val="000000"/>
                <w:sz w:val="20"/>
                <w:szCs w:val="20"/>
              </w:rPr>
              <w:t>0</w:t>
            </w:r>
          </w:p>
        </w:tc>
      </w:tr>
      <w:tr w:rsidR="005472EF" w14:paraId="2A5D5EBF" w14:textId="77777777">
        <w:trPr>
          <w:trHeight w:val="180"/>
        </w:trPr>
        <w:tc>
          <w:tcPr>
            <w:tcW w:w="1618" w:type="dxa"/>
            <w:tcBorders>
              <w:top w:val="nil"/>
              <w:left w:val="single" w:sz="4" w:space="0" w:color="000000"/>
              <w:bottom w:val="single" w:sz="4" w:space="0" w:color="000000"/>
              <w:right w:val="single" w:sz="4" w:space="0" w:color="000000"/>
            </w:tcBorders>
            <w:shd w:val="clear" w:color="auto" w:fill="808080"/>
            <w:vAlign w:val="center"/>
          </w:tcPr>
          <w:p w14:paraId="7B54284E" w14:textId="77777777" w:rsidR="005472EF" w:rsidRDefault="00932FD2">
            <w:pPr>
              <w:spacing w:before="0" w:after="0" w:line="240" w:lineRule="auto"/>
              <w:jc w:val="left"/>
              <w:rPr>
                <w:b/>
                <w:color w:val="000000"/>
                <w:sz w:val="20"/>
                <w:szCs w:val="20"/>
              </w:rPr>
            </w:pPr>
            <w:r>
              <w:rPr>
                <w:b/>
                <w:color w:val="000000"/>
                <w:sz w:val="20"/>
                <w:szCs w:val="20"/>
              </w:rPr>
              <w:t>Maputo</w:t>
            </w:r>
          </w:p>
        </w:tc>
        <w:tc>
          <w:tcPr>
            <w:tcW w:w="763" w:type="dxa"/>
            <w:tcBorders>
              <w:top w:val="nil"/>
              <w:left w:val="nil"/>
              <w:bottom w:val="single" w:sz="4" w:space="0" w:color="000000"/>
              <w:right w:val="single" w:sz="4" w:space="0" w:color="000000"/>
            </w:tcBorders>
            <w:vAlign w:val="center"/>
          </w:tcPr>
          <w:p w14:paraId="669B38E9" w14:textId="77777777" w:rsidR="005472EF" w:rsidRDefault="00932FD2">
            <w:pPr>
              <w:spacing w:before="0" w:after="0" w:line="240" w:lineRule="auto"/>
              <w:jc w:val="center"/>
              <w:rPr>
                <w:color w:val="000000"/>
                <w:sz w:val="20"/>
                <w:szCs w:val="20"/>
              </w:rPr>
            </w:pPr>
            <w:r>
              <w:rPr>
                <w:color w:val="000000"/>
                <w:sz w:val="20"/>
                <w:szCs w:val="20"/>
              </w:rPr>
              <w:t>1</w:t>
            </w:r>
          </w:p>
        </w:tc>
        <w:tc>
          <w:tcPr>
            <w:tcW w:w="963" w:type="dxa"/>
            <w:tcBorders>
              <w:top w:val="nil"/>
              <w:left w:val="nil"/>
              <w:bottom w:val="single" w:sz="4" w:space="0" w:color="000000"/>
              <w:right w:val="single" w:sz="4" w:space="0" w:color="000000"/>
            </w:tcBorders>
            <w:vAlign w:val="center"/>
          </w:tcPr>
          <w:p w14:paraId="6BE33728" w14:textId="77777777" w:rsidR="005472EF" w:rsidRDefault="00932FD2">
            <w:pPr>
              <w:spacing w:before="0" w:after="0" w:line="240" w:lineRule="auto"/>
              <w:jc w:val="center"/>
              <w:rPr>
                <w:color w:val="000000"/>
                <w:sz w:val="20"/>
                <w:szCs w:val="20"/>
              </w:rPr>
            </w:pPr>
            <w:r>
              <w:rPr>
                <w:color w:val="000000"/>
                <w:sz w:val="20"/>
                <w:szCs w:val="20"/>
              </w:rPr>
              <w:t>0</w:t>
            </w:r>
          </w:p>
        </w:tc>
        <w:tc>
          <w:tcPr>
            <w:tcW w:w="929" w:type="dxa"/>
            <w:tcBorders>
              <w:top w:val="nil"/>
              <w:left w:val="nil"/>
              <w:bottom w:val="single" w:sz="4" w:space="0" w:color="000000"/>
              <w:right w:val="single" w:sz="4" w:space="0" w:color="000000"/>
            </w:tcBorders>
            <w:vAlign w:val="center"/>
          </w:tcPr>
          <w:p w14:paraId="06C7E4AF" w14:textId="77777777" w:rsidR="005472EF" w:rsidRDefault="00932FD2">
            <w:pPr>
              <w:spacing w:before="0" w:after="0" w:line="240" w:lineRule="auto"/>
              <w:jc w:val="center"/>
              <w:rPr>
                <w:color w:val="000000"/>
                <w:sz w:val="20"/>
                <w:szCs w:val="20"/>
              </w:rPr>
            </w:pPr>
            <w:r>
              <w:rPr>
                <w:color w:val="000000"/>
                <w:sz w:val="20"/>
                <w:szCs w:val="20"/>
              </w:rPr>
              <w:t>1</w:t>
            </w:r>
          </w:p>
        </w:tc>
        <w:tc>
          <w:tcPr>
            <w:tcW w:w="701" w:type="dxa"/>
            <w:tcBorders>
              <w:top w:val="nil"/>
              <w:left w:val="nil"/>
              <w:bottom w:val="single" w:sz="4" w:space="0" w:color="000000"/>
              <w:right w:val="single" w:sz="4" w:space="0" w:color="000000"/>
            </w:tcBorders>
            <w:vAlign w:val="center"/>
          </w:tcPr>
          <w:p w14:paraId="3D9CB776" w14:textId="77777777" w:rsidR="005472EF" w:rsidRDefault="00932FD2">
            <w:pPr>
              <w:spacing w:before="0" w:after="0" w:line="240" w:lineRule="auto"/>
              <w:jc w:val="center"/>
              <w:rPr>
                <w:color w:val="000000"/>
                <w:sz w:val="20"/>
                <w:szCs w:val="20"/>
              </w:rPr>
            </w:pPr>
            <w:r>
              <w:rPr>
                <w:color w:val="000000"/>
                <w:sz w:val="20"/>
                <w:szCs w:val="20"/>
              </w:rPr>
              <w:t>2</w:t>
            </w:r>
          </w:p>
        </w:tc>
        <w:tc>
          <w:tcPr>
            <w:tcW w:w="585" w:type="dxa"/>
            <w:tcBorders>
              <w:top w:val="nil"/>
              <w:left w:val="nil"/>
              <w:bottom w:val="single" w:sz="4" w:space="0" w:color="000000"/>
              <w:right w:val="single" w:sz="4" w:space="0" w:color="000000"/>
            </w:tcBorders>
            <w:vAlign w:val="center"/>
          </w:tcPr>
          <w:p w14:paraId="4036F1F3" w14:textId="77777777" w:rsidR="005472EF" w:rsidRDefault="00932FD2">
            <w:pPr>
              <w:spacing w:before="0" w:after="0" w:line="240" w:lineRule="auto"/>
              <w:jc w:val="center"/>
              <w:rPr>
                <w:color w:val="000000"/>
                <w:sz w:val="20"/>
                <w:szCs w:val="20"/>
              </w:rPr>
            </w:pPr>
            <w:r>
              <w:rPr>
                <w:color w:val="000000"/>
                <w:sz w:val="20"/>
                <w:szCs w:val="20"/>
              </w:rPr>
              <w:t>1</w:t>
            </w:r>
          </w:p>
        </w:tc>
        <w:tc>
          <w:tcPr>
            <w:tcW w:w="1085" w:type="dxa"/>
            <w:tcBorders>
              <w:top w:val="nil"/>
              <w:left w:val="nil"/>
              <w:bottom w:val="single" w:sz="4" w:space="0" w:color="000000"/>
              <w:right w:val="single" w:sz="4" w:space="0" w:color="000000"/>
            </w:tcBorders>
            <w:vAlign w:val="center"/>
          </w:tcPr>
          <w:p w14:paraId="16ECC714" w14:textId="77777777" w:rsidR="005472EF" w:rsidRDefault="00932FD2">
            <w:pPr>
              <w:spacing w:before="0" w:after="0" w:line="240" w:lineRule="auto"/>
              <w:jc w:val="center"/>
              <w:rPr>
                <w:color w:val="000000"/>
                <w:sz w:val="20"/>
                <w:szCs w:val="20"/>
              </w:rPr>
            </w:pPr>
            <w:r>
              <w:rPr>
                <w:color w:val="000000"/>
                <w:sz w:val="20"/>
                <w:szCs w:val="20"/>
              </w:rPr>
              <w:t>2</w:t>
            </w:r>
          </w:p>
        </w:tc>
        <w:tc>
          <w:tcPr>
            <w:tcW w:w="1163" w:type="dxa"/>
            <w:tcBorders>
              <w:top w:val="nil"/>
              <w:left w:val="nil"/>
              <w:bottom w:val="single" w:sz="4" w:space="0" w:color="000000"/>
              <w:right w:val="single" w:sz="4" w:space="0" w:color="000000"/>
            </w:tcBorders>
            <w:vAlign w:val="center"/>
          </w:tcPr>
          <w:p w14:paraId="149E0EE7" w14:textId="77777777" w:rsidR="005472EF" w:rsidRDefault="00932FD2">
            <w:pPr>
              <w:spacing w:before="0" w:after="0" w:line="240" w:lineRule="auto"/>
              <w:jc w:val="center"/>
              <w:rPr>
                <w:color w:val="000000"/>
                <w:sz w:val="20"/>
                <w:szCs w:val="20"/>
              </w:rPr>
            </w:pPr>
            <w:r>
              <w:rPr>
                <w:color w:val="000000"/>
                <w:sz w:val="20"/>
                <w:szCs w:val="20"/>
              </w:rPr>
              <w:t>0</w:t>
            </w:r>
          </w:p>
        </w:tc>
        <w:tc>
          <w:tcPr>
            <w:tcW w:w="1485" w:type="dxa"/>
            <w:tcBorders>
              <w:top w:val="nil"/>
              <w:left w:val="nil"/>
              <w:bottom w:val="single" w:sz="4" w:space="0" w:color="000000"/>
              <w:right w:val="single" w:sz="4" w:space="0" w:color="000000"/>
            </w:tcBorders>
            <w:vAlign w:val="center"/>
          </w:tcPr>
          <w:p w14:paraId="0EAE7615" w14:textId="77777777" w:rsidR="005472EF" w:rsidRDefault="00932FD2">
            <w:pPr>
              <w:spacing w:before="0" w:after="0" w:line="240" w:lineRule="auto"/>
              <w:jc w:val="center"/>
              <w:rPr>
                <w:color w:val="000000"/>
                <w:sz w:val="20"/>
                <w:szCs w:val="20"/>
              </w:rPr>
            </w:pPr>
            <w:r>
              <w:rPr>
                <w:color w:val="000000"/>
                <w:sz w:val="20"/>
                <w:szCs w:val="20"/>
              </w:rPr>
              <w:t>0</w:t>
            </w:r>
          </w:p>
        </w:tc>
        <w:tc>
          <w:tcPr>
            <w:tcW w:w="1308" w:type="dxa"/>
            <w:tcBorders>
              <w:top w:val="nil"/>
              <w:left w:val="nil"/>
              <w:bottom w:val="single" w:sz="4" w:space="0" w:color="000000"/>
              <w:right w:val="single" w:sz="4" w:space="0" w:color="000000"/>
            </w:tcBorders>
            <w:vAlign w:val="center"/>
          </w:tcPr>
          <w:p w14:paraId="55F4C604" w14:textId="77777777" w:rsidR="005472EF" w:rsidRDefault="00932FD2">
            <w:pPr>
              <w:spacing w:before="0" w:after="0" w:line="240" w:lineRule="auto"/>
              <w:jc w:val="center"/>
              <w:rPr>
                <w:color w:val="000000"/>
                <w:sz w:val="20"/>
                <w:szCs w:val="20"/>
              </w:rPr>
            </w:pPr>
            <w:r>
              <w:rPr>
                <w:color w:val="000000"/>
                <w:sz w:val="20"/>
                <w:szCs w:val="20"/>
              </w:rPr>
              <w:t>0</w:t>
            </w:r>
          </w:p>
        </w:tc>
      </w:tr>
      <w:tr w:rsidR="005472EF" w14:paraId="3E66CDAF" w14:textId="77777777">
        <w:trPr>
          <w:trHeight w:val="180"/>
        </w:trPr>
        <w:tc>
          <w:tcPr>
            <w:tcW w:w="1618" w:type="dxa"/>
            <w:tcBorders>
              <w:top w:val="nil"/>
              <w:left w:val="single" w:sz="4" w:space="0" w:color="000000"/>
              <w:bottom w:val="single" w:sz="4" w:space="0" w:color="000000"/>
              <w:right w:val="single" w:sz="4" w:space="0" w:color="000000"/>
            </w:tcBorders>
            <w:shd w:val="clear" w:color="auto" w:fill="808080"/>
            <w:vAlign w:val="center"/>
          </w:tcPr>
          <w:p w14:paraId="5B089050" w14:textId="77777777" w:rsidR="005472EF" w:rsidRDefault="00932FD2">
            <w:pPr>
              <w:spacing w:before="0" w:after="0" w:line="240" w:lineRule="auto"/>
              <w:jc w:val="left"/>
              <w:rPr>
                <w:b/>
                <w:color w:val="000000"/>
                <w:sz w:val="20"/>
                <w:szCs w:val="20"/>
              </w:rPr>
            </w:pPr>
            <w:r>
              <w:rPr>
                <w:b/>
                <w:color w:val="000000"/>
                <w:sz w:val="20"/>
                <w:szCs w:val="20"/>
              </w:rPr>
              <w:t>Cidade de Maputo</w:t>
            </w:r>
          </w:p>
        </w:tc>
        <w:tc>
          <w:tcPr>
            <w:tcW w:w="763" w:type="dxa"/>
            <w:tcBorders>
              <w:top w:val="nil"/>
              <w:left w:val="nil"/>
              <w:bottom w:val="single" w:sz="4" w:space="0" w:color="000000"/>
              <w:right w:val="single" w:sz="4" w:space="0" w:color="000000"/>
            </w:tcBorders>
            <w:vAlign w:val="center"/>
          </w:tcPr>
          <w:p w14:paraId="72953F7A" w14:textId="77777777" w:rsidR="005472EF" w:rsidRDefault="00932FD2">
            <w:pPr>
              <w:spacing w:before="0" w:after="0" w:line="240" w:lineRule="auto"/>
              <w:jc w:val="center"/>
              <w:rPr>
                <w:color w:val="000000"/>
                <w:sz w:val="20"/>
                <w:szCs w:val="20"/>
              </w:rPr>
            </w:pPr>
            <w:r>
              <w:rPr>
                <w:color w:val="000000"/>
                <w:sz w:val="20"/>
                <w:szCs w:val="20"/>
              </w:rPr>
              <w:t>1</w:t>
            </w:r>
          </w:p>
        </w:tc>
        <w:tc>
          <w:tcPr>
            <w:tcW w:w="963" w:type="dxa"/>
            <w:tcBorders>
              <w:top w:val="nil"/>
              <w:left w:val="nil"/>
              <w:bottom w:val="single" w:sz="4" w:space="0" w:color="000000"/>
              <w:right w:val="single" w:sz="4" w:space="0" w:color="000000"/>
            </w:tcBorders>
            <w:vAlign w:val="center"/>
          </w:tcPr>
          <w:p w14:paraId="62B1132B" w14:textId="77777777" w:rsidR="005472EF" w:rsidRDefault="00932FD2">
            <w:pPr>
              <w:spacing w:before="0" w:after="0" w:line="240" w:lineRule="auto"/>
              <w:jc w:val="center"/>
              <w:rPr>
                <w:color w:val="000000"/>
                <w:sz w:val="20"/>
                <w:szCs w:val="20"/>
              </w:rPr>
            </w:pPr>
            <w:r>
              <w:rPr>
                <w:color w:val="000000"/>
                <w:sz w:val="20"/>
                <w:szCs w:val="20"/>
              </w:rPr>
              <w:t>0</w:t>
            </w:r>
          </w:p>
        </w:tc>
        <w:tc>
          <w:tcPr>
            <w:tcW w:w="929" w:type="dxa"/>
            <w:tcBorders>
              <w:top w:val="nil"/>
              <w:left w:val="nil"/>
              <w:bottom w:val="single" w:sz="4" w:space="0" w:color="000000"/>
              <w:right w:val="single" w:sz="4" w:space="0" w:color="000000"/>
            </w:tcBorders>
            <w:vAlign w:val="center"/>
          </w:tcPr>
          <w:p w14:paraId="3E394F88" w14:textId="77777777" w:rsidR="005472EF" w:rsidRDefault="00932FD2">
            <w:pPr>
              <w:spacing w:before="0" w:after="0" w:line="240" w:lineRule="auto"/>
              <w:jc w:val="center"/>
              <w:rPr>
                <w:color w:val="000000"/>
                <w:sz w:val="20"/>
                <w:szCs w:val="20"/>
              </w:rPr>
            </w:pPr>
            <w:r>
              <w:rPr>
                <w:color w:val="000000"/>
                <w:sz w:val="20"/>
                <w:szCs w:val="20"/>
              </w:rPr>
              <w:t>0</w:t>
            </w:r>
          </w:p>
        </w:tc>
        <w:tc>
          <w:tcPr>
            <w:tcW w:w="701" w:type="dxa"/>
            <w:tcBorders>
              <w:top w:val="nil"/>
              <w:left w:val="nil"/>
              <w:bottom w:val="single" w:sz="4" w:space="0" w:color="000000"/>
              <w:right w:val="single" w:sz="4" w:space="0" w:color="000000"/>
            </w:tcBorders>
            <w:vAlign w:val="center"/>
          </w:tcPr>
          <w:p w14:paraId="37ACF85D" w14:textId="77777777" w:rsidR="005472EF" w:rsidRDefault="00932FD2">
            <w:pPr>
              <w:spacing w:before="0" w:after="0" w:line="240" w:lineRule="auto"/>
              <w:jc w:val="center"/>
              <w:rPr>
                <w:color w:val="000000"/>
                <w:sz w:val="20"/>
                <w:szCs w:val="20"/>
              </w:rPr>
            </w:pPr>
            <w:r>
              <w:rPr>
                <w:color w:val="000000"/>
                <w:sz w:val="20"/>
                <w:szCs w:val="20"/>
              </w:rPr>
              <w:t>1</w:t>
            </w:r>
          </w:p>
        </w:tc>
        <w:tc>
          <w:tcPr>
            <w:tcW w:w="585" w:type="dxa"/>
            <w:tcBorders>
              <w:top w:val="nil"/>
              <w:left w:val="nil"/>
              <w:bottom w:val="single" w:sz="4" w:space="0" w:color="000000"/>
              <w:right w:val="single" w:sz="4" w:space="0" w:color="000000"/>
            </w:tcBorders>
            <w:vAlign w:val="center"/>
          </w:tcPr>
          <w:p w14:paraId="01C0C71B" w14:textId="77777777" w:rsidR="005472EF" w:rsidRDefault="00932FD2">
            <w:pPr>
              <w:spacing w:before="0" w:after="0" w:line="240" w:lineRule="auto"/>
              <w:jc w:val="center"/>
              <w:rPr>
                <w:color w:val="000000"/>
                <w:sz w:val="20"/>
                <w:szCs w:val="20"/>
              </w:rPr>
            </w:pPr>
            <w:r>
              <w:rPr>
                <w:color w:val="000000"/>
                <w:sz w:val="20"/>
                <w:szCs w:val="20"/>
              </w:rPr>
              <w:t>1</w:t>
            </w:r>
          </w:p>
        </w:tc>
        <w:tc>
          <w:tcPr>
            <w:tcW w:w="1085" w:type="dxa"/>
            <w:tcBorders>
              <w:top w:val="nil"/>
              <w:left w:val="nil"/>
              <w:bottom w:val="single" w:sz="4" w:space="0" w:color="000000"/>
              <w:right w:val="single" w:sz="4" w:space="0" w:color="000000"/>
            </w:tcBorders>
            <w:vAlign w:val="center"/>
          </w:tcPr>
          <w:p w14:paraId="5BA2F694" w14:textId="77777777" w:rsidR="005472EF" w:rsidRDefault="00932FD2">
            <w:pPr>
              <w:spacing w:before="0" w:after="0" w:line="240" w:lineRule="auto"/>
              <w:jc w:val="center"/>
              <w:rPr>
                <w:color w:val="000000"/>
                <w:sz w:val="20"/>
                <w:szCs w:val="20"/>
              </w:rPr>
            </w:pPr>
            <w:r>
              <w:rPr>
                <w:color w:val="000000"/>
                <w:sz w:val="20"/>
                <w:szCs w:val="20"/>
              </w:rPr>
              <w:t>1</w:t>
            </w:r>
          </w:p>
        </w:tc>
        <w:tc>
          <w:tcPr>
            <w:tcW w:w="1163" w:type="dxa"/>
            <w:tcBorders>
              <w:top w:val="nil"/>
              <w:left w:val="nil"/>
              <w:bottom w:val="single" w:sz="4" w:space="0" w:color="000000"/>
              <w:right w:val="single" w:sz="4" w:space="0" w:color="000000"/>
            </w:tcBorders>
            <w:vAlign w:val="center"/>
          </w:tcPr>
          <w:p w14:paraId="15DA6636" w14:textId="77777777" w:rsidR="005472EF" w:rsidRDefault="00932FD2">
            <w:pPr>
              <w:spacing w:before="0" w:after="0" w:line="240" w:lineRule="auto"/>
              <w:jc w:val="center"/>
              <w:rPr>
                <w:color w:val="000000"/>
                <w:sz w:val="20"/>
                <w:szCs w:val="20"/>
              </w:rPr>
            </w:pPr>
            <w:r>
              <w:rPr>
                <w:color w:val="000000"/>
                <w:sz w:val="20"/>
                <w:szCs w:val="20"/>
              </w:rPr>
              <w:t>0</w:t>
            </w:r>
          </w:p>
        </w:tc>
        <w:tc>
          <w:tcPr>
            <w:tcW w:w="1485" w:type="dxa"/>
            <w:tcBorders>
              <w:top w:val="nil"/>
              <w:left w:val="nil"/>
              <w:bottom w:val="single" w:sz="4" w:space="0" w:color="000000"/>
              <w:right w:val="single" w:sz="4" w:space="0" w:color="000000"/>
            </w:tcBorders>
            <w:vAlign w:val="center"/>
          </w:tcPr>
          <w:p w14:paraId="768FD2F2" w14:textId="77777777" w:rsidR="005472EF" w:rsidRDefault="00932FD2">
            <w:pPr>
              <w:spacing w:before="0" w:after="0" w:line="240" w:lineRule="auto"/>
              <w:jc w:val="center"/>
              <w:rPr>
                <w:color w:val="000000"/>
                <w:sz w:val="20"/>
                <w:szCs w:val="20"/>
              </w:rPr>
            </w:pPr>
            <w:r>
              <w:rPr>
                <w:color w:val="000000"/>
                <w:sz w:val="20"/>
                <w:szCs w:val="20"/>
              </w:rPr>
              <w:t>0</w:t>
            </w:r>
          </w:p>
        </w:tc>
        <w:tc>
          <w:tcPr>
            <w:tcW w:w="1308" w:type="dxa"/>
            <w:tcBorders>
              <w:top w:val="nil"/>
              <w:left w:val="nil"/>
              <w:bottom w:val="single" w:sz="4" w:space="0" w:color="000000"/>
              <w:right w:val="single" w:sz="4" w:space="0" w:color="000000"/>
            </w:tcBorders>
            <w:vAlign w:val="center"/>
          </w:tcPr>
          <w:p w14:paraId="069C8A00" w14:textId="77777777" w:rsidR="005472EF" w:rsidRDefault="00932FD2">
            <w:pPr>
              <w:spacing w:before="0" w:after="0" w:line="240" w:lineRule="auto"/>
              <w:jc w:val="center"/>
              <w:rPr>
                <w:color w:val="000000"/>
                <w:sz w:val="20"/>
                <w:szCs w:val="20"/>
              </w:rPr>
            </w:pPr>
            <w:r>
              <w:rPr>
                <w:color w:val="000000"/>
                <w:sz w:val="20"/>
                <w:szCs w:val="20"/>
              </w:rPr>
              <w:t>0</w:t>
            </w:r>
          </w:p>
        </w:tc>
      </w:tr>
      <w:tr w:rsidR="005472EF" w14:paraId="77EF7CE0" w14:textId="77777777">
        <w:trPr>
          <w:trHeight w:val="180"/>
        </w:trPr>
        <w:tc>
          <w:tcPr>
            <w:tcW w:w="1618" w:type="dxa"/>
            <w:tcBorders>
              <w:top w:val="nil"/>
              <w:left w:val="single" w:sz="4" w:space="0" w:color="000000"/>
              <w:bottom w:val="single" w:sz="4" w:space="0" w:color="000000"/>
              <w:right w:val="single" w:sz="4" w:space="0" w:color="000000"/>
            </w:tcBorders>
            <w:shd w:val="clear" w:color="auto" w:fill="808080"/>
            <w:vAlign w:val="center"/>
          </w:tcPr>
          <w:p w14:paraId="08ED8872" w14:textId="77777777" w:rsidR="005472EF" w:rsidRDefault="00932FD2">
            <w:pPr>
              <w:spacing w:before="0" w:after="0" w:line="240" w:lineRule="auto"/>
              <w:jc w:val="left"/>
              <w:rPr>
                <w:b/>
                <w:color w:val="000000"/>
                <w:sz w:val="20"/>
                <w:szCs w:val="20"/>
              </w:rPr>
            </w:pPr>
            <w:r>
              <w:rPr>
                <w:b/>
                <w:color w:val="000000"/>
                <w:sz w:val="20"/>
                <w:szCs w:val="20"/>
              </w:rPr>
              <w:t>TOTAL</w:t>
            </w:r>
          </w:p>
        </w:tc>
        <w:tc>
          <w:tcPr>
            <w:tcW w:w="763" w:type="dxa"/>
            <w:tcBorders>
              <w:top w:val="nil"/>
              <w:left w:val="nil"/>
              <w:bottom w:val="single" w:sz="4" w:space="0" w:color="000000"/>
              <w:right w:val="single" w:sz="4" w:space="0" w:color="000000"/>
            </w:tcBorders>
            <w:vAlign w:val="center"/>
          </w:tcPr>
          <w:p w14:paraId="1B983709" w14:textId="77777777" w:rsidR="005472EF" w:rsidRDefault="00932FD2">
            <w:pPr>
              <w:spacing w:before="0" w:after="0" w:line="240" w:lineRule="auto"/>
              <w:jc w:val="center"/>
              <w:rPr>
                <w:b/>
                <w:color w:val="000000"/>
                <w:sz w:val="20"/>
                <w:szCs w:val="20"/>
              </w:rPr>
            </w:pPr>
            <w:r>
              <w:rPr>
                <w:b/>
                <w:color w:val="000000"/>
                <w:sz w:val="20"/>
                <w:szCs w:val="20"/>
              </w:rPr>
              <w:t>2</w:t>
            </w:r>
          </w:p>
        </w:tc>
        <w:tc>
          <w:tcPr>
            <w:tcW w:w="963" w:type="dxa"/>
            <w:tcBorders>
              <w:top w:val="nil"/>
              <w:left w:val="nil"/>
              <w:bottom w:val="single" w:sz="4" w:space="0" w:color="000000"/>
              <w:right w:val="single" w:sz="4" w:space="0" w:color="000000"/>
            </w:tcBorders>
            <w:vAlign w:val="center"/>
          </w:tcPr>
          <w:p w14:paraId="398421E5" w14:textId="77777777" w:rsidR="005472EF" w:rsidRDefault="00932FD2">
            <w:pPr>
              <w:spacing w:before="0" w:after="0" w:line="240" w:lineRule="auto"/>
              <w:jc w:val="center"/>
              <w:rPr>
                <w:b/>
                <w:color w:val="000000"/>
                <w:sz w:val="20"/>
                <w:szCs w:val="20"/>
              </w:rPr>
            </w:pPr>
            <w:r>
              <w:rPr>
                <w:b/>
                <w:color w:val="000000"/>
                <w:sz w:val="20"/>
                <w:szCs w:val="20"/>
              </w:rPr>
              <w:t>16</w:t>
            </w:r>
          </w:p>
        </w:tc>
        <w:tc>
          <w:tcPr>
            <w:tcW w:w="929" w:type="dxa"/>
            <w:tcBorders>
              <w:top w:val="nil"/>
              <w:left w:val="nil"/>
              <w:bottom w:val="single" w:sz="4" w:space="0" w:color="000000"/>
              <w:right w:val="single" w:sz="4" w:space="0" w:color="000000"/>
            </w:tcBorders>
            <w:vAlign w:val="center"/>
          </w:tcPr>
          <w:p w14:paraId="1D152EED" w14:textId="77777777" w:rsidR="005472EF" w:rsidRDefault="00932FD2">
            <w:pPr>
              <w:spacing w:before="0" w:after="0" w:line="240" w:lineRule="auto"/>
              <w:jc w:val="center"/>
              <w:rPr>
                <w:b/>
                <w:color w:val="000000"/>
                <w:sz w:val="20"/>
                <w:szCs w:val="20"/>
              </w:rPr>
            </w:pPr>
            <w:r>
              <w:rPr>
                <w:b/>
                <w:color w:val="000000"/>
                <w:sz w:val="20"/>
                <w:szCs w:val="20"/>
              </w:rPr>
              <w:t>1</w:t>
            </w:r>
          </w:p>
        </w:tc>
        <w:tc>
          <w:tcPr>
            <w:tcW w:w="701" w:type="dxa"/>
            <w:tcBorders>
              <w:top w:val="nil"/>
              <w:left w:val="nil"/>
              <w:bottom w:val="single" w:sz="4" w:space="0" w:color="000000"/>
              <w:right w:val="single" w:sz="4" w:space="0" w:color="000000"/>
            </w:tcBorders>
            <w:vAlign w:val="center"/>
          </w:tcPr>
          <w:p w14:paraId="50B600AE" w14:textId="77777777" w:rsidR="005472EF" w:rsidRDefault="00932FD2">
            <w:pPr>
              <w:spacing w:before="0" w:after="0" w:line="240" w:lineRule="auto"/>
              <w:jc w:val="center"/>
              <w:rPr>
                <w:b/>
                <w:color w:val="000000"/>
                <w:sz w:val="20"/>
                <w:szCs w:val="20"/>
              </w:rPr>
            </w:pPr>
            <w:r>
              <w:rPr>
                <w:b/>
                <w:color w:val="000000"/>
                <w:sz w:val="20"/>
                <w:szCs w:val="20"/>
              </w:rPr>
              <w:t>19</w:t>
            </w:r>
          </w:p>
        </w:tc>
        <w:tc>
          <w:tcPr>
            <w:tcW w:w="585" w:type="dxa"/>
            <w:tcBorders>
              <w:top w:val="nil"/>
              <w:left w:val="nil"/>
              <w:bottom w:val="single" w:sz="4" w:space="0" w:color="000000"/>
              <w:right w:val="single" w:sz="4" w:space="0" w:color="000000"/>
            </w:tcBorders>
            <w:vAlign w:val="center"/>
          </w:tcPr>
          <w:p w14:paraId="7144F118" w14:textId="77777777" w:rsidR="005472EF" w:rsidRDefault="00932FD2">
            <w:pPr>
              <w:spacing w:before="0" w:after="0" w:line="240" w:lineRule="auto"/>
              <w:jc w:val="center"/>
              <w:rPr>
                <w:b/>
                <w:color w:val="000000"/>
                <w:sz w:val="20"/>
                <w:szCs w:val="20"/>
              </w:rPr>
            </w:pPr>
            <w:r>
              <w:rPr>
                <w:b/>
                <w:color w:val="000000"/>
                <w:sz w:val="20"/>
                <w:szCs w:val="20"/>
              </w:rPr>
              <w:t>95</w:t>
            </w:r>
          </w:p>
        </w:tc>
        <w:tc>
          <w:tcPr>
            <w:tcW w:w="1085" w:type="dxa"/>
            <w:tcBorders>
              <w:top w:val="nil"/>
              <w:left w:val="nil"/>
              <w:bottom w:val="single" w:sz="4" w:space="0" w:color="000000"/>
              <w:right w:val="single" w:sz="4" w:space="0" w:color="000000"/>
            </w:tcBorders>
            <w:vAlign w:val="center"/>
          </w:tcPr>
          <w:p w14:paraId="7CE21668" w14:textId="77777777" w:rsidR="005472EF" w:rsidRDefault="00932FD2">
            <w:pPr>
              <w:spacing w:before="0" w:after="0" w:line="240" w:lineRule="auto"/>
              <w:jc w:val="center"/>
              <w:rPr>
                <w:b/>
                <w:color w:val="000000"/>
                <w:sz w:val="20"/>
                <w:szCs w:val="20"/>
              </w:rPr>
            </w:pPr>
            <w:r>
              <w:rPr>
                <w:b/>
                <w:color w:val="000000"/>
                <w:sz w:val="20"/>
                <w:szCs w:val="20"/>
              </w:rPr>
              <w:t>17</w:t>
            </w:r>
          </w:p>
        </w:tc>
        <w:tc>
          <w:tcPr>
            <w:tcW w:w="1163" w:type="dxa"/>
            <w:tcBorders>
              <w:top w:val="nil"/>
              <w:left w:val="nil"/>
              <w:bottom w:val="single" w:sz="4" w:space="0" w:color="000000"/>
              <w:right w:val="single" w:sz="4" w:space="0" w:color="000000"/>
            </w:tcBorders>
            <w:vAlign w:val="center"/>
          </w:tcPr>
          <w:p w14:paraId="08829B2E" w14:textId="77777777" w:rsidR="005472EF" w:rsidRDefault="00932FD2">
            <w:pPr>
              <w:spacing w:before="0" w:after="0" w:line="240" w:lineRule="auto"/>
              <w:jc w:val="center"/>
              <w:rPr>
                <w:b/>
                <w:color w:val="000000"/>
                <w:sz w:val="20"/>
                <w:szCs w:val="20"/>
              </w:rPr>
            </w:pPr>
            <w:r>
              <w:rPr>
                <w:b/>
                <w:color w:val="000000"/>
                <w:sz w:val="20"/>
                <w:szCs w:val="20"/>
              </w:rPr>
              <w:t>1</w:t>
            </w:r>
          </w:p>
        </w:tc>
        <w:tc>
          <w:tcPr>
            <w:tcW w:w="1485" w:type="dxa"/>
            <w:tcBorders>
              <w:top w:val="nil"/>
              <w:left w:val="nil"/>
              <w:bottom w:val="single" w:sz="4" w:space="0" w:color="000000"/>
              <w:right w:val="single" w:sz="4" w:space="0" w:color="000000"/>
            </w:tcBorders>
            <w:vAlign w:val="center"/>
          </w:tcPr>
          <w:p w14:paraId="1587EFE2" w14:textId="77777777" w:rsidR="005472EF" w:rsidRDefault="00932FD2">
            <w:pPr>
              <w:spacing w:before="0" w:after="0" w:line="240" w:lineRule="auto"/>
              <w:jc w:val="center"/>
              <w:rPr>
                <w:b/>
                <w:color w:val="000000"/>
                <w:sz w:val="20"/>
                <w:szCs w:val="20"/>
              </w:rPr>
            </w:pPr>
            <w:r>
              <w:rPr>
                <w:b/>
                <w:color w:val="000000"/>
                <w:sz w:val="20"/>
                <w:szCs w:val="20"/>
              </w:rPr>
              <w:t>0</w:t>
            </w:r>
          </w:p>
        </w:tc>
        <w:tc>
          <w:tcPr>
            <w:tcW w:w="1308" w:type="dxa"/>
            <w:tcBorders>
              <w:top w:val="nil"/>
              <w:left w:val="nil"/>
              <w:bottom w:val="single" w:sz="4" w:space="0" w:color="000000"/>
              <w:right w:val="single" w:sz="4" w:space="0" w:color="000000"/>
            </w:tcBorders>
            <w:vAlign w:val="center"/>
          </w:tcPr>
          <w:p w14:paraId="1B0A5F1C" w14:textId="77777777" w:rsidR="005472EF" w:rsidRDefault="00932FD2">
            <w:pPr>
              <w:spacing w:before="0" w:after="0" w:line="240" w:lineRule="auto"/>
              <w:jc w:val="center"/>
              <w:rPr>
                <w:b/>
                <w:color w:val="000000"/>
                <w:sz w:val="20"/>
                <w:szCs w:val="20"/>
              </w:rPr>
            </w:pPr>
            <w:r>
              <w:rPr>
                <w:b/>
                <w:color w:val="000000"/>
                <w:sz w:val="20"/>
                <w:szCs w:val="20"/>
              </w:rPr>
              <w:t>1</w:t>
            </w:r>
          </w:p>
        </w:tc>
      </w:tr>
    </w:tbl>
    <w:p w14:paraId="3996970F" w14:textId="77777777" w:rsidR="005472EF" w:rsidRDefault="005472EF">
      <w:pPr>
        <w:spacing w:before="240" w:after="240"/>
        <w:ind w:firstLine="709"/>
        <w:rPr>
          <w:b/>
          <w:color w:val="000000"/>
        </w:rPr>
      </w:pPr>
    </w:p>
    <w:p w14:paraId="612DF3B0" w14:textId="1A5A2299" w:rsidR="005472EF" w:rsidRPr="00335074" w:rsidRDefault="00932FD2">
      <w:pPr>
        <w:tabs>
          <w:tab w:val="left" w:pos="0"/>
        </w:tabs>
        <w:spacing w:before="240" w:after="240"/>
        <w:rPr>
          <w:color w:val="000000"/>
        </w:rPr>
      </w:pPr>
      <w:r>
        <w:rPr>
          <w:color w:val="000000"/>
        </w:rPr>
        <w:tab/>
      </w:r>
      <w:r w:rsidRPr="00335074">
        <w:rPr>
          <w:color w:val="000000"/>
        </w:rPr>
        <w:t xml:space="preserve">De acordo com o referido informe, </w:t>
      </w:r>
      <w:r w:rsidR="00911D61" w:rsidRPr="00335074">
        <w:rPr>
          <w:color w:val="000000"/>
        </w:rPr>
        <w:t>em 2017 estavam</w:t>
      </w:r>
      <w:r w:rsidRPr="00335074">
        <w:rPr>
          <w:color w:val="000000"/>
        </w:rPr>
        <w:t xml:space="preserve"> em curso ações de</w:t>
      </w:r>
      <w:r w:rsidR="00AC47A8" w:rsidRPr="00335074">
        <w:rPr>
          <w:color w:val="000000"/>
        </w:rPr>
        <w:t>:</w:t>
      </w:r>
    </w:p>
    <w:p w14:paraId="3AEA8D97" w14:textId="77777777" w:rsidR="005472EF" w:rsidRDefault="00932FD2" w:rsidP="00CB7963">
      <w:pPr>
        <w:tabs>
          <w:tab w:val="left" w:pos="2268"/>
        </w:tabs>
        <w:spacing w:before="240" w:after="240" w:line="240" w:lineRule="auto"/>
        <w:ind w:left="2268"/>
        <w:rPr>
          <w:color w:val="000000"/>
          <w:sz w:val="22"/>
          <w:szCs w:val="22"/>
        </w:rPr>
      </w:pPr>
      <w:r w:rsidRPr="00335074">
        <w:rPr>
          <w:color w:val="000000"/>
          <w:sz w:val="22"/>
          <w:szCs w:val="22"/>
        </w:rPr>
        <w:t xml:space="preserve">[...] cooperação internacional para a prevenção e combate ao tráfico de pessoas, principalmente ao nível da região, [...]. [adesão] ao sistema de gestão e </w:t>
      </w:r>
      <w:proofErr w:type="spellStart"/>
      <w:r w:rsidRPr="00335074">
        <w:rPr>
          <w:color w:val="000000"/>
          <w:sz w:val="22"/>
          <w:szCs w:val="22"/>
        </w:rPr>
        <w:t>colecta</w:t>
      </w:r>
      <w:proofErr w:type="spellEnd"/>
      <w:r w:rsidRPr="00335074">
        <w:rPr>
          <w:color w:val="000000"/>
          <w:sz w:val="22"/>
          <w:szCs w:val="22"/>
        </w:rPr>
        <w:t xml:space="preserve"> de dados de tráfico de pessoas, da SADC, harmonizando-o com o nosso sistema jurídico</w:t>
      </w:r>
      <w:r w:rsidRPr="00335074">
        <w:rPr>
          <w:color w:val="000000"/>
          <w:sz w:val="22"/>
          <w:szCs w:val="22"/>
          <w:vertAlign w:val="superscript"/>
        </w:rPr>
        <w:footnoteReference w:id="106"/>
      </w:r>
      <w:r w:rsidRPr="00335074">
        <w:rPr>
          <w:color w:val="000000"/>
          <w:sz w:val="22"/>
          <w:szCs w:val="22"/>
        </w:rPr>
        <w:t>.</w:t>
      </w:r>
    </w:p>
    <w:p w14:paraId="5346ADD9" w14:textId="3159A265" w:rsidR="005472EF" w:rsidRDefault="00932FD2">
      <w:pPr>
        <w:spacing w:before="240" w:after="240"/>
        <w:ind w:right="0" w:firstLine="720"/>
        <w:rPr>
          <w:color w:val="000000"/>
        </w:rPr>
      </w:pPr>
      <w:r w:rsidRPr="00335074">
        <w:rPr>
          <w:color w:val="000000"/>
        </w:rPr>
        <w:t xml:space="preserve">Essa questão da inexistência de dados estatísticos sobre o tráfico de pessoas foi recentemente </w:t>
      </w:r>
      <w:r w:rsidR="003974D4" w:rsidRPr="00335074">
        <w:rPr>
          <w:color w:val="000000"/>
        </w:rPr>
        <w:t xml:space="preserve">abordada por Vitalina </w:t>
      </w:r>
      <w:proofErr w:type="spellStart"/>
      <w:r w:rsidR="003974D4" w:rsidRPr="00335074">
        <w:rPr>
          <w:color w:val="000000"/>
        </w:rPr>
        <w:t>Papadakis</w:t>
      </w:r>
      <w:proofErr w:type="spellEnd"/>
      <w:r w:rsidRPr="00335074">
        <w:rPr>
          <w:color w:val="000000"/>
        </w:rPr>
        <w:t xml:space="preserve">, na Cúpula de Mulheres Juízas e Procuradoras Africanas sobre Tráfico de Pessoas e Criminalidade Organizada, realizada em 2019, na </w:t>
      </w:r>
      <w:proofErr w:type="spellStart"/>
      <w:r w:rsidRPr="00335074">
        <w:rPr>
          <w:color w:val="000000"/>
        </w:rPr>
        <w:t>Casina</w:t>
      </w:r>
      <w:proofErr w:type="spellEnd"/>
      <w:r w:rsidRPr="00335074">
        <w:rPr>
          <w:color w:val="000000"/>
        </w:rPr>
        <w:t xml:space="preserve"> Pio IV, Cidade de Vaticano, onde </w:t>
      </w:r>
      <w:r w:rsidR="004C6099" w:rsidRPr="00335074">
        <w:rPr>
          <w:color w:val="000000"/>
        </w:rPr>
        <w:t>utilizando o</w:t>
      </w:r>
      <w:r w:rsidRPr="00335074">
        <w:rPr>
          <w:color w:val="000000"/>
        </w:rPr>
        <w:t xml:space="preserve"> estudo encomendado pela PGR, referiu que as poucas informações estatísticas disponíveis sobre o tráfico de pessoas </w:t>
      </w:r>
      <w:r w:rsidRPr="00335074">
        <w:rPr>
          <w:color w:val="000000"/>
        </w:rPr>
        <w:lastRenderedPageBreak/>
        <w:t>são imprecisas</w:t>
      </w:r>
      <w:r w:rsidRPr="00335074">
        <w:rPr>
          <w:color w:val="000000"/>
          <w:vertAlign w:val="superscript"/>
        </w:rPr>
        <w:footnoteReference w:id="107"/>
      </w:r>
      <w:r w:rsidRPr="00335074">
        <w:rPr>
          <w:color w:val="000000"/>
        </w:rPr>
        <w:t>, assim como o fato de não existirem "dados estatísticos [consolidados] sobre casos identificados, acusados e julgados”</w:t>
      </w:r>
      <w:r w:rsidRPr="00335074">
        <w:rPr>
          <w:color w:val="000000"/>
          <w:vertAlign w:val="superscript"/>
        </w:rPr>
        <w:footnoteReference w:id="108"/>
      </w:r>
      <w:r w:rsidRPr="00335074">
        <w:rPr>
          <w:color w:val="000000"/>
        </w:rPr>
        <w:t>.</w:t>
      </w:r>
      <w:r>
        <w:rPr>
          <w:color w:val="000000"/>
        </w:rPr>
        <w:t xml:space="preserve"> </w:t>
      </w:r>
    </w:p>
    <w:p w14:paraId="59884F6C" w14:textId="4BCF9DF0" w:rsidR="005472EF" w:rsidRDefault="00932FD2">
      <w:pPr>
        <w:tabs>
          <w:tab w:val="left" w:pos="0"/>
        </w:tabs>
        <w:spacing w:before="240" w:after="240"/>
        <w:ind w:firstLine="709"/>
        <w:rPr>
          <w:color w:val="000000"/>
        </w:rPr>
      </w:pPr>
      <w:r w:rsidRPr="00335074">
        <w:rPr>
          <w:color w:val="000000"/>
        </w:rPr>
        <w:t xml:space="preserve">Esses esforços, sobretudo no que </w:t>
      </w:r>
      <w:r w:rsidR="004C6099" w:rsidRPr="00335074">
        <w:rPr>
          <w:color w:val="000000"/>
        </w:rPr>
        <w:t>se refere</w:t>
      </w:r>
      <w:r w:rsidRPr="00335074">
        <w:rPr>
          <w:color w:val="000000"/>
        </w:rPr>
        <w:t xml:space="preserve"> à inclusão de informações na base de dados da SADC, constituem um avanço para Moçambique, não só ao nível regional, mas também internacional. </w:t>
      </w:r>
      <w:r w:rsidR="004C6099" w:rsidRPr="00335074">
        <w:rPr>
          <w:color w:val="000000"/>
        </w:rPr>
        <w:t>Nesse contexto</w:t>
      </w:r>
      <w:r w:rsidRPr="00335074">
        <w:rPr>
          <w:color w:val="000000"/>
        </w:rPr>
        <w:t xml:space="preserve">, a Procuradora-Geral da República </w:t>
      </w:r>
      <w:r w:rsidR="004C6099" w:rsidRPr="00335074">
        <w:rPr>
          <w:color w:val="000000"/>
        </w:rPr>
        <w:t>asseverou</w:t>
      </w:r>
      <w:r w:rsidRPr="00335074">
        <w:rPr>
          <w:color w:val="000000"/>
        </w:rPr>
        <w:t xml:space="preserve"> </w:t>
      </w:r>
      <w:r w:rsidR="004C6099" w:rsidRPr="00335074">
        <w:rPr>
          <w:color w:val="000000"/>
        </w:rPr>
        <w:t>a existência de</w:t>
      </w:r>
      <w:r w:rsidRPr="00335074">
        <w:rPr>
          <w:color w:val="000000"/>
        </w:rPr>
        <w:t xml:space="preserve"> desafios</w:t>
      </w:r>
      <w:r w:rsidR="00C7431A" w:rsidRPr="00335074">
        <w:rPr>
          <w:color w:val="000000"/>
        </w:rPr>
        <w:t>, embora estejam</w:t>
      </w:r>
      <w:r w:rsidRPr="00335074">
        <w:rPr>
          <w:color w:val="000000"/>
        </w:rPr>
        <w:t xml:space="preserve"> em curso ações de cooperação internacional, que incluem a inclusão de Moçambique no sistema de gestão e coleta de dados de tráfico de pessoas da SADC, assim como a necessidade de garantir a harmonização dessa base ao sistema jurídico moçambicano</w:t>
      </w:r>
      <w:r w:rsidRPr="00335074">
        <w:rPr>
          <w:color w:val="000000"/>
          <w:vertAlign w:val="superscript"/>
        </w:rPr>
        <w:footnoteReference w:id="109"/>
      </w:r>
      <w:r w:rsidRPr="00335074">
        <w:rPr>
          <w:color w:val="000000"/>
        </w:rPr>
        <w:t>.</w:t>
      </w:r>
      <w:r>
        <w:rPr>
          <w:color w:val="000000"/>
        </w:rPr>
        <w:t xml:space="preserve"> </w:t>
      </w:r>
    </w:p>
    <w:p w14:paraId="5D5BCA29" w14:textId="6AA1FB54" w:rsidR="005472EF" w:rsidRDefault="00C7431A">
      <w:pPr>
        <w:tabs>
          <w:tab w:val="left" w:pos="0"/>
        </w:tabs>
        <w:spacing w:before="240" w:after="240"/>
        <w:ind w:firstLine="709"/>
        <w:rPr>
          <w:color w:val="000000"/>
        </w:rPr>
      </w:pPr>
      <w:r w:rsidRPr="00335074">
        <w:rPr>
          <w:color w:val="000000"/>
        </w:rPr>
        <w:t>Nesse diapasão</w:t>
      </w:r>
      <w:r w:rsidR="00932FD2" w:rsidRPr="00335074">
        <w:rPr>
          <w:color w:val="000000"/>
        </w:rPr>
        <w:t xml:space="preserve">, a operacionalização desse sistema de gestão de base é fundamental para que Moçambique consiga enviar os dados de casos julgados na base de dados da UNODC, de modo a sustentar a referida base e responder </w:t>
      </w:r>
      <w:r w:rsidR="00F9666D" w:rsidRPr="00335074">
        <w:rPr>
          <w:color w:val="000000"/>
        </w:rPr>
        <w:t>de modo adequado</w:t>
      </w:r>
      <w:r w:rsidR="00932FD2" w:rsidRPr="00335074">
        <w:rPr>
          <w:color w:val="000000"/>
        </w:rPr>
        <w:t xml:space="preserve"> </w:t>
      </w:r>
      <w:r w:rsidR="00F9666D" w:rsidRPr="00335074">
        <w:rPr>
          <w:color w:val="000000"/>
        </w:rPr>
        <w:t xml:space="preserve">ao </w:t>
      </w:r>
      <w:r w:rsidR="00D77DCC" w:rsidRPr="00335074">
        <w:rPr>
          <w:color w:val="000000"/>
        </w:rPr>
        <w:t xml:space="preserve">que </w:t>
      </w:r>
      <w:r w:rsidR="00932FD2" w:rsidRPr="00335074">
        <w:rPr>
          <w:color w:val="000000"/>
        </w:rPr>
        <w:t>Protocolo de Palermo (2000)</w:t>
      </w:r>
      <w:r w:rsidR="00D77DCC" w:rsidRPr="00335074">
        <w:rPr>
          <w:color w:val="000000"/>
        </w:rPr>
        <w:t xml:space="preserve"> determina,</w:t>
      </w:r>
      <w:r w:rsidR="00932FD2" w:rsidRPr="00335074">
        <w:rPr>
          <w:color w:val="000000"/>
        </w:rPr>
        <w:t xml:space="preserve"> atinente ao intercâmbio de informações sobre o tráfico de pessoas.</w:t>
      </w:r>
      <w:r w:rsidR="00932FD2">
        <w:rPr>
          <w:color w:val="000000"/>
        </w:rPr>
        <w:t xml:space="preserve"> </w:t>
      </w:r>
    </w:p>
    <w:p w14:paraId="0998023D" w14:textId="77777777" w:rsidR="005472EF" w:rsidRDefault="00932FD2">
      <w:pPr>
        <w:spacing w:before="240" w:after="240"/>
        <w:ind w:right="0" w:firstLine="720"/>
        <w:rPr>
          <w:b/>
          <w:color w:val="000000"/>
        </w:rPr>
      </w:pPr>
      <w:r>
        <w:rPr>
          <w:b/>
          <w:color w:val="000000"/>
        </w:rPr>
        <w:t>5. Considerações finais</w:t>
      </w:r>
    </w:p>
    <w:p w14:paraId="279AA618" w14:textId="636FF7A7" w:rsidR="005472EF" w:rsidRPr="00335074" w:rsidRDefault="00932FD2">
      <w:pPr>
        <w:spacing w:before="240" w:after="240"/>
        <w:ind w:right="0" w:firstLine="720"/>
        <w:rPr>
          <w:color w:val="auto"/>
        </w:rPr>
      </w:pPr>
      <w:r w:rsidRPr="00335074">
        <w:rPr>
          <w:color w:val="auto"/>
        </w:rPr>
        <w:t>O conceito do tráfico de pessoas em Moçambique é inspirado no Protocolo de Palermo (2000). O referido conceito surge no esforço do Estado moçambicano providenciar um quadro jurídico nacional de prevenção e combate ao tráfico de pessoas em observância aos instrumentos normativos internacionais e regionais de proteção aos direitos humanos e fundamentais das pessoas.</w:t>
      </w:r>
    </w:p>
    <w:p w14:paraId="72E2A894" w14:textId="77777777" w:rsidR="005472EF" w:rsidRPr="00335074" w:rsidRDefault="00932FD2">
      <w:pPr>
        <w:spacing w:before="240" w:after="240"/>
        <w:ind w:right="0" w:firstLine="720"/>
        <w:rPr>
          <w:color w:val="auto"/>
        </w:rPr>
      </w:pPr>
      <w:r w:rsidRPr="00335074">
        <w:rPr>
          <w:color w:val="auto"/>
        </w:rPr>
        <w:lastRenderedPageBreak/>
        <w:t>Apesar dessas ações que permitiram Moçambique a formular políticas públicas de prevenção e combate ao tráfico de pessoas, o país se ressente da falta de regulamentação da Lei sobre o tráfico de pessoas e da inexistência de um Plano de ação nacional para atender a questão do tráfico de pessoas.</w:t>
      </w:r>
    </w:p>
    <w:p w14:paraId="7C6A2901" w14:textId="49F0C150" w:rsidR="005472EF" w:rsidRPr="00335074" w:rsidRDefault="00932FD2">
      <w:pPr>
        <w:spacing w:before="240" w:after="240"/>
        <w:ind w:right="0" w:firstLine="720"/>
        <w:rPr>
          <w:color w:val="auto"/>
        </w:rPr>
      </w:pPr>
      <w:r w:rsidRPr="00335074">
        <w:rPr>
          <w:color w:val="auto"/>
        </w:rPr>
        <w:t xml:space="preserve">Moçambique está, atualmente, no Nível 2 sobre o cumprimento dos padrões de formulação e implementação de legislação sobre tráfico de pessoas, o que demonstra seu compromisso em prevenção e combate ao tráfico de pessoas, especialmente mulheres e crianças. Esse reconhecimento decorre das avaliações que o Estado vem sendo submetido desde o desenvolvimento de esforços iniciados em 2000, com a adesão à Convenção </w:t>
      </w:r>
      <w:r w:rsidR="00A27E6D" w:rsidRPr="00335074">
        <w:rPr>
          <w:color w:val="auto"/>
        </w:rPr>
        <w:t>de Palermo</w:t>
      </w:r>
      <w:r w:rsidRPr="00335074">
        <w:rPr>
          <w:color w:val="auto"/>
        </w:rPr>
        <w:t xml:space="preserve"> e o Protocolo de Palermo, ins</w:t>
      </w:r>
      <w:r w:rsidR="00A27E6D" w:rsidRPr="00335074">
        <w:rPr>
          <w:color w:val="auto"/>
        </w:rPr>
        <w:t>tr</w:t>
      </w:r>
      <w:r w:rsidRPr="00335074">
        <w:rPr>
          <w:color w:val="auto"/>
        </w:rPr>
        <w:t>umentos internacionais que definem uma agenda global de enfrentamento a criminalidade organizada transnacional e ao tráfico de pessoas, respectivamente.</w:t>
      </w:r>
    </w:p>
    <w:p w14:paraId="0FB3F34B" w14:textId="112CC573" w:rsidR="005472EF" w:rsidRDefault="00932FD2">
      <w:pPr>
        <w:spacing w:before="240" w:after="240"/>
        <w:ind w:right="0" w:firstLine="720"/>
        <w:rPr>
          <w:color w:val="auto"/>
        </w:rPr>
      </w:pPr>
      <w:r w:rsidRPr="00335074">
        <w:rPr>
          <w:color w:val="auto"/>
        </w:rPr>
        <w:t>A base de dados da UNODC apresenta</w:t>
      </w:r>
      <w:r w:rsidR="000206C2" w:rsidRPr="00335074">
        <w:rPr>
          <w:color w:val="auto"/>
        </w:rPr>
        <w:t xml:space="preserve"> tão somente </w:t>
      </w:r>
      <w:r w:rsidRPr="00335074">
        <w:rPr>
          <w:color w:val="auto"/>
        </w:rPr>
        <w:t>um caso julgado de Moçambique. Tal situação minimiza os esforços do país no enfrentamento ao tráfico de pessoas, vez que os dados de jurisprudência sobre casos oficialmente documentados de tráfico de pessoas iriam aumentar a visibilidade de processos bem-sucedidos e, ao mesmo tempo, promover a conscientização sobre a dimensão desse crime internamente.</w:t>
      </w:r>
    </w:p>
    <w:p w14:paraId="1A1EDCB9" w14:textId="77777777" w:rsidR="00A05C99" w:rsidRDefault="00A05C99">
      <w:pPr>
        <w:spacing w:before="240" w:after="240"/>
        <w:ind w:right="0" w:firstLine="720"/>
        <w:rPr>
          <w:color w:val="auto"/>
        </w:rPr>
      </w:pPr>
    </w:p>
    <w:p w14:paraId="1CFFF99E" w14:textId="77777777" w:rsidR="00A05C99" w:rsidRDefault="00A05C99">
      <w:pPr>
        <w:spacing w:before="240" w:after="240"/>
        <w:ind w:right="0" w:firstLine="720"/>
        <w:rPr>
          <w:color w:val="auto"/>
        </w:rPr>
      </w:pPr>
    </w:p>
    <w:p w14:paraId="2317D7D3" w14:textId="77777777" w:rsidR="00A05C99" w:rsidRPr="00335074" w:rsidRDefault="00A05C99">
      <w:pPr>
        <w:spacing w:before="240" w:after="240"/>
        <w:ind w:right="0" w:firstLine="720"/>
        <w:rPr>
          <w:color w:val="auto"/>
        </w:rPr>
      </w:pPr>
    </w:p>
    <w:p w14:paraId="7C8C7428" w14:textId="58F1C2DA" w:rsidR="005472EF" w:rsidRDefault="00D4268C">
      <w:pPr>
        <w:spacing w:before="240" w:after="240"/>
        <w:rPr>
          <w:b/>
          <w:color w:val="000000"/>
        </w:rPr>
      </w:pPr>
      <w:r>
        <w:rPr>
          <w:b/>
          <w:color w:val="000000"/>
        </w:rPr>
        <w:t>R</w:t>
      </w:r>
      <w:r w:rsidR="00932FD2">
        <w:rPr>
          <w:b/>
          <w:color w:val="000000"/>
        </w:rPr>
        <w:t>EFERÊNCIAS</w:t>
      </w:r>
    </w:p>
    <w:p w14:paraId="33511493" w14:textId="77777777" w:rsidR="005472EF" w:rsidRPr="00335074" w:rsidRDefault="00932FD2">
      <w:pPr>
        <w:spacing w:before="200" w:after="200"/>
        <w:rPr>
          <w:color w:val="auto"/>
        </w:rPr>
      </w:pPr>
      <w:r w:rsidRPr="00335074">
        <w:rPr>
          <w:color w:val="auto"/>
        </w:rPr>
        <w:t xml:space="preserve">CARTA AFRICANA. </w:t>
      </w:r>
      <w:r w:rsidRPr="00335074">
        <w:rPr>
          <w:i/>
          <w:color w:val="auto"/>
        </w:rPr>
        <w:t>Resolução n. 9/88, de 25 de agosto de 1981</w:t>
      </w:r>
      <w:r w:rsidRPr="00335074">
        <w:rPr>
          <w:color w:val="auto"/>
        </w:rPr>
        <w:t>. Ratifica a Carta africana dos Direitos Humanos e dos Povos de 1979. Boletim da República – Conselho de Ministros. Maputo: Imprensa Nacional.</w:t>
      </w:r>
    </w:p>
    <w:p w14:paraId="488F1090" w14:textId="77777777" w:rsidR="005472EF" w:rsidRPr="00335074" w:rsidRDefault="00932FD2">
      <w:pPr>
        <w:spacing w:before="200" w:after="200"/>
        <w:rPr>
          <w:color w:val="auto"/>
        </w:rPr>
      </w:pPr>
      <w:r w:rsidRPr="00335074">
        <w:rPr>
          <w:color w:val="auto"/>
        </w:rPr>
        <w:lastRenderedPageBreak/>
        <w:t xml:space="preserve">CORRÊA DA SILVA, </w:t>
      </w:r>
      <w:proofErr w:type="spellStart"/>
      <w:r w:rsidRPr="00335074">
        <w:rPr>
          <w:color w:val="auto"/>
        </w:rPr>
        <w:t>Waldimeiry</w:t>
      </w:r>
      <w:proofErr w:type="spellEnd"/>
      <w:r w:rsidRPr="00335074">
        <w:rPr>
          <w:color w:val="auto"/>
        </w:rPr>
        <w:t xml:space="preserve">. </w:t>
      </w:r>
      <w:r w:rsidRPr="00335074">
        <w:rPr>
          <w:i/>
          <w:color w:val="auto"/>
        </w:rPr>
        <w:t>Regime Internacional de Enfrentamento ao Tráfico de Pessoas: avanços e desafios para a proteção dos direitos humanos</w:t>
      </w:r>
      <w:r w:rsidRPr="00335074">
        <w:rPr>
          <w:color w:val="auto"/>
        </w:rPr>
        <w:t xml:space="preserve">. Rio de Janeiro: </w:t>
      </w:r>
      <w:proofErr w:type="spellStart"/>
      <w:r w:rsidRPr="00335074">
        <w:rPr>
          <w:color w:val="auto"/>
        </w:rPr>
        <w:t>Lumen</w:t>
      </w:r>
      <w:proofErr w:type="spellEnd"/>
      <w:r w:rsidRPr="00335074">
        <w:rPr>
          <w:color w:val="auto"/>
        </w:rPr>
        <w:t xml:space="preserve"> Juris, 2018. </w:t>
      </w:r>
    </w:p>
    <w:p w14:paraId="337B30E4" w14:textId="4388D58F" w:rsidR="005472EF" w:rsidRPr="00335074" w:rsidRDefault="00932FD2">
      <w:pPr>
        <w:spacing w:before="200" w:after="200"/>
        <w:rPr>
          <w:color w:val="auto"/>
        </w:rPr>
      </w:pPr>
      <w:r w:rsidRPr="00335074">
        <w:rPr>
          <w:color w:val="auto"/>
        </w:rPr>
        <w:t xml:space="preserve">DUDH. </w:t>
      </w:r>
      <w:r w:rsidRPr="00335074">
        <w:rPr>
          <w:i/>
          <w:color w:val="auto"/>
        </w:rPr>
        <w:t>Declaração Universal dos Direitos Humanos</w:t>
      </w:r>
      <w:r w:rsidRPr="00335074">
        <w:rPr>
          <w:color w:val="auto"/>
        </w:rPr>
        <w:t>. Nova York: 1948. Disponível em: &lt;</w:t>
      </w:r>
      <w:hyperlink r:id="rId9">
        <w:r w:rsidRPr="00335074">
          <w:rPr>
            <w:color w:val="auto"/>
            <w:u w:val="single"/>
          </w:rPr>
          <w:t>https://nacoesunidas.org/wp-content/uploads/2018/10/DUDH.pdf</w:t>
        </w:r>
      </w:hyperlink>
      <w:r w:rsidRPr="00335074">
        <w:rPr>
          <w:color w:val="auto"/>
        </w:rPr>
        <w:t>&gt;. Acesso em: 5 mai</w:t>
      </w:r>
      <w:r w:rsidR="00D6056F" w:rsidRPr="00335074">
        <w:rPr>
          <w:color w:val="auto"/>
        </w:rPr>
        <w:t xml:space="preserve">o </w:t>
      </w:r>
      <w:r w:rsidRPr="00335074">
        <w:rPr>
          <w:color w:val="auto"/>
        </w:rPr>
        <w:t>2020.</w:t>
      </w:r>
    </w:p>
    <w:p w14:paraId="180F66BC" w14:textId="179B764D" w:rsidR="005472EF" w:rsidRPr="00335074" w:rsidRDefault="00932FD2">
      <w:pPr>
        <w:spacing w:before="200" w:after="200"/>
        <w:rPr>
          <w:color w:val="auto"/>
        </w:rPr>
      </w:pPr>
      <w:r w:rsidRPr="00335074">
        <w:rPr>
          <w:color w:val="auto"/>
        </w:rPr>
        <w:t xml:space="preserve">EMBAIXADA DOS EUA. </w:t>
      </w:r>
      <w:r w:rsidRPr="00335074">
        <w:rPr>
          <w:i/>
          <w:color w:val="auto"/>
        </w:rPr>
        <w:t>Relatório sobre o Tráfico de Pessoas em Moçambique de 2018</w:t>
      </w:r>
      <w:r w:rsidRPr="00335074">
        <w:rPr>
          <w:color w:val="auto"/>
        </w:rPr>
        <w:t>. Maputo: Departamento do Estado. 2019. Disponível em: &lt;</w:t>
      </w:r>
      <w:hyperlink r:id="rId10">
        <w:r w:rsidRPr="00335074">
          <w:rPr>
            <w:color w:val="auto"/>
            <w:u w:val="single"/>
          </w:rPr>
          <w:t>https://mz.usembassy.gov/wp-content/uploads/sites/182/MOZAMBIQUE-2018-TIP-Report-Narrative-FINAL-18JUNE2018-Port-004.pdf</w:t>
        </w:r>
      </w:hyperlink>
      <w:r w:rsidRPr="00335074">
        <w:rPr>
          <w:color w:val="auto"/>
        </w:rPr>
        <w:t>&gt;. Acesso em: 1 mai</w:t>
      </w:r>
      <w:r w:rsidR="0088679E" w:rsidRPr="00335074">
        <w:rPr>
          <w:color w:val="auto"/>
        </w:rPr>
        <w:t xml:space="preserve">o </w:t>
      </w:r>
      <w:r w:rsidRPr="00335074">
        <w:rPr>
          <w:color w:val="auto"/>
        </w:rPr>
        <w:t>2020.</w:t>
      </w:r>
    </w:p>
    <w:p w14:paraId="21E4EDDA" w14:textId="77777777" w:rsidR="005472EF" w:rsidRPr="00335074" w:rsidRDefault="00932FD2">
      <w:pPr>
        <w:spacing w:before="200" w:after="200"/>
        <w:rPr>
          <w:color w:val="auto"/>
        </w:rPr>
      </w:pPr>
      <w:r w:rsidRPr="00335074">
        <w:rPr>
          <w:color w:val="auto"/>
        </w:rPr>
        <w:t xml:space="preserve">FDC. </w:t>
      </w:r>
      <w:r w:rsidRPr="00335074">
        <w:rPr>
          <w:i/>
          <w:color w:val="auto"/>
        </w:rPr>
        <w:t>Violência contra Menores em Moçambique</w:t>
      </w:r>
      <w:r w:rsidRPr="00335074">
        <w:rPr>
          <w:color w:val="auto"/>
        </w:rPr>
        <w:t>. Revisão da Literatura. Maputo: Editora KULA Estudos e Pesquisa Aplicada, Ltda, 2008.</w:t>
      </w:r>
    </w:p>
    <w:p w14:paraId="66857678" w14:textId="0B01EB08" w:rsidR="005472EF" w:rsidRPr="00335074" w:rsidRDefault="00932FD2">
      <w:pPr>
        <w:spacing w:before="200" w:after="200"/>
        <w:rPr>
          <w:color w:val="auto"/>
        </w:rPr>
      </w:pPr>
      <w:r w:rsidRPr="00335074">
        <w:rPr>
          <w:color w:val="auto"/>
        </w:rPr>
        <w:t xml:space="preserve">MAGODE, Joaquim; JOSÉ, Patrício; CONGOLO, Frederico; CADEADO, </w:t>
      </w:r>
      <w:proofErr w:type="spellStart"/>
      <w:r w:rsidRPr="00335074">
        <w:rPr>
          <w:color w:val="auto"/>
        </w:rPr>
        <w:t>Calton</w:t>
      </w:r>
      <w:proofErr w:type="spellEnd"/>
      <w:r w:rsidRPr="00335074">
        <w:rPr>
          <w:color w:val="auto"/>
        </w:rPr>
        <w:t xml:space="preserve">; PATRÍCIO, António; LINDY, Rafael. </w:t>
      </w:r>
      <w:r w:rsidRPr="00335074">
        <w:rPr>
          <w:i/>
          <w:color w:val="auto"/>
        </w:rPr>
        <w:t xml:space="preserve">Tráfico de Pessoas em Moçambique, em particular de crianças. </w:t>
      </w:r>
      <w:r w:rsidRPr="00335074">
        <w:rPr>
          <w:color w:val="auto"/>
        </w:rPr>
        <w:t xml:space="preserve">Moçambique: Procuradoria Geral da República, 2014. </w:t>
      </w:r>
    </w:p>
    <w:p w14:paraId="291ED53A" w14:textId="77777777" w:rsidR="005472EF" w:rsidRPr="00335074" w:rsidRDefault="00932FD2">
      <w:pPr>
        <w:spacing w:before="200" w:after="200"/>
        <w:rPr>
          <w:color w:val="auto"/>
        </w:rPr>
      </w:pPr>
      <w:r w:rsidRPr="00335074">
        <w:rPr>
          <w:color w:val="auto"/>
        </w:rPr>
        <w:t xml:space="preserve">MARIANO, Esmeralda; BRAGA, Carla; MOREIRA, Andrea. </w:t>
      </w:r>
      <w:r w:rsidRPr="00335074">
        <w:rPr>
          <w:i/>
          <w:color w:val="auto"/>
        </w:rPr>
        <w:t>Estudo sobre o Tráfico de órgãos e partes de corpo humano na Região Sul de Moçambique</w:t>
      </w:r>
      <w:r w:rsidRPr="00335074">
        <w:rPr>
          <w:color w:val="auto"/>
        </w:rPr>
        <w:t>. Maputo: CEMIRDE, 2016.</w:t>
      </w:r>
    </w:p>
    <w:p w14:paraId="1EE6E0AC" w14:textId="11D0F5B4" w:rsidR="005472EF" w:rsidRPr="00335074" w:rsidRDefault="00932FD2">
      <w:pPr>
        <w:spacing w:before="200" w:after="200"/>
        <w:rPr>
          <w:color w:val="auto"/>
        </w:rPr>
      </w:pPr>
      <w:r w:rsidRPr="00335074">
        <w:rPr>
          <w:color w:val="auto"/>
        </w:rPr>
        <w:t xml:space="preserve">MOÇAMBIQUE. </w:t>
      </w:r>
      <w:r w:rsidRPr="00335074">
        <w:rPr>
          <w:i/>
          <w:color w:val="auto"/>
        </w:rPr>
        <w:t>Constituição da República de Moçambique (CRM).</w:t>
      </w:r>
      <w:r w:rsidRPr="00335074">
        <w:rPr>
          <w:color w:val="auto"/>
        </w:rPr>
        <w:t xml:space="preserve"> Maputo: Plural. 2004. Disponível em: &lt;</w:t>
      </w:r>
      <w:hyperlink r:id="rId11">
        <w:r w:rsidRPr="00335074">
          <w:rPr>
            <w:color w:val="auto"/>
            <w:u w:val="single"/>
          </w:rPr>
          <w:t>https://www.portaldogoverno.gov.mz/por/Media/Files/Constituicao-da-Republica-PDF</w:t>
        </w:r>
      </w:hyperlink>
      <w:r w:rsidRPr="00335074">
        <w:rPr>
          <w:color w:val="auto"/>
        </w:rPr>
        <w:t>&gt;. Acesso em: 8 mai</w:t>
      </w:r>
      <w:r w:rsidR="00D6056F" w:rsidRPr="00335074">
        <w:rPr>
          <w:color w:val="auto"/>
        </w:rPr>
        <w:t>o</w:t>
      </w:r>
      <w:r w:rsidRPr="00335074">
        <w:rPr>
          <w:color w:val="auto"/>
        </w:rPr>
        <w:t xml:space="preserve"> 2020.</w:t>
      </w:r>
    </w:p>
    <w:p w14:paraId="1A45EEB8" w14:textId="63A5AE43" w:rsidR="005472EF" w:rsidRPr="00335074" w:rsidRDefault="00932FD2">
      <w:pPr>
        <w:spacing w:before="200" w:after="200"/>
        <w:rPr>
          <w:color w:val="auto"/>
        </w:rPr>
      </w:pPr>
      <w:r w:rsidRPr="00335074">
        <w:rPr>
          <w:color w:val="auto"/>
        </w:rPr>
        <w:t xml:space="preserve">KANIMAMBO. Breve enquadramento da situação </w:t>
      </w:r>
      <w:proofErr w:type="spellStart"/>
      <w:r w:rsidRPr="00335074">
        <w:rPr>
          <w:color w:val="auto"/>
        </w:rPr>
        <w:t>actual</w:t>
      </w:r>
      <w:proofErr w:type="spellEnd"/>
      <w:r w:rsidRPr="00335074">
        <w:rPr>
          <w:color w:val="auto"/>
        </w:rPr>
        <w:t xml:space="preserve"> em Moçambique. 2020. Dispon</w:t>
      </w:r>
      <w:r w:rsidR="000206C2" w:rsidRPr="00335074">
        <w:rPr>
          <w:color w:val="auto"/>
        </w:rPr>
        <w:t>í</w:t>
      </w:r>
      <w:r w:rsidRPr="00335074">
        <w:rPr>
          <w:color w:val="auto"/>
        </w:rPr>
        <w:t>vel em:</w:t>
      </w:r>
      <w:hyperlink r:id="rId12">
        <w:r w:rsidRPr="00335074">
          <w:rPr>
            <w:color w:val="auto"/>
          </w:rPr>
          <w:t xml:space="preserve"> &lt;</w:t>
        </w:r>
      </w:hyperlink>
      <w:hyperlink r:id="rId13">
        <w:r w:rsidRPr="00335074">
          <w:rPr>
            <w:color w:val="auto"/>
            <w:u w:val="single"/>
          </w:rPr>
          <w:t>https://www.uccla.pt/sites/default/files/mk_doc_enquadramento_18set_2.pdf</w:t>
        </w:r>
      </w:hyperlink>
      <w:r w:rsidRPr="00335074">
        <w:rPr>
          <w:color w:val="auto"/>
        </w:rPr>
        <w:t>&gt;. Acesso em: 25 jun. 2020.</w:t>
      </w:r>
    </w:p>
    <w:p w14:paraId="07E3C038" w14:textId="77777777" w:rsidR="005472EF" w:rsidRPr="00335074" w:rsidRDefault="00932FD2">
      <w:pPr>
        <w:spacing w:before="200" w:after="200"/>
        <w:rPr>
          <w:color w:val="auto"/>
        </w:rPr>
      </w:pPr>
      <w:r w:rsidRPr="00335074">
        <w:rPr>
          <w:color w:val="auto"/>
        </w:rPr>
        <w:lastRenderedPageBreak/>
        <w:t xml:space="preserve">MOÇAMBIQUE. Lei n. 35/2014, de 31 de dezembro de 2014. </w:t>
      </w:r>
      <w:r w:rsidRPr="00335074">
        <w:rPr>
          <w:i/>
          <w:color w:val="auto"/>
        </w:rPr>
        <w:t xml:space="preserve">Lei da Revisão do Código Penal </w:t>
      </w:r>
      <w:r w:rsidRPr="00335074">
        <w:rPr>
          <w:color w:val="auto"/>
        </w:rPr>
        <w:t>(CP)</w:t>
      </w:r>
      <w:r w:rsidRPr="00335074">
        <w:rPr>
          <w:i/>
          <w:color w:val="auto"/>
        </w:rPr>
        <w:t xml:space="preserve">. </w:t>
      </w:r>
      <w:r w:rsidRPr="00335074">
        <w:rPr>
          <w:color w:val="auto"/>
        </w:rPr>
        <w:t>Boletim da República. Maputo: Imprensa Nacional. Disponível em: &lt;</w:t>
      </w:r>
      <w:hyperlink r:id="rId14">
        <w:r w:rsidRPr="00335074">
          <w:rPr>
            <w:color w:val="auto"/>
            <w:u w:val="single"/>
          </w:rPr>
          <w:t>http://www.wlsa.org.mz/wp-content/uploads/2014/11/Lei-35_2014Codigo_Penal.pdf</w:t>
        </w:r>
      </w:hyperlink>
      <w:r w:rsidRPr="00335074">
        <w:rPr>
          <w:color w:val="auto"/>
        </w:rPr>
        <w:t>&gt;. Acesso em: 21 jun. 2020.</w:t>
      </w:r>
    </w:p>
    <w:p w14:paraId="4751E0BC" w14:textId="77777777" w:rsidR="005472EF" w:rsidRPr="00335074" w:rsidRDefault="00932FD2">
      <w:pPr>
        <w:spacing w:before="200" w:after="200"/>
        <w:rPr>
          <w:color w:val="auto"/>
        </w:rPr>
      </w:pPr>
      <w:bookmarkStart w:id="2" w:name="_1fob9te" w:colFirst="0" w:colLast="0"/>
      <w:bookmarkEnd w:id="2"/>
      <w:r w:rsidRPr="00335074">
        <w:rPr>
          <w:color w:val="auto"/>
        </w:rPr>
        <w:t xml:space="preserve">MOÇAMBIQUE. Lei n. 6/2008, de 9 de julho. </w:t>
      </w:r>
      <w:r w:rsidRPr="00335074">
        <w:rPr>
          <w:i/>
          <w:color w:val="auto"/>
        </w:rPr>
        <w:t>Dispõe sobre o regime jurídico aplicável à prevenção e combate ao tráfico de pessoas</w:t>
      </w:r>
      <w:r w:rsidRPr="00335074">
        <w:rPr>
          <w:color w:val="auto"/>
        </w:rPr>
        <w:t>. Boletim da República. Maputo: Imprensa Nacional. Disponível em: &lt;</w:t>
      </w:r>
      <w:hyperlink r:id="rId15">
        <w:r w:rsidRPr="00335074">
          <w:rPr>
            <w:color w:val="auto"/>
            <w:u w:val="single"/>
          </w:rPr>
          <w:t>http://www.ilo.ch/dyn/natlex/docs/ELECTRONIC/86030/96743/F88437680/MOZ86030.pdf</w:t>
        </w:r>
      </w:hyperlink>
      <w:r w:rsidRPr="00335074">
        <w:rPr>
          <w:color w:val="auto"/>
        </w:rPr>
        <w:t>&gt;. Acesso em: 12 abr. 2020.</w:t>
      </w:r>
    </w:p>
    <w:p w14:paraId="2B277593" w14:textId="77777777" w:rsidR="005472EF" w:rsidRPr="00335074" w:rsidRDefault="00932FD2">
      <w:pPr>
        <w:spacing w:before="200" w:after="200"/>
        <w:rPr>
          <w:color w:val="auto"/>
        </w:rPr>
      </w:pPr>
      <w:r w:rsidRPr="00335074">
        <w:rPr>
          <w:color w:val="auto"/>
        </w:rPr>
        <w:t xml:space="preserve">MOÇAMBIQUE. Resolução n. 32/2010, de 30 de agosto de 2010. </w:t>
      </w:r>
      <w:r w:rsidRPr="00335074">
        <w:rPr>
          <w:i/>
          <w:color w:val="auto"/>
        </w:rPr>
        <w:t>Aprova a Política Externa de Moçambique.</w:t>
      </w:r>
      <w:r w:rsidRPr="00335074">
        <w:rPr>
          <w:color w:val="auto"/>
        </w:rPr>
        <w:t xml:space="preserve"> Boletim da República- Conselho de Ministros. Maputo: Imprensa Nacional.</w:t>
      </w:r>
    </w:p>
    <w:p w14:paraId="23D643BF" w14:textId="77777777" w:rsidR="005472EF" w:rsidRPr="00335074" w:rsidRDefault="00932FD2">
      <w:pPr>
        <w:spacing w:before="200" w:after="200"/>
        <w:rPr>
          <w:color w:val="auto"/>
        </w:rPr>
      </w:pPr>
      <w:r w:rsidRPr="00335074">
        <w:rPr>
          <w:color w:val="auto"/>
        </w:rPr>
        <w:t xml:space="preserve">MOÇAMBIQUE. Resolução n. 87/2002, de 11 de dezembro de 2004. </w:t>
      </w:r>
      <w:r w:rsidRPr="00335074">
        <w:rPr>
          <w:i/>
          <w:color w:val="auto"/>
        </w:rPr>
        <w:t>Ratifica o Protocolo Adicional à Convenção das Nações Unidas contra o Crime Organizado Transnacional Relativo à Prevenção, Repressão e Punição do Tráfico de Pessoas, em Especial Mulheres e Crianças.</w:t>
      </w:r>
      <w:r w:rsidRPr="00335074">
        <w:rPr>
          <w:color w:val="auto"/>
        </w:rPr>
        <w:t xml:space="preserve"> Boletim da República- Conselho de Ministros. Maputo: Imprensa Nacional.</w:t>
      </w:r>
    </w:p>
    <w:p w14:paraId="6DF1CAD4" w14:textId="77777777" w:rsidR="005472EF" w:rsidRPr="00335074" w:rsidRDefault="00932FD2">
      <w:pPr>
        <w:spacing w:before="200" w:after="200"/>
        <w:rPr>
          <w:color w:val="auto"/>
        </w:rPr>
      </w:pPr>
      <w:r w:rsidRPr="00335074">
        <w:rPr>
          <w:color w:val="auto"/>
        </w:rPr>
        <w:t xml:space="preserve">MOREIRA, Andrea; MARIANO, Esmeralda. </w:t>
      </w:r>
      <w:r w:rsidRPr="00335074">
        <w:rPr>
          <w:i/>
          <w:color w:val="auto"/>
        </w:rPr>
        <w:t>Estudo sobre o Tráfico de Pessoas, órgãos e artes de corpo humano no Norte de Moçambique</w:t>
      </w:r>
      <w:r w:rsidRPr="00335074">
        <w:rPr>
          <w:color w:val="auto"/>
        </w:rPr>
        <w:t>. Maputo: CEMIRDE, 2018.</w:t>
      </w:r>
    </w:p>
    <w:p w14:paraId="6FFF1C0D" w14:textId="5C5D270F" w:rsidR="005472EF" w:rsidRPr="00335074" w:rsidRDefault="00932FD2">
      <w:pPr>
        <w:spacing w:before="200" w:after="200"/>
        <w:rPr>
          <w:color w:val="auto"/>
        </w:rPr>
      </w:pPr>
      <w:r w:rsidRPr="00335074">
        <w:rPr>
          <w:color w:val="auto"/>
        </w:rPr>
        <w:t xml:space="preserve">NAÇÕES UNIDAS BRASIL. </w:t>
      </w:r>
      <w:r w:rsidRPr="00335074">
        <w:rPr>
          <w:i/>
          <w:color w:val="auto"/>
        </w:rPr>
        <w:t>A Declaração Universal dos Direitos Humanos de 1948</w:t>
      </w:r>
      <w:r w:rsidRPr="00335074">
        <w:rPr>
          <w:color w:val="auto"/>
        </w:rPr>
        <w:t xml:space="preserve">. 2020. Disponível em: &lt; </w:t>
      </w:r>
      <w:hyperlink r:id="rId16">
        <w:r w:rsidRPr="00335074">
          <w:rPr>
            <w:color w:val="auto"/>
            <w:u w:val="single"/>
          </w:rPr>
          <w:t>https://nacoesunidas.org/direitoshumanos/declaracao/</w:t>
        </w:r>
      </w:hyperlink>
      <w:r w:rsidRPr="00335074">
        <w:rPr>
          <w:color w:val="auto"/>
        </w:rPr>
        <w:t>&gt;. Acesso em: 25 mai</w:t>
      </w:r>
      <w:r w:rsidR="00D6056F" w:rsidRPr="00335074">
        <w:rPr>
          <w:color w:val="auto"/>
        </w:rPr>
        <w:t>o</w:t>
      </w:r>
      <w:r w:rsidRPr="00335074">
        <w:rPr>
          <w:color w:val="auto"/>
        </w:rPr>
        <w:t xml:space="preserve"> 2020.</w:t>
      </w:r>
    </w:p>
    <w:p w14:paraId="28E41470" w14:textId="1AFD9436" w:rsidR="005472EF" w:rsidRPr="00335074" w:rsidRDefault="00932FD2">
      <w:pPr>
        <w:spacing w:before="200" w:after="200"/>
        <w:rPr>
          <w:color w:val="auto"/>
        </w:rPr>
      </w:pPr>
      <w:r w:rsidRPr="00335074">
        <w:rPr>
          <w:color w:val="auto"/>
        </w:rPr>
        <w:t xml:space="preserve">NHATAVE, Guirino Dinis José. </w:t>
      </w:r>
      <w:r w:rsidRPr="00335074">
        <w:rPr>
          <w:i/>
          <w:color w:val="auto"/>
        </w:rPr>
        <w:t>Tráfico de Pessoas na SADC: Um Olhar Sobre a Construção da Agenda de Moçambique na Prevenção e Combate ao Tráfico de Pessoas na SADC</w:t>
      </w:r>
      <w:r w:rsidRPr="00335074">
        <w:rPr>
          <w:color w:val="auto"/>
        </w:rPr>
        <w:t xml:space="preserve">. In: Revista Moçambicana de Estudos Internacionais. </w:t>
      </w:r>
      <w:r w:rsidR="000206C2" w:rsidRPr="00335074">
        <w:rPr>
          <w:color w:val="auto"/>
        </w:rPr>
        <w:t xml:space="preserve">v. </w:t>
      </w:r>
      <w:r w:rsidRPr="00335074">
        <w:rPr>
          <w:color w:val="auto"/>
        </w:rPr>
        <w:t>1, n</w:t>
      </w:r>
      <w:r w:rsidR="000206C2" w:rsidRPr="00335074">
        <w:rPr>
          <w:color w:val="auto"/>
        </w:rPr>
        <w:t xml:space="preserve">. </w:t>
      </w:r>
      <w:r w:rsidRPr="00335074">
        <w:rPr>
          <w:color w:val="auto"/>
        </w:rPr>
        <w:t xml:space="preserve">1, Instituto Superior de Relações Internacionais. Moçambique. </w:t>
      </w:r>
      <w:r w:rsidR="000206C2" w:rsidRPr="00335074">
        <w:rPr>
          <w:color w:val="auto"/>
        </w:rPr>
        <w:t xml:space="preserve">p. </w:t>
      </w:r>
      <w:r w:rsidRPr="00335074">
        <w:rPr>
          <w:color w:val="auto"/>
        </w:rPr>
        <w:t xml:space="preserve">187-204, </w:t>
      </w:r>
      <w:r w:rsidR="000206C2" w:rsidRPr="00335074">
        <w:rPr>
          <w:color w:val="auto"/>
        </w:rPr>
        <w:t>janeiro</w:t>
      </w:r>
      <w:r w:rsidRPr="00335074">
        <w:rPr>
          <w:color w:val="auto"/>
        </w:rPr>
        <w:t xml:space="preserve">, 2019. Disponível em: &lt; </w:t>
      </w:r>
      <w:hyperlink r:id="rId17">
        <w:r w:rsidRPr="00335074">
          <w:rPr>
            <w:color w:val="auto"/>
            <w:u w:val="single"/>
          </w:rPr>
          <w:t>https://www.academia.edu/39408387/Revista_Mo%C3%A7ambicana_de_Estudos_Internacionais_Vol_1_no_1_Janeiro-Junho_2019</w:t>
        </w:r>
      </w:hyperlink>
      <w:r w:rsidRPr="00335074">
        <w:rPr>
          <w:color w:val="auto"/>
        </w:rPr>
        <w:t>&gt;. Acesso em</w:t>
      </w:r>
      <w:r w:rsidR="000206C2" w:rsidRPr="00335074">
        <w:rPr>
          <w:color w:val="auto"/>
        </w:rPr>
        <w:t>:</w:t>
      </w:r>
      <w:r w:rsidRPr="00335074">
        <w:rPr>
          <w:color w:val="auto"/>
        </w:rPr>
        <w:t xml:space="preserve"> 2 jun. 2020.</w:t>
      </w:r>
    </w:p>
    <w:p w14:paraId="50F0CDF3" w14:textId="77777777" w:rsidR="005472EF" w:rsidRPr="00335074" w:rsidRDefault="00932FD2">
      <w:pPr>
        <w:spacing w:before="200" w:after="200"/>
        <w:rPr>
          <w:color w:val="auto"/>
        </w:rPr>
      </w:pPr>
      <w:r w:rsidRPr="00335074">
        <w:rPr>
          <w:color w:val="auto"/>
        </w:rPr>
        <w:t xml:space="preserve">ONU MULHERES. </w:t>
      </w:r>
      <w:r w:rsidRPr="00335074">
        <w:rPr>
          <w:i/>
          <w:color w:val="auto"/>
        </w:rPr>
        <w:t>Convenção das Nações Unidas sobre a Eliminação de Todas as Formas de Discriminação Contra as Mulheres</w:t>
      </w:r>
      <w:r w:rsidRPr="00335074">
        <w:rPr>
          <w:color w:val="auto"/>
        </w:rPr>
        <w:t xml:space="preserve">. Disponível em: &lt; </w:t>
      </w:r>
      <w:hyperlink r:id="rId18">
        <w:r w:rsidRPr="00335074">
          <w:rPr>
            <w:color w:val="auto"/>
            <w:u w:val="single"/>
          </w:rPr>
          <w:t>http://www.onumulheres.org.br/wp-content/uploads/2013/03/convencao_cedaw.pdf</w:t>
        </w:r>
      </w:hyperlink>
      <w:r w:rsidRPr="00335074">
        <w:rPr>
          <w:color w:val="auto"/>
        </w:rPr>
        <w:t xml:space="preserve"> &gt;. Acesso em: 15 jun. 2020.</w:t>
      </w:r>
    </w:p>
    <w:p w14:paraId="4119C522" w14:textId="075D2449" w:rsidR="005472EF" w:rsidRPr="00335074" w:rsidRDefault="00932FD2">
      <w:pPr>
        <w:spacing w:before="200" w:after="200"/>
        <w:rPr>
          <w:color w:val="auto"/>
        </w:rPr>
      </w:pPr>
      <w:r w:rsidRPr="00335074">
        <w:rPr>
          <w:color w:val="auto"/>
        </w:rPr>
        <w:t xml:space="preserve">PAPADAKIS, Vitalina Carmo. Moçambique: Tráfico Humano e Crime Organizado. </w:t>
      </w:r>
      <w:r w:rsidRPr="00335074">
        <w:rPr>
          <w:i/>
          <w:iCs/>
          <w:color w:val="auto"/>
        </w:rPr>
        <w:t>In</w:t>
      </w:r>
      <w:r w:rsidRPr="00335074">
        <w:rPr>
          <w:color w:val="auto"/>
        </w:rPr>
        <w:t xml:space="preserve">: </w:t>
      </w:r>
      <w:r w:rsidRPr="00335074">
        <w:rPr>
          <w:i/>
          <w:color w:val="auto"/>
        </w:rPr>
        <w:t xml:space="preserve">The Pontifical </w:t>
      </w:r>
      <w:proofErr w:type="spellStart"/>
      <w:r w:rsidRPr="00335074">
        <w:rPr>
          <w:i/>
          <w:color w:val="auto"/>
        </w:rPr>
        <w:t>Academy</w:t>
      </w:r>
      <w:proofErr w:type="spellEnd"/>
      <w:r w:rsidRPr="00335074">
        <w:rPr>
          <w:i/>
          <w:color w:val="auto"/>
        </w:rPr>
        <w:t xml:space="preserve"> </w:t>
      </w:r>
      <w:proofErr w:type="spellStart"/>
      <w:r w:rsidRPr="00335074">
        <w:rPr>
          <w:i/>
          <w:color w:val="auto"/>
        </w:rPr>
        <w:t>of</w:t>
      </w:r>
      <w:proofErr w:type="spellEnd"/>
      <w:r w:rsidRPr="00335074">
        <w:rPr>
          <w:i/>
          <w:color w:val="auto"/>
        </w:rPr>
        <w:t xml:space="preserve"> </w:t>
      </w:r>
      <w:proofErr w:type="spellStart"/>
      <w:r w:rsidRPr="00335074">
        <w:rPr>
          <w:i/>
          <w:color w:val="auto"/>
        </w:rPr>
        <w:t>Sciences</w:t>
      </w:r>
      <w:proofErr w:type="spellEnd"/>
      <w:r w:rsidRPr="00335074">
        <w:rPr>
          <w:i/>
          <w:color w:val="auto"/>
        </w:rPr>
        <w:t xml:space="preserve">. </w:t>
      </w:r>
      <w:r w:rsidRPr="00335074">
        <w:rPr>
          <w:color w:val="auto"/>
        </w:rPr>
        <w:t>Vaticano, 2019. Disponível em: &lt;</w:t>
      </w:r>
      <w:hyperlink r:id="rId19">
        <w:r w:rsidRPr="00335074">
          <w:rPr>
            <w:color w:val="auto"/>
            <w:u w:val="single"/>
          </w:rPr>
          <w:t>http://www.pas.va/content/accademia/en/publications/scriptavaria/africanwomenjudges/papadakis.pdf</w:t>
        </w:r>
      </w:hyperlink>
      <w:r w:rsidRPr="00335074">
        <w:rPr>
          <w:color w:val="auto"/>
        </w:rPr>
        <w:t>&gt;. Acesso em: 27 mai</w:t>
      </w:r>
      <w:r w:rsidR="00D6056F" w:rsidRPr="00335074">
        <w:rPr>
          <w:color w:val="auto"/>
        </w:rPr>
        <w:t xml:space="preserve">o </w:t>
      </w:r>
      <w:r w:rsidRPr="00335074">
        <w:rPr>
          <w:color w:val="auto"/>
        </w:rPr>
        <w:t>2020.</w:t>
      </w:r>
    </w:p>
    <w:p w14:paraId="14AC8BBC" w14:textId="6496F7F3" w:rsidR="005472EF" w:rsidRPr="00335074" w:rsidRDefault="00932FD2">
      <w:pPr>
        <w:spacing w:before="200" w:after="200"/>
        <w:rPr>
          <w:color w:val="auto"/>
        </w:rPr>
      </w:pPr>
      <w:r w:rsidRPr="00335074">
        <w:rPr>
          <w:color w:val="auto"/>
        </w:rPr>
        <w:t xml:space="preserve">PGR. </w:t>
      </w:r>
      <w:r w:rsidRPr="00335074">
        <w:rPr>
          <w:i/>
          <w:color w:val="auto"/>
        </w:rPr>
        <w:t>Informe Anual de 2017 da Procuradoria-geral à Assembleia da República</w:t>
      </w:r>
      <w:r w:rsidRPr="00335074">
        <w:rPr>
          <w:color w:val="auto"/>
        </w:rPr>
        <w:t xml:space="preserve">. Moçambique: Procuradoria Geral da República, 2017. Disponível em: &lt; </w:t>
      </w:r>
      <w:hyperlink r:id="rId20">
        <w:r w:rsidRPr="00335074">
          <w:rPr>
            <w:color w:val="auto"/>
            <w:u w:val="single"/>
          </w:rPr>
          <w:t>http://www.pgr.gov.mz/images/documentos/informe-anual/Informe_pgr_2017.pdf</w:t>
        </w:r>
      </w:hyperlink>
      <w:r w:rsidRPr="00335074">
        <w:rPr>
          <w:color w:val="auto"/>
        </w:rPr>
        <w:t>&gt;. Acesso em: 23 mai</w:t>
      </w:r>
      <w:r w:rsidR="00D6056F" w:rsidRPr="00335074">
        <w:rPr>
          <w:color w:val="auto"/>
        </w:rPr>
        <w:t>o</w:t>
      </w:r>
      <w:r w:rsidRPr="00335074">
        <w:rPr>
          <w:color w:val="auto"/>
        </w:rPr>
        <w:t xml:space="preserve"> 2020.</w:t>
      </w:r>
    </w:p>
    <w:p w14:paraId="3A7971BB" w14:textId="77777777" w:rsidR="005472EF" w:rsidRPr="00335074" w:rsidRDefault="00932FD2">
      <w:pPr>
        <w:spacing w:before="200" w:after="200"/>
        <w:rPr>
          <w:color w:val="auto"/>
        </w:rPr>
      </w:pPr>
      <w:r w:rsidRPr="00335074">
        <w:rPr>
          <w:color w:val="auto"/>
        </w:rPr>
        <w:t xml:space="preserve">RODA, Arménio da. </w:t>
      </w:r>
      <w:r w:rsidRPr="00335074">
        <w:rPr>
          <w:i/>
          <w:color w:val="auto"/>
        </w:rPr>
        <w:t>A dimensão global do tráfico humano: o tráfico de pessoas aos olhos de Moçambique.</w:t>
      </w:r>
      <w:r w:rsidRPr="00335074">
        <w:rPr>
          <w:color w:val="auto"/>
        </w:rPr>
        <w:t xml:space="preserve"> São Paulo: </w:t>
      </w:r>
      <w:proofErr w:type="spellStart"/>
      <w:r w:rsidRPr="00335074">
        <w:rPr>
          <w:color w:val="auto"/>
        </w:rPr>
        <w:t>Atarukas</w:t>
      </w:r>
      <w:proofErr w:type="spellEnd"/>
      <w:r w:rsidRPr="00335074">
        <w:rPr>
          <w:color w:val="auto"/>
        </w:rPr>
        <w:t xml:space="preserve"> Editora, 2019. </w:t>
      </w:r>
    </w:p>
    <w:p w14:paraId="600CE2E1" w14:textId="77777777" w:rsidR="005472EF" w:rsidRPr="00335074" w:rsidRDefault="00932FD2">
      <w:pPr>
        <w:spacing w:before="200" w:after="200"/>
        <w:ind w:right="0"/>
        <w:rPr>
          <w:color w:val="auto"/>
        </w:rPr>
      </w:pPr>
      <w:r w:rsidRPr="00335074">
        <w:rPr>
          <w:color w:val="auto"/>
        </w:rPr>
        <w:t xml:space="preserve">SADC. </w:t>
      </w:r>
      <w:r w:rsidRPr="00335074">
        <w:rPr>
          <w:i/>
          <w:color w:val="auto"/>
        </w:rPr>
        <w:t>Manual institucional de Identidade Institucional da SADC</w:t>
      </w:r>
      <w:r w:rsidRPr="00335074">
        <w:rPr>
          <w:color w:val="auto"/>
        </w:rPr>
        <w:t>. Gaborone: Secretariado da SADC, 2017.</w:t>
      </w:r>
    </w:p>
    <w:p w14:paraId="6968CAAC" w14:textId="77777777" w:rsidR="005472EF" w:rsidRPr="00335074" w:rsidRDefault="00932FD2">
      <w:pPr>
        <w:spacing w:before="200" w:after="200"/>
        <w:rPr>
          <w:color w:val="auto"/>
        </w:rPr>
      </w:pPr>
      <w:r w:rsidRPr="00335074">
        <w:rPr>
          <w:color w:val="auto"/>
        </w:rPr>
        <w:t xml:space="preserve">SADC. </w:t>
      </w:r>
      <w:r w:rsidRPr="00335074">
        <w:rPr>
          <w:i/>
          <w:color w:val="auto"/>
        </w:rPr>
        <w:t xml:space="preserve">Prevenção e Combate ao Tráfico de Pessoas: Lições da Região da SADC: </w:t>
      </w:r>
      <w:r w:rsidRPr="00335074">
        <w:rPr>
          <w:color w:val="auto"/>
        </w:rPr>
        <w:t>Folheto Informativo sobre Políticas, Janeiro de 2017, p. 1-39. Gaborone, 2017.</w:t>
      </w:r>
    </w:p>
    <w:p w14:paraId="743408C4" w14:textId="073FDECD" w:rsidR="005472EF" w:rsidRPr="00335074" w:rsidRDefault="00932FD2">
      <w:pPr>
        <w:spacing w:before="200" w:after="200"/>
        <w:rPr>
          <w:color w:val="auto"/>
        </w:rPr>
      </w:pPr>
      <w:r w:rsidRPr="00335074">
        <w:rPr>
          <w:color w:val="auto"/>
        </w:rPr>
        <w:t>SADC. Protocolo da SADC sobre Gênero e Desenvolvimento. Joanesburgo: 2008. Disponível em: &lt;</w:t>
      </w:r>
      <w:hyperlink r:id="rId21">
        <w:r w:rsidRPr="00335074">
          <w:rPr>
            <w:color w:val="auto"/>
            <w:u w:val="single"/>
          </w:rPr>
          <w:t>https://www.eisa.org.za/pdf/sadc2008protocol2.pdf</w:t>
        </w:r>
      </w:hyperlink>
      <w:r w:rsidRPr="00335074">
        <w:rPr>
          <w:color w:val="auto"/>
        </w:rPr>
        <w:t>&gt;. Acesso em: 10 jun</w:t>
      </w:r>
      <w:r w:rsidR="00D6056F" w:rsidRPr="00335074">
        <w:rPr>
          <w:color w:val="auto"/>
        </w:rPr>
        <w:t>.</w:t>
      </w:r>
      <w:r w:rsidRPr="00335074">
        <w:rPr>
          <w:color w:val="auto"/>
        </w:rPr>
        <w:t xml:space="preserve"> 2020.</w:t>
      </w:r>
    </w:p>
    <w:p w14:paraId="0B4130B5" w14:textId="77777777" w:rsidR="005472EF" w:rsidRPr="00335074" w:rsidRDefault="00932FD2">
      <w:pPr>
        <w:spacing w:before="200" w:after="200"/>
        <w:ind w:right="0"/>
        <w:rPr>
          <w:i/>
          <w:color w:val="auto"/>
        </w:rPr>
      </w:pPr>
      <w:r w:rsidRPr="00335074">
        <w:rPr>
          <w:color w:val="auto"/>
        </w:rPr>
        <w:t xml:space="preserve">SADC. </w:t>
      </w:r>
      <w:r w:rsidRPr="00335074">
        <w:rPr>
          <w:i/>
          <w:color w:val="auto"/>
        </w:rPr>
        <w:t>Tráfico de Pessoas na Região da SADC: Folheto Informativo sobre Políticas</w:t>
      </w:r>
      <w:r w:rsidRPr="00335074">
        <w:rPr>
          <w:color w:val="auto"/>
        </w:rPr>
        <w:t>, Agosto de 2016, p. 1-10, 2016.</w:t>
      </w:r>
    </w:p>
    <w:p w14:paraId="5EF639A3" w14:textId="77777777" w:rsidR="005472EF" w:rsidRPr="00335074" w:rsidRDefault="00932FD2">
      <w:pPr>
        <w:spacing w:before="200" w:after="200"/>
        <w:rPr>
          <w:color w:val="auto"/>
        </w:rPr>
      </w:pPr>
      <w:r w:rsidRPr="00335074">
        <w:rPr>
          <w:color w:val="auto"/>
        </w:rPr>
        <w:lastRenderedPageBreak/>
        <w:t xml:space="preserve">UNESCO. </w:t>
      </w:r>
      <w:r w:rsidRPr="00335074">
        <w:rPr>
          <w:i/>
          <w:color w:val="auto"/>
        </w:rPr>
        <w:t>Tráfico de Pessoas em Moçambique: Causas Principais e Recomendações.</w:t>
      </w:r>
      <w:r w:rsidRPr="00335074">
        <w:rPr>
          <w:color w:val="auto"/>
        </w:rPr>
        <w:t xml:space="preserve"> Police </w:t>
      </w:r>
      <w:proofErr w:type="spellStart"/>
      <w:r w:rsidRPr="00335074">
        <w:rPr>
          <w:color w:val="auto"/>
        </w:rPr>
        <w:t>Paper</w:t>
      </w:r>
      <w:proofErr w:type="spellEnd"/>
      <w:r w:rsidRPr="00335074">
        <w:rPr>
          <w:color w:val="auto"/>
        </w:rPr>
        <w:t xml:space="preserve"> nº14.1 (P), Série de relatórios sobre a Pobreza. Paris, 2006.</w:t>
      </w:r>
    </w:p>
    <w:p w14:paraId="270E10A9" w14:textId="2EE7D5C0" w:rsidR="005472EF" w:rsidRPr="00335074" w:rsidRDefault="00932FD2">
      <w:pPr>
        <w:spacing w:before="200" w:after="200"/>
        <w:rPr>
          <w:color w:val="auto"/>
        </w:rPr>
      </w:pPr>
      <w:r w:rsidRPr="00335074">
        <w:rPr>
          <w:color w:val="auto"/>
        </w:rPr>
        <w:t xml:space="preserve">UNICEF. </w:t>
      </w:r>
      <w:r w:rsidRPr="00335074">
        <w:rPr>
          <w:i/>
          <w:color w:val="auto"/>
        </w:rPr>
        <w:t>Proteção da criança: Manual para Parlamentares n</w:t>
      </w:r>
      <w:r w:rsidR="002453C9" w:rsidRPr="00335074">
        <w:rPr>
          <w:i/>
          <w:color w:val="auto"/>
        </w:rPr>
        <w:t>.</w:t>
      </w:r>
      <w:r w:rsidRPr="00335074">
        <w:rPr>
          <w:i/>
          <w:color w:val="auto"/>
        </w:rPr>
        <w:t xml:space="preserve"> 7</w:t>
      </w:r>
      <w:r w:rsidRPr="00335074">
        <w:rPr>
          <w:color w:val="auto"/>
        </w:rPr>
        <w:t>. Suíça: União Inter parlamentar, 2004.</w:t>
      </w:r>
    </w:p>
    <w:p w14:paraId="61A1F331" w14:textId="6C4AA8F0" w:rsidR="005472EF" w:rsidRPr="00335074" w:rsidRDefault="00932FD2">
      <w:pPr>
        <w:spacing w:before="200" w:after="200"/>
        <w:rPr>
          <w:color w:val="auto"/>
          <w:lang w:val="en-US"/>
        </w:rPr>
      </w:pPr>
      <w:r w:rsidRPr="00335074">
        <w:rPr>
          <w:color w:val="auto"/>
          <w:lang w:val="en-US"/>
        </w:rPr>
        <w:t xml:space="preserve">UNODC. </w:t>
      </w:r>
      <w:r w:rsidRPr="00335074">
        <w:rPr>
          <w:i/>
          <w:color w:val="auto"/>
          <w:lang w:val="en-US"/>
        </w:rPr>
        <w:t>Global Report on Trafficking in Persons 2016</w:t>
      </w:r>
      <w:r w:rsidRPr="00335074">
        <w:rPr>
          <w:color w:val="auto"/>
          <w:lang w:val="en-US"/>
        </w:rPr>
        <w:t xml:space="preserve">. </w:t>
      </w:r>
      <w:r w:rsidRPr="00335074">
        <w:rPr>
          <w:color w:val="auto"/>
        </w:rPr>
        <w:t>Nova York: Publicação das Nações Unidas. 2016. p. 19. Disponível em: &lt;</w:t>
      </w:r>
      <w:hyperlink r:id="rId22">
        <w:r w:rsidRPr="00335074">
          <w:rPr>
            <w:color w:val="auto"/>
            <w:u w:val="single"/>
          </w:rPr>
          <w:t>https://www.unodc.org/documents/data-and-analysis/glotip/2016_Global_Report_on_Trafficking_in_Persons.pdf</w:t>
        </w:r>
      </w:hyperlink>
      <w:r w:rsidRPr="00335074">
        <w:rPr>
          <w:color w:val="auto"/>
        </w:rPr>
        <w:t xml:space="preserve">&gt;. </w:t>
      </w:r>
      <w:proofErr w:type="spellStart"/>
      <w:r w:rsidRPr="00335074">
        <w:rPr>
          <w:color w:val="auto"/>
          <w:lang w:val="en-US"/>
        </w:rPr>
        <w:t>Acesso</w:t>
      </w:r>
      <w:proofErr w:type="spellEnd"/>
      <w:r w:rsidRPr="00335074">
        <w:rPr>
          <w:color w:val="auto"/>
          <w:lang w:val="en-US"/>
        </w:rPr>
        <w:t xml:space="preserve"> </w:t>
      </w:r>
      <w:proofErr w:type="spellStart"/>
      <w:r w:rsidRPr="00335074">
        <w:rPr>
          <w:color w:val="auto"/>
          <w:lang w:val="en-US"/>
        </w:rPr>
        <w:t>em</w:t>
      </w:r>
      <w:proofErr w:type="spellEnd"/>
      <w:r w:rsidRPr="00335074">
        <w:rPr>
          <w:color w:val="auto"/>
          <w:lang w:val="en-US"/>
        </w:rPr>
        <w:t xml:space="preserve">: 18 </w:t>
      </w:r>
      <w:proofErr w:type="spellStart"/>
      <w:r w:rsidRPr="00335074">
        <w:rPr>
          <w:color w:val="auto"/>
          <w:lang w:val="en-US"/>
        </w:rPr>
        <w:t>mai</w:t>
      </w:r>
      <w:r w:rsidR="00D6056F" w:rsidRPr="00335074">
        <w:rPr>
          <w:color w:val="auto"/>
          <w:lang w:val="en-US"/>
        </w:rPr>
        <w:t>o</w:t>
      </w:r>
      <w:proofErr w:type="spellEnd"/>
      <w:r w:rsidR="00D6056F" w:rsidRPr="00335074">
        <w:rPr>
          <w:color w:val="auto"/>
          <w:lang w:val="en-US"/>
        </w:rPr>
        <w:t xml:space="preserve"> </w:t>
      </w:r>
      <w:r w:rsidRPr="00335074">
        <w:rPr>
          <w:color w:val="auto"/>
          <w:lang w:val="en-US"/>
        </w:rPr>
        <w:t>2020. </w:t>
      </w:r>
    </w:p>
    <w:p w14:paraId="1CFB89CD" w14:textId="53F04539" w:rsidR="005472EF" w:rsidRPr="00335074" w:rsidRDefault="00932FD2">
      <w:pPr>
        <w:spacing w:before="200" w:after="200"/>
        <w:rPr>
          <w:color w:val="auto"/>
          <w:lang w:val="en-US"/>
        </w:rPr>
      </w:pPr>
      <w:r w:rsidRPr="00335074">
        <w:rPr>
          <w:color w:val="auto"/>
          <w:lang w:val="en-US"/>
        </w:rPr>
        <w:t xml:space="preserve">UNODC. </w:t>
      </w:r>
      <w:r w:rsidRPr="00335074">
        <w:rPr>
          <w:i/>
          <w:color w:val="auto"/>
          <w:lang w:val="en-US"/>
        </w:rPr>
        <w:t>Global Report on Trafficking in Persons in 2009</w:t>
      </w:r>
      <w:r w:rsidRPr="00335074">
        <w:rPr>
          <w:color w:val="auto"/>
          <w:lang w:val="en-US"/>
        </w:rPr>
        <w:t xml:space="preserve">. </w:t>
      </w:r>
      <w:r w:rsidRPr="00335074">
        <w:rPr>
          <w:color w:val="auto"/>
        </w:rPr>
        <w:t xml:space="preserve">Nova York: Publicação das Nações Unidas. 2009. Disponível em: &lt; </w:t>
      </w:r>
      <w:hyperlink r:id="rId23">
        <w:r w:rsidRPr="00335074">
          <w:rPr>
            <w:color w:val="auto"/>
            <w:u w:val="single"/>
          </w:rPr>
          <w:t>https://www.unodc.org/documents/Global_Report_on_TIP.pdf</w:t>
        </w:r>
      </w:hyperlink>
      <w:r w:rsidRPr="00335074">
        <w:rPr>
          <w:color w:val="auto"/>
        </w:rPr>
        <w:t xml:space="preserve">&gt;. </w:t>
      </w:r>
      <w:proofErr w:type="spellStart"/>
      <w:r w:rsidRPr="00335074">
        <w:rPr>
          <w:color w:val="auto"/>
          <w:lang w:val="en-US"/>
        </w:rPr>
        <w:t>Acesso</w:t>
      </w:r>
      <w:proofErr w:type="spellEnd"/>
      <w:r w:rsidRPr="00335074">
        <w:rPr>
          <w:color w:val="auto"/>
          <w:lang w:val="en-US"/>
        </w:rPr>
        <w:t xml:space="preserve"> </w:t>
      </w:r>
      <w:proofErr w:type="spellStart"/>
      <w:r w:rsidRPr="00335074">
        <w:rPr>
          <w:color w:val="auto"/>
          <w:lang w:val="en-US"/>
        </w:rPr>
        <w:t>em</w:t>
      </w:r>
      <w:proofErr w:type="spellEnd"/>
      <w:r w:rsidRPr="00335074">
        <w:rPr>
          <w:color w:val="auto"/>
          <w:lang w:val="en-US"/>
        </w:rPr>
        <w:t xml:space="preserve">: 11 </w:t>
      </w:r>
      <w:proofErr w:type="spellStart"/>
      <w:r w:rsidRPr="00335074">
        <w:rPr>
          <w:color w:val="auto"/>
          <w:lang w:val="en-US"/>
        </w:rPr>
        <w:t>mai</w:t>
      </w:r>
      <w:r w:rsidR="00D6056F" w:rsidRPr="00335074">
        <w:rPr>
          <w:color w:val="auto"/>
          <w:lang w:val="en-US"/>
        </w:rPr>
        <w:t>o</w:t>
      </w:r>
      <w:proofErr w:type="spellEnd"/>
      <w:r w:rsidRPr="00335074">
        <w:rPr>
          <w:color w:val="auto"/>
          <w:lang w:val="en-US"/>
        </w:rPr>
        <w:t xml:space="preserve"> 2020. </w:t>
      </w:r>
    </w:p>
    <w:p w14:paraId="78E23FA2" w14:textId="6E96A7ED" w:rsidR="005472EF" w:rsidRPr="00335074" w:rsidRDefault="00932FD2">
      <w:pPr>
        <w:spacing w:before="200" w:after="200"/>
        <w:rPr>
          <w:color w:val="auto"/>
          <w:lang w:val="en-US"/>
        </w:rPr>
      </w:pPr>
      <w:r w:rsidRPr="00335074">
        <w:rPr>
          <w:color w:val="auto"/>
          <w:lang w:val="en-US"/>
        </w:rPr>
        <w:t xml:space="preserve">UNODC. </w:t>
      </w:r>
      <w:r w:rsidRPr="00335074">
        <w:rPr>
          <w:i/>
          <w:color w:val="auto"/>
          <w:lang w:val="en-US"/>
        </w:rPr>
        <w:t>Global Report on Trafficking in Persons in 2012</w:t>
      </w:r>
      <w:r w:rsidRPr="00335074">
        <w:rPr>
          <w:color w:val="auto"/>
          <w:lang w:val="en-US"/>
        </w:rPr>
        <w:t xml:space="preserve">. </w:t>
      </w:r>
      <w:r w:rsidRPr="00335074">
        <w:rPr>
          <w:color w:val="auto"/>
        </w:rPr>
        <w:t>Nova York: Publicação das Nações Unidas. 2012. Disponível em: &lt;</w:t>
      </w:r>
      <w:hyperlink r:id="rId24">
        <w:r w:rsidRPr="00335074">
          <w:rPr>
            <w:color w:val="auto"/>
            <w:u w:val="single"/>
          </w:rPr>
          <w:t>https://www.unodc.org/documents/data-and-analysis/glotip/Trafficking_in_Persons_2012_web.pdf</w:t>
        </w:r>
      </w:hyperlink>
      <w:r w:rsidRPr="00335074">
        <w:rPr>
          <w:color w:val="auto"/>
        </w:rPr>
        <w:t xml:space="preserve">&gt;. </w:t>
      </w:r>
      <w:proofErr w:type="spellStart"/>
      <w:r w:rsidRPr="00335074">
        <w:rPr>
          <w:color w:val="auto"/>
          <w:lang w:val="en-US"/>
        </w:rPr>
        <w:t>Acesso</w:t>
      </w:r>
      <w:proofErr w:type="spellEnd"/>
      <w:r w:rsidRPr="00335074">
        <w:rPr>
          <w:color w:val="auto"/>
          <w:lang w:val="en-US"/>
        </w:rPr>
        <w:t xml:space="preserve"> </w:t>
      </w:r>
      <w:proofErr w:type="spellStart"/>
      <w:r w:rsidRPr="00335074">
        <w:rPr>
          <w:color w:val="auto"/>
          <w:lang w:val="en-US"/>
        </w:rPr>
        <w:t>em</w:t>
      </w:r>
      <w:proofErr w:type="spellEnd"/>
      <w:r w:rsidRPr="00335074">
        <w:rPr>
          <w:color w:val="auto"/>
          <w:lang w:val="en-US"/>
        </w:rPr>
        <w:t xml:space="preserve">: 9 </w:t>
      </w:r>
      <w:proofErr w:type="spellStart"/>
      <w:r w:rsidRPr="00335074">
        <w:rPr>
          <w:color w:val="auto"/>
          <w:lang w:val="en-US"/>
        </w:rPr>
        <w:t>mai</w:t>
      </w:r>
      <w:r w:rsidR="00D6056F" w:rsidRPr="00335074">
        <w:rPr>
          <w:color w:val="auto"/>
          <w:lang w:val="en-US"/>
        </w:rPr>
        <w:t>o</w:t>
      </w:r>
      <w:proofErr w:type="spellEnd"/>
      <w:r w:rsidR="00D6056F" w:rsidRPr="00335074">
        <w:rPr>
          <w:color w:val="auto"/>
          <w:lang w:val="en-US"/>
        </w:rPr>
        <w:t xml:space="preserve"> </w:t>
      </w:r>
      <w:r w:rsidRPr="00335074">
        <w:rPr>
          <w:color w:val="auto"/>
          <w:lang w:val="en-US"/>
        </w:rPr>
        <w:t>2020. </w:t>
      </w:r>
    </w:p>
    <w:p w14:paraId="1AB0129B" w14:textId="7CA4CFE0" w:rsidR="005472EF" w:rsidRPr="00335074" w:rsidRDefault="00932FD2">
      <w:pPr>
        <w:spacing w:before="200" w:after="200"/>
        <w:rPr>
          <w:color w:val="auto"/>
        </w:rPr>
      </w:pPr>
      <w:r w:rsidRPr="00335074">
        <w:rPr>
          <w:color w:val="auto"/>
          <w:lang w:val="en-US"/>
        </w:rPr>
        <w:t xml:space="preserve">UNODC. </w:t>
      </w:r>
      <w:r w:rsidRPr="00335074">
        <w:rPr>
          <w:i/>
          <w:color w:val="auto"/>
          <w:lang w:val="en-US"/>
        </w:rPr>
        <w:t>Global Report on Trafficking in Persons in 2014</w:t>
      </w:r>
      <w:r w:rsidRPr="00335074">
        <w:rPr>
          <w:color w:val="auto"/>
          <w:lang w:val="en-US"/>
        </w:rPr>
        <w:t xml:space="preserve">. </w:t>
      </w:r>
      <w:r w:rsidRPr="00335074">
        <w:rPr>
          <w:color w:val="auto"/>
        </w:rPr>
        <w:t>Nova York: Publicação das Nações Unidas. 2014. Disponível em: &lt;</w:t>
      </w:r>
      <w:hyperlink r:id="rId25">
        <w:r w:rsidRPr="00335074">
          <w:rPr>
            <w:color w:val="auto"/>
          </w:rPr>
          <w:t xml:space="preserve"> </w:t>
        </w:r>
      </w:hyperlink>
      <w:hyperlink r:id="rId26">
        <w:r w:rsidRPr="00335074">
          <w:rPr>
            <w:color w:val="auto"/>
            <w:u w:val="single"/>
          </w:rPr>
          <w:t>https://www.unodc.org/documents/lpo-brazil//Topics_TIP/Publicacoes/GLOTIP_2014_full_report.pdf</w:t>
        </w:r>
      </w:hyperlink>
      <w:r w:rsidRPr="00335074">
        <w:rPr>
          <w:color w:val="auto"/>
        </w:rPr>
        <w:t>&gt;. Acesso em: 10 mai</w:t>
      </w:r>
      <w:r w:rsidR="00D6056F" w:rsidRPr="00335074">
        <w:rPr>
          <w:color w:val="auto"/>
        </w:rPr>
        <w:t>o</w:t>
      </w:r>
      <w:r w:rsidRPr="00335074">
        <w:rPr>
          <w:color w:val="auto"/>
        </w:rPr>
        <w:t xml:space="preserve"> 2020.</w:t>
      </w:r>
    </w:p>
    <w:p w14:paraId="6FC67562" w14:textId="34A3DA8F" w:rsidR="005472EF" w:rsidRPr="00335074" w:rsidRDefault="00932FD2">
      <w:pPr>
        <w:spacing w:before="200" w:after="200"/>
        <w:rPr>
          <w:color w:val="auto"/>
          <w:lang w:val="en-US"/>
        </w:rPr>
      </w:pPr>
      <w:r w:rsidRPr="00335074">
        <w:rPr>
          <w:color w:val="auto"/>
        </w:rPr>
        <w:t xml:space="preserve">UNODC. </w:t>
      </w:r>
      <w:proofErr w:type="spellStart"/>
      <w:r w:rsidRPr="00335074">
        <w:rPr>
          <w:i/>
          <w:color w:val="auto"/>
        </w:rPr>
        <w:t>Human</w:t>
      </w:r>
      <w:proofErr w:type="spellEnd"/>
      <w:r w:rsidRPr="00335074">
        <w:rPr>
          <w:i/>
          <w:color w:val="auto"/>
        </w:rPr>
        <w:t xml:space="preserve"> </w:t>
      </w:r>
      <w:proofErr w:type="spellStart"/>
      <w:r w:rsidRPr="00335074">
        <w:rPr>
          <w:i/>
          <w:color w:val="auto"/>
        </w:rPr>
        <w:t>Trafficking</w:t>
      </w:r>
      <w:proofErr w:type="spellEnd"/>
      <w:r w:rsidRPr="00335074">
        <w:rPr>
          <w:i/>
          <w:color w:val="auto"/>
        </w:rPr>
        <w:t xml:space="preserve"> </w:t>
      </w:r>
      <w:proofErr w:type="spellStart"/>
      <w:r w:rsidRPr="00335074">
        <w:rPr>
          <w:i/>
          <w:color w:val="auto"/>
        </w:rPr>
        <w:t>Knowledge</w:t>
      </w:r>
      <w:proofErr w:type="spellEnd"/>
      <w:r w:rsidRPr="00335074">
        <w:rPr>
          <w:i/>
          <w:color w:val="auto"/>
        </w:rPr>
        <w:t xml:space="preserve"> Portal. </w:t>
      </w:r>
      <w:r w:rsidRPr="00335074">
        <w:rPr>
          <w:color w:val="auto"/>
        </w:rPr>
        <w:t>Disponível em: &lt;</w:t>
      </w:r>
      <w:hyperlink r:id="rId27">
        <w:r w:rsidRPr="00335074">
          <w:rPr>
            <w:color w:val="auto"/>
            <w:u w:val="single"/>
          </w:rPr>
          <w:t>https://sherloc.unodc.org/cld/en/v3/htms/index.html</w:t>
        </w:r>
      </w:hyperlink>
      <w:r w:rsidRPr="00335074">
        <w:rPr>
          <w:color w:val="auto"/>
        </w:rPr>
        <w:t xml:space="preserve">. </w:t>
      </w:r>
      <w:proofErr w:type="spellStart"/>
      <w:r w:rsidRPr="00335074">
        <w:rPr>
          <w:color w:val="auto"/>
          <w:lang w:val="en-US"/>
        </w:rPr>
        <w:t>Acesso</w:t>
      </w:r>
      <w:proofErr w:type="spellEnd"/>
      <w:r w:rsidRPr="00335074">
        <w:rPr>
          <w:color w:val="auto"/>
          <w:lang w:val="en-US"/>
        </w:rPr>
        <w:t xml:space="preserve"> </w:t>
      </w:r>
      <w:proofErr w:type="spellStart"/>
      <w:r w:rsidRPr="00335074">
        <w:rPr>
          <w:color w:val="auto"/>
          <w:lang w:val="en-US"/>
        </w:rPr>
        <w:t>em</w:t>
      </w:r>
      <w:proofErr w:type="spellEnd"/>
      <w:r w:rsidRPr="00335074">
        <w:rPr>
          <w:color w:val="auto"/>
          <w:lang w:val="en-US"/>
        </w:rPr>
        <w:t xml:space="preserve">: 15 </w:t>
      </w:r>
      <w:proofErr w:type="spellStart"/>
      <w:r w:rsidRPr="00335074">
        <w:rPr>
          <w:color w:val="auto"/>
          <w:lang w:val="en-US"/>
        </w:rPr>
        <w:t>mai</w:t>
      </w:r>
      <w:r w:rsidR="00D6056F" w:rsidRPr="00335074">
        <w:rPr>
          <w:color w:val="auto"/>
          <w:lang w:val="en-US"/>
        </w:rPr>
        <w:t>o</w:t>
      </w:r>
      <w:proofErr w:type="spellEnd"/>
      <w:r w:rsidRPr="00335074">
        <w:rPr>
          <w:color w:val="auto"/>
          <w:lang w:val="en-US"/>
        </w:rPr>
        <w:t xml:space="preserve"> 2020.</w:t>
      </w:r>
    </w:p>
    <w:p w14:paraId="2B922FD5" w14:textId="77777777" w:rsidR="005472EF" w:rsidRPr="00335074" w:rsidRDefault="00932FD2">
      <w:pPr>
        <w:spacing w:before="200" w:after="200"/>
        <w:rPr>
          <w:color w:val="auto"/>
        </w:rPr>
      </w:pPr>
      <w:r w:rsidRPr="00335074">
        <w:rPr>
          <w:color w:val="auto"/>
          <w:lang w:val="en-US"/>
        </w:rPr>
        <w:t xml:space="preserve">UNODC. </w:t>
      </w:r>
      <w:r w:rsidRPr="00335074">
        <w:rPr>
          <w:i/>
          <w:color w:val="auto"/>
          <w:lang w:val="en-US"/>
        </w:rPr>
        <w:t xml:space="preserve">Human Trafficking Knowledge Portal: Case Law Database. </w:t>
      </w:r>
      <w:r w:rsidRPr="00335074">
        <w:rPr>
          <w:color w:val="auto"/>
        </w:rPr>
        <w:t xml:space="preserve">Disponível em: &lt; </w:t>
      </w:r>
      <w:hyperlink r:id="rId28">
        <w:r w:rsidRPr="00335074">
          <w:rPr>
            <w:color w:val="auto"/>
            <w:u w:val="single"/>
          </w:rPr>
          <w:t>https://sherloc.unodc.org/cld/v3/htms/cldb/index.html?lng=en</w:t>
        </w:r>
      </w:hyperlink>
      <w:r w:rsidRPr="00335074">
        <w:rPr>
          <w:color w:val="auto"/>
        </w:rPr>
        <w:t>. Acesso em: 14 jun. 2020.</w:t>
      </w:r>
    </w:p>
    <w:p w14:paraId="2241C257" w14:textId="7299BF7F" w:rsidR="005472EF" w:rsidRPr="00335074" w:rsidRDefault="00932FD2">
      <w:pPr>
        <w:spacing w:before="200" w:after="200"/>
        <w:rPr>
          <w:color w:val="auto"/>
        </w:rPr>
      </w:pPr>
      <w:r w:rsidRPr="00335074">
        <w:rPr>
          <w:color w:val="auto"/>
        </w:rPr>
        <w:t xml:space="preserve">UNODC. </w:t>
      </w:r>
      <w:r w:rsidRPr="00335074">
        <w:rPr>
          <w:i/>
          <w:color w:val="auto"/>
        </w:rPr>
        <w:t>Relatório Global sobre o Tráfico de Pessoas 2018</w:t>
      </w:r>
      <w:r w:rsidRPr="00335074">
        <w:rPr>
          <w:color w:val="auto"/>
        </w:rPr>
        <w:t>. Nova York: Publicação das Nações Unidas. 2018. Disponível em: &lt;</w:t>
      </w:r>
      <w:hyperlink r:id="rId29">
        <w:r w:rsidRPr="00335074">
          <w:rPr>
            <w:color w:val="auto"/>
            <w:u w:val="single"/>
          </w:rPr>
          <w:t>https://www.unodc.org/documents/lpo-brazil//Topics_TIP/Publicacoes/TiP_PT.pdf</w:t>
        </w:r>
      </w:hyperlink>
      <w:r w:rsidRPr="00335074">
        <w:rPr>
          <w:color w:val="auto"/>
        </w:rPr>
        <w:t>&gt;. Acesso em: 22 mai</w:t>
      </w:r>
      <w:r w:rsidR="00D6056F" w:rsidRPr="00335074">
        <w:rPr>
          <w:color w:val="auto"/>
        </w:rPr>
        <w:t>o</w:t>
      </w:r>
      <w:r w:rsidRPr="00335074">
        <w:rPr>
          <w:color w:val="auto"/>
        </w:rPr>
        <w:t xml:space="preserve"> 2020. </w:t>
      </w:r>
    </w:p>
    <w:p w14:paraId="4FC953C7" w14:textId="70D995D1" w:rsidR="005472EF" w:rsidRPr="00335074" w:rsidRDefault="00932FD2">
      <w:pPr>
        <w:spacing w:before="200" w:after="200"/>
        <w:rPr>
          <w:color w:val="auto"/>
        </w:rPr>
      </w:pPr>
      <w:r w:rsidRPr="00335074">
        <w:rPr>
          <w:color w:val="auto"/>
        </w:rPr>
        <w:lastRenderedPageBreak/>
        <w:t xml:space="preserve">ZAFFARONI, Eugenio </w:t>
      </w:r>
      <w:proofErr w:type="spellStart"/>
      <w:r w:rsidRPr="00335074">
        <w:rPr>
          <w:color w:val="auto"/>
        </w:rPr>
        <w:t>Raúl</w:t>
      </w:r>
      <w:proofErr w:type="spellEnd"/>
      <w:r w:rsidRPr="00335074">
        <w:rPr>
          <w:color w:val="auto"/>
        </w:rPr>
        <w:t xml:space="preserve">. </w:t>
      </w:r>
      <w:proofErr w:type="spellStart"/>
      <w:r w:rsidRPr="00335074">
        <w:rPr>
          <w:i/>
          <w:color w:val="auto"/>
        </w:rPr>
        <w:t>Derecho</w:t>
      </w:r>
      <w:proofErr w:type="spellEnd"/>
      <w:r w:rsidRPr="00335074">
        <w:rPr>
          <w:i/>
          <w:color w:val="auto"/>
        </w:rPr>
        <w:t xml:space="preserve"> Penal Humano y poder </w:t>
      </w:r>
      <w:proofErr w:type="spellStart"/>
      <w:r w:rsidRPr="00335074">
        <w:rPr>
          <w:i/>
          <w:color w:val="auto"/>
        </w:rPr>
        <w:t>en</w:t>
      </w:r>
      <w:proofErr w:type="spellEnd"/>
      <w:r w:rsidRPr="00335074">
        <w:rPr>
          <w:i/>
          <w:color w:val="auto"/>
        </w:rPr>
        <w:t xml:space="preserve"> </w:t>
      </w:r>
      <w:proofErr w:type="spellStart"/>
      <w:r w:rsidRPr="00335074">
        <w:rPr>
          <w:i/>
          <w:color w:val="auto"/>
        </w:rPr>
        <w:t>el</w:t>
      </w:r>
      <w:proofErr w:type="spellEnd"/>
      <w:r w:rsidRPr="00335074">
        <w:rPr>
          <w:i/>
          <w:color w:val="auto"/>
        </w:rPr>
        <w:t xml:space="preserve"> </w:t>
      </w:r>
      <w:proofErr w:type="spellStart"/>
      <w:r w:rsidRPr="00335074">
        <w:rPr>
          <w:i/>
          <w:color w:val="auto"/>
        </w:rPr>
        <w:t>siglo</w:t>
      </w:r>
      <w:proofErr w:type="spellEnd"/>
      <w:r w:rsidRPr="00335074">
        <w:rPr>
          <w:i/>
          <w:color w:val="auto"/>
        </w:rPr>
        <w:t xml:space="preserve"> XXI: </w:t>
      </w:r>
      <w:proofErr w:type="gramStart"/>
      <w:r w:rsidRPr="00335074">
        <w:rPr>
          <w:i/>
          <w:color w:val="auto"/>
        </w:rPr>
        <w:t>Conferencias</w:t>
      </w:r>
      <w:proofErr w:type="gramEnd"/>
      <w:r w:rsidRPr="00335074">
        <w:rPr>
          <w:i/>
          <w:color w:val="auto"/>
        </w:rPr>
        <w:t xml:space="preserve"> de Guatemala</w:t>
      </w:r>
      <w:r w:rsidRPr="00335074">
        <w:rPr>
          <w:color w:val="auto"/>
        </w:rPr>
        <w:t>, 2016. Disponível em: &lt;</w:t>
      </w:r>
      <w:hyperlink r:id="rId30">
        <w:r w:rsidRPr="00335074">
          <w:rPr>
            <w:color w:val="auto"/>
            <w:u w:val="single"/>
          </w:rPr>
          <w:t>http://www.pensamientopenal.com.ar/system/files/2016/10/doctrina44188.pdf</w:t>
        </w:r>
      </w:hyperlink>
      <w:r w:rsidRPr="00335074">
        <w:rPr>
          <w:color w:val="auto"/>
        </w:rPr>
        <w:t>&gt;. Acesso em: 22 mai</w:t>
      </w:r>
      <w:r w:rsidR="00D6056F" w:rsidRPr="00335074">
        <w:rPr>
          <w:color w:val="auto"/>
        </w:rPr>
        <w:t xml:space="preserve">o </w:t>
      </w:r>
      <w:r w:rsidRPr="00335074">
        <w:rPr>
          <w:color w:val="auto"/>
        </w:rPr>
        <w:t>2020.</w:t>
      </w:r>
    </w:p>
    <w:p w14:paraId="799FE0C4" w14:textId="77777777" w:rsidR="005472EF" w:rsidRPr="00335074" w:rsidRDefault="00932FD2">
      <w:pPr>
        <w:spacing w:before="200" w:after="200"/>
        <w:rPr>
          <w:color w:val="auto"/>
        </w:rPr>
      </w:pPr>
      <w:r w:rsidRPr="00335074">
        <w:rPr>
          <w:color w:val="auto"/>
        </w:rPr>
        <w:t xml:space="preserve">OPHENTA. </w:t>
      </w:r>
      <w:r w:rsidRPr="00335074">
        <w:rPr>
          <w:i/>
          <w:color w:val="auto"/>
        </w:rPr>
        <w:t>Carta Africana dos Direitos do Homem e dos Povos</w:t>
      </w:r>
      <w:r w:rsidRPr="00335074">
        <w:rPr>
          <w:color w:val="auto"/>
        </w:rPr>
        <w:t>. Disponível em: &lt;</w:t>
      </w:r>
      <w:hyperlink r:id="rId31">
        <w:r w:rsidRPr="00335074">
          <w:rPr>
            <w:color w:val="auto"/>
            <w:u w:val="single"/>
          </w:rPr>
          <w:t>https://www.ophenta.org.mz/wp-content/uploads/2017/03/Carta-Africana-Direitos-Humanos-1.pdf</w:t>
        </w:r>
      </w:hyperlink>
      <w:r w:rsidRPr="00335074">
        <w:rPr>
          <w:color w:val="auto"/>
        </w:rPr>
        <w:t xml:space="preserve"> &gt;. Acesso em: 12 abr. 2020.</w:t>
      </w:r>
    </w:p>
    <w:p w14:paraId="057EB97D" w14:textId="77777777" w:rsidR="005472EF" w:rsidRDefault="005472EF">
      <w:pPr>
        <w:rPr>
          <w:color w:val="000000"/>
        </w:rPr>
      </w:pPr>
    </w:p>
    <w:sectPr w:rsidR="005472EF">
      <w:headerReference w:type="default" r:id="rId32"/>
      <w:footerReference w:type="default" r:id="rId33"/>
      <w:pgSz w:w="12240" w:h="15840"/>
      <w:pgMar w:top="1560" w:right="1701" w:bottom="1560" w:left="1701"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82086E" w14:textId="77777777" w:rsidR="00C2008C" w:rsidRDefault="00C2008C">
      <w:pPr>
        <w:spacing w:before="0" w:after="0" w:line="240" w:lineRule="auto"/>
      </w:pPr>
      <w:r>
        <w:separator/>
      </w:r>
    </w:p>
  </w:endnote>
  <w:endnote w:type="continuationSeparator" w:id="0">
    <w:p w14:paraId="459BE3D6" w14:textId="77777777" w:rsidR="00C2008C" w:rsidRDefault="00C2008C">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Calibri">
    <w:panose1 w:val="020F0502020204030204"/>
    <w:charset w:val="00"/>
    <w:family w:val="swiss"/>
    <w:pitch w:val="variable"/>
    <w:sig w:usb0="A0002AEF" w:usb1="4000207B" w:usb2="00000000"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1C6584" w14:textId="77777777" w:rsidR="009E2F06" w:rsidRDefault="009E2F06">
    <w:pPr>
      <w:pBdr>
        <w:top w:val="nil"/>
        <w:left w:val="nil"/>
        <w:bottom w:val="nil"/>
        <w:right w:val="nil"/>
        <w:between w:val="nil"/>
      </w:pBdr>
      <w:tabs>
        <w:tab w:val="center" w:pos="4252"/>
        <w:tab w:val="right" w:pos="8504"/>
      </w:tabs>
      <w:spacing w:before="0" w:after="0"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A2D908C" w14:textId="77777777" w:rsidR="00C2008C" w:rsidRDefault="00C2008C">
      <w:pPr>
        <w:spacing w:before="0" w:after="0" w:line="240" w:lineRule="auto"/>
      </w:pPr>
      <w:r>
        <w:separator/>
      </w:r>
    </w:p>
  </w:footnote>
  <w:footnote w:type="continuationSeparator" w:id="0">
    <w:p w14:paraId="2967ED96" w14:textId="77777777" w:rsidR="00C2008C" w:rsidRDefault="00C2008C">
      <w:pPr>
        <w:spacing w:before="0" w:after="0" w:line="240" w:lineRule="auto"/>
      </w:pPr>
      <w:r>
        <w:continuationSeparator/>
      </w:r>
    </w:p>
  </w:footnote>
  <w:footnote w:id="1">
    <w:p w14:paraId="5CEC2D5B" w14:textId="3BD74445" w:rsidR="009E2F06" w:rsidRPr="00DE71B4" w:rsidRDefault="009E2F06" w:rsidP="00DE71B4">
      <w:pPr>
        <w:pBdr>
          <w:top w:val="nil"/>
          <w:left w:val="nil"/>
          <w:bottom w:val="nil"/>
          <w:right w:val="nil"/>
          <w:between w:val="nil"/>
        </w:pBdr>
        <w:spacing w:before="0" w:after="0" w:line="240" w:lineRule="auto"/>
        <w:rPr>
          <w:color w:val="auto"/>
          <w:sz w:val="20"/>
          <w:szCs w:val="20"/>
        </w:rPr>
      </w:pPr>
      <w:r w:rsidRPr="00DE71B4">
        <w:rPr>
          <w:color w:val="auto"/>
          <w:sz w:val="20"/>
          <w:szCs w:val="20"/>
          <w:vertAlign w:val="superscript"/>
        </w:rPr>
        <w:footnoteRef/>
      </w:r>
      <w:r w:rsidRPr="00DE71B4">
        <w:rPr>
          <w:color w:val="auto"/>
          <w:sz w:val="20"/>
          <w:szCs w:val="20"/>
        </w:rPr>
        <w:t xml:space="preserve"> Doutorando em Políticas Públicas pelo Programa de Pós-Graduação em Políticas Públicas da Universidade Estadual do Ceará (UECE). Mestre em Relações Internacionais e Diplomacia, com especialidade em Política Externa, pelo Instituto Superior de Relações Internacionais (ISRI). Pesquisador da linha de pesquisa Direitos Humanos, inserida no grupo de pesquisa Dimensões de Conhecimento do Poder Judiciário, da Escola Superior da Magistratura do Estado de Ceará (ESMEC) e do </w:t>
      </w:r>
      <w:r w:rsidRPr="00DE71B4">
        <w:rPr>
          <w:color w:val="222222"/>
          <w:sz w:val="20"/>
          <w:szCs w:val="20"/>
          <w:shd w:val="clear" w:color="auto" w:fill="FFFFFF"/>
        </w:rPr>
        <w:t xml:space="preserve">grupo de pesquisa Núcleo de Autos Estudos em Políticas de Segurança e Cidadania (NAEPS), da UECE. </w:t>
      </w:r>
      <w:r w:rsidRPr="00DE71B4">
        <w:rPr>
          <w:color w:val="auto"/>
          <w:sz w:val="20"/>
          <w:szCs w:val="20"/>
        </w:rPr>
        <w:t xml:space="preserve">Bolsista do Programa de Estudantes-Convênio de Pós-Graduação, da CAPES-Brasil. </w:t>
      </w:r>
      <w:r w:rsidRPr="00DE71B4">
        <w:rPr>
          <w:i/>
          <w:iCs/>
          <w:color w:val="auto"/>
          <w:sz w:val="20"/>
          <w:szCs w:val="20"/>
        </w:rPr>
        <w:t>E-mail</w:t>
      </w:r>
      <w:r w:rsidRPr="00DE71B4">
        <w:rPr>
          <w:color w:val="auto"/>
          <w:sz w:val="20"/>
          <w:szCs w:val="20"/>
        </w:rPr>
        <w:t>: desgui69@gmail.com.</w:t>
      </w:r>
    </w:p>
  </w:footnote>
  <w:footnote w:id="2">
    <w:p w14:paraId="6B94D37F" w14:textId="0E6D0437" w:rsidR="009E2F06" w:rsidRPr="00DE71B4" w:rsidRDefault="009E2F06" w:rsidP="00DE71B4">
      <w:pPr>
        <w:pBdr>
          <w:top w:val="nil"/>
          <w:left w:val="nil"/>
          <w:bottom w:val="nil"/>
          <w:right w:val="nil"/>
          <w:between w:val="nil"/>
        </w:pBdr>
        <w:spacing w:before="0" w:after="0" w:line="240" w:lineRule="auto"/>
        <w:rPr>
          <w:color w:val="auto"/>
          <w:sz w:val="20"/>
          <w:szCs w:val="20"/>
        </w:rPr>
      </w:pPr>
      <w:r w:rsidRPr="00DE71B4">
        <w:rPr>
          <w:color w:val="auto"/>
          <w:sz w:val="20"/>
          <w:szCs w:val="20"/>
          <w:vertAlign w:val="superscript"/>
        </w:rPr>
        <w:footnoteRef/>
      </w:r>
      <w:r w:rsidRPr="00DE71B4">
        <w:rPr>
          <w:color w:val="auto"/>
          <w:sz w:val="20"/>
          <w:szCs w:val="20"/>
        </w:rPr>
        <w:t xml:space="preserve"> Doutora em Direito Constitucional pela Universidade de Fortaleza (UNIFOR/CE), com estágio </w:t>
      </w:r>
      <w:proofErr w:type="spellStart"/>
      <w:r w:rsidRPr="00DE71B4">
        <w:rPr>
          <w:color w:val="auto"/>
          <w:sz w:val="20"/>
          <w:szCs w:val="20"/>
        </w:rPr>
        <w:t>pré</w:t>
      </w:r>
      <w:proofErr w:type="spellEnd"/>
      <w:r w:rsidRPr="00DE71B4">
        <w:rPr>
          <w:color w:val="auto"/>
          <w:sz w:val="20"/>
          <w:szCs w:val="20"/>
        </w:rPr>
        <w:t xml:space="preserve">-doutoral no Departamento de </w:t>
      </w:r>
      <w:proofErr w:type="spellStart"/>
      <w:r w:rsidRPr="00DE71B4">
        <w:rPr>
          <w:color w:val="auto"/>
          <w:sz w:val="20"/>
          <w:szCs w:val="20"/>
        </w:rPr>
        <w:t>Estudios</w:t>
      </w:r>
      <w:proofErr w:type="spellEnd"/>
      <w:r w:rsidRPr="00DE71B4">
        <w:rPr>
          <w:color w:val="auto"/>
          <w:sz w:val="20"/>
          <w:szCs w:val="20"/>
        </w:rPr>
        <w:t xml:space="preserve"> </w:t>
      </w:r>
      <w:proofErr w:type="spellStart"/>
      <w:r w:rsidRPr="00DE71B4">
        <w:rPr>
          <w:color w:val="auto"/>
          <w:sz w:val="20"/>
          <w:szCs w:val="20"/>
        </w:rPr>
        <w:t>Internacionales</w:t>
      </w:r>
      <w:proofErr w:type="spellEnd"/>
      <w:r w:rsidRPr="00DE71B4">
        <w:rPr>
          <w:color w:val="auto"/>
          <w:sz w:val="20"/>
          <w:szCs w:val="20"/>
        </w:rPr>
        <w:t xml:space="preserve"> de </w:t>
      </w:r>
      <w:proofErr w:type="spellStart"/>
      <w:r w:rsidRPr="00DE71B4">
        <w:rPr>
          <w:color w:val="auto"/>
          <w:sz w:val="20"/>
          <w:szCs w:val="20"/>
        </w:rPr>
        <w:t>Universidad</w:t>
      </w:r>
      <w:proofErr w:type="spellEnd"/>
      <w:r w:rsidRPr="00DE71B4">
        <w:rPr>
          <w:color w:val="auto"/>
          <w:sz w:val="20"/>
          <w:szCs w:val="20"/>
        </w:rPr>
        <w:t xml:space="preserve"> Loyola Andalucía (LOYOLA, Sevilha, Espanha). Mestra em Direito Público pela Pontifícia Universidade Católica de Minas Gerais (Bolsa – CAPES). Graduada em Serviço Social pela Universidade Estadual do Ceará e em Direito pela UNIFOR/CE. Coordenadora da linha de pesquisa Direitos Humanos, inserida no grupo de pesquisa Dimensões de Conhecimento do Poder Judiciário, da Escola Superior da Magistratura do Estado de Ceará (ESMEC). </w:t>
      </w:r>
      <w:r w:rsidRPr="00DE71B4">
        <w:rPr>
          <w:i/>
          <w:iCs/>
          <w:color w:val="auto"/>
          <w:sz w:val="20"/>
          <w:szCs w:val="20"/>
        </w:rPr>
        <w:t>E-mail</w:t>
      </w:r>
      <w:r w:rsidRPr="00DE71B4">
        <w:rPr>
          <w:color w:val="auto"/>
          <w:sz w:val="20"/>
          <w:szCs w:val="20"/>
        </w:rPr>
        <w:t>: merciacardosodesouza@gmail.com.</w:t>
      </w:r>
    </w:p>
  </w:footnote>
  <w:footnote w:id="3">
    <w:p w14:paraId="4782AE5D" w14:textId="713794D6" w:rsidR="009E2F06" w:rsidRPr="00DE71B4" w:rsidRDefault="009E2F06" w:rsidP="00DE71B4">
      <w:pPr>
        <w:pBdr>
          <w:top w:val="nil"/>
          <w:left w:val="nil"/>
          <w:bottom w:val="nil"/>
          <w:right w:val="nil"/>
          <w:between w:val="nil"/>
        </w:pBdr>
        <w:spacing w:before="0" w:after="0" w:line="240" w:lineRule="auto"/>
        <w:rPr>
          <w:color w:val="auto"/>
          <w:sz w:val="20"/>
          <w:szCs w:val="20"/>
        </w:rPr>
      </w:pPr>
      <w:r w:rsidRPr="00DE71B4">
        <w:rPr>
          <w:color w:val="auto"/>
          <w:sz w:val="20"/>
          <w:szCs w:val="20"/>
          <w:vertAlign w:val="superscript"/>
        </w:rPr>
        <w:footnoteRef/>
      </w:r>
      <w:r w:rsidRPr="00DE71B4">
        <w:rPr>
          <w:color w:val="auto"/>
          <w:sz w:val="20"/>
          <w:szCs w:val="20"/>
        </w:rPr>
        <w:t xml:space="preserve"> Doutor em Sociologia Política pela </w:t>
      </w:r>
      <w:proofErr w:type="spellStart"/>
      <w:r w:rsidRPr="00DE71B4">
        <w:rPr>
          <w:color w:val="auto"/>
          <w:sz w:val="20"/>
          <w:szCs w:val="20"/>
        </w:rPr>
        <w:t>Universidad</w:t>
      </w:r>
      <w:proofErr w:type="spellEnd"/>
      <w:r w:rsidRPr="00DE71B4">
        <w:rPr>
          <w:color w:val="auto"/>
          <w:sz w:val="20"/>
          <w:szCs w:val="20"/>
        </w:rPr>
        <w:t xml:space="preserve"> de Salamanca (Espanha). Mestre em Educação pela Universidade Estadual do Ceará (UFC/CE). Graduado em Ciências Sociais pela Universidade de Fortaleza (UNIFOR/CE). Professor Associado da Universidade Estadual do Ceará (UECE). Coordenador do Programa de Pós-Graduação em Políticas Públicas da UECE. </w:t>
      </w:r>
      <w:r w:rsidRPr="00DE71B4">
        <w:rPr>
          <w:i/>
          <w:iCs/>
          <w:color w:val="auto"/>
          <w:sz w:val="20"/>
          <w:szCs w:val="20"/>
        </w:rPr>
        <w:t>E-mail</w:t>
      </w:r>
      <w:r w:rsidRPr="00DE71B4">
        <w:rPr>
          <w:color w:val="auto"/>
          <w:sz w:val="20"/>
          <w:szCs w:val="20"/>
        </w:rPr>
        <w:t>: fhsfgm@gmail.com.</w:t>
      </w:r>
    </w:p>
  </w:footnote>
  <w:footnote w:id="4">
    <w:p w14:paraId="7B68101B" w14:textId="77777777" w:rsidR="009E2F06" w:rsidRPr="00DE71B4" w:rsidRDefault="009E2F06" w:rsidP="00DE71B4">
      <w:pPr>
        <w:spacing w:before="0" w:after="0" w:line="240" w:lineRule="auto"/>
        <w:rPr>
          <w:color w:val="auto"/>
          <w:sz w:val="20"/>
          <w:szCs w:val="20"/>
        </w:rPr>
      </w:pPr>
      <w:r w:rsidRPr="00DE71B4">
        <w:rPr>
          <w:color w:val="auto"/>
          <w:sz w:val="20"/>
          <w:szCs w:val="20"/>
          <w:vertAlign w:val="superscript"/>
        </w:rPr>
        <w:footnoteRef/>
      </w:r>
      <w:r w:rsidRPr="00DE71B4">
        <w:rPr>
          <w:color w:val="auto"/>
          <w:sz w:val="20"/>
          <w:szCs w:val="20"/>
        </w:rPr>
        <w:t xml:space="preserve"> O Escritório das Nações Unidas contra Drogas e Crime (UNODC) </w:t>
      </w:r>
      <w:r w:rsidRPr="00DE71B4">
        <w:rPr>
          <w:color w:val="auto"/>
          <w:sz w:val="20"/>
          <w:szCs w:val="20"/>
          <w:highlight w:val="white"/>
        </w:rPr>
        <w:t>baseia seu trabalho nas três convenções internacionais de controle de drogas, nas convenções contra o crime organizado transnacional e contra a corrupção e nos instrumentos internacionais contra o terrorismo. Nesse âmbito, o escritório publicou desde 2009 cinco relatórios globais (Relatório Global sobre Tráfico de Pessoas de 2009, 2012, 2014, 2016 e 2018). Paralelamente a estes tem outras publicações, que abordam sobre temáticas específicas que se relacionam ao tráfico de pessoas, nomeadamente: planos, manuais entre outras (UNODC. Publicações UNODC. 2020. Disponível em: &lt;</w:t>
      </w:r>
      <w:hyperlink r:id="rId1">
        <w:r w:rsidRPr="00DE71B4">
          <w:rPr>
            <w:color w:val="auto"/>
            <w:sz w:val="20"/>
            <w:szCs w:val="20"/>
            <w:highlight w:val="white"/>
            <w:u w:val="single"/>
          </w:rPr>
          <w:t>https://www.unodc.org/lpo-brazil/pt/trafico-de-pessoas/publicacoes.html</w:t>
        </w:r>
      </w:hyperlink>
      <w:r w:rsidRPr="00DE71B4">
        <w:rPr>
          <w:color w:val="auto"/>
          <w:sz w:val="20"/>
          <w:szCs w:val="20"/>
        </w:rPr>
        <w:t>&gt;. Acesso em: 22 jun. 2020.</w:t>
      </w:r>
    </w:p>
  </w:footnote>
  <w:footnote w:id="5">
    <w:p w14:paraId="623ED258" w14:textId="61EC2818" w:rsidR="009E2F06" w:rsidRPr="00DE71B4" w:rsidRDefault="009E2F06" w:rsidP="00DE71B4">
      <w:pPr>
        <w:pBdr>
          <w:top w:val="nil"/>
          <w:left w:val="nil"/>
          <w:bottom w:val="nil"/>
          <w:right w:val="nil"/>
          <w:between w:val="nil"/>
        </w:pBdr>
        <w:spacing w:before="0" w:after="0" w:line="240" w:lineRule="auto"/>
        <w:rPr>
          <w:color w:val="auto"/>
          <w:sz w:val="20"/>
          <w:szCs w:val="20"/>
        </w:rPr>
      </w:pPr>
      <w:r w:rsidRPr="00DE71B4">
        <w:rPr>
          <w:color w:val="auto"/>
          <w:sz w:val="20"/>
          <w:szCs w:val="20"/>
          <w:vertAlign w:val="superscript"/>
        </w:rPr>
        <w:footnoteRef/>
      </w:r>
      <w:r w:rsidRPr="00DE71B4">
        <w:rPr>
          <w:color w:val="auto"/>
          <w:sz w:val="20"/>
          <w:szCs w:val="20"/>
        </w:rPr>
        <w:t xml:space="preserve"> UNODC. </w:t>
      </w:r>
      <w:r w:rsidRPr="00DE71B4">
        <w:rPr>
          <w:i/>
          <w:color w:val="auto"/>
          <w:sz w:val="20"/>
          <w:szCs w:val="20"/>
        </w:rPr>
        <w:t>Relatório Global sobre o Tráfico de Pessoas 2018</w:t>
      </w:r>
      <w:r w:rsidRPr="00DE71B4">
        <w:rPr>
          <w:color w:val="auto"/>
          <w:sz w:val="20"/>
          <w:szCs w:val="20"/>
        </w:rPr>
        <w:t>. Nova York: Publicação das Nações Unidas. 2018. Disponível em: &lt;</w:t>
      </w:r>
      <w:hyperlink r:id="rId2">
        <w:r w:rsidRPr="00DE71B4">
          <w:rPr>
            <w:color w:val="auto"/>
            <w:sz w:val="20"/>
            <w:szCs w:val="20"/>
            <w:u w:val="single"/>
          </w:rPr>
          <w:t>https://www.unodc.org/documents/lpo-brazil//Topics_TIP/Publicacoes/TiP_PT.pdf</w:t>
        </w:r>
      </w:hyperlink>
      <w:r w:rsidRPr="00DE71B4">
        <w:rPr>
          <w:color w:val="auto"/>
          <w:sz w:val="20"/>
          <w:szCs w:val="20"/>
        </w:rPr>
        <w:t>&gt;. Acesso em: 22 maio 2020.  </w:t>
      </w:r>
    </w:p>
  </w:footnote>
  <w:footnote w:id="6">
    <w:p w14:paraId="1F186199" w14:textId="75C168B2" w:rsidR="009E2F06" w:rsidRPr="00DE71B4" w:rsidRDefault="009E2F06" w:rsidP="00DE71B4">
      <w:pPr>
        <w:pBdr>
          <w:top w:val="nil"/>
          <w:left w:val="nil"/>
          <w:bottom w:val="nil"/>
          <w:right w:val="nil"/>
          <w:between w:val="nil"/>
        </w:pBdr>
        <w:spacing w:before="0" w:after="0" w:line="240" w:lineRule="auto"/>
        <w:rPr>
          <w:color w:val="auto"/>
          <w:sz w:val="20"/>
          <w:szCs w:val="20"/>
          <w:lang w:val="en-US"/>
        </w:rPr>
      </w:pPr>
      <w:r w:rsidRPr="00DE71B4">
        <w:rPr>
          <w:color w:val="auto"/>
          <w:sz w:val="20"/>
          <w:szCs w:val="20"/>
          <w:vertAlign w:val="superscript"/>
        </w:rPr>
        <w:footnoteRef/>
      </w:r>
      <w:r w:rsidRPr="00DE71B4">
        <w:rPr>
          <w:color w:val="auto"/>
          <w:sz w:val="20"/>
          <w:szCs w:val="20"/>
        </w:rPr>
        <w:t xml:space="preserve"> UNODC. </w:t>
      </w:r>
      <w:r w:rsidRPr="00DE71B4">
        <w:rPr>
          <w:i/>
          <w:color w:val="auto"/>
          <w:sz w:val="20"/>
          <w:szCs w:val="20"/>
        </w:rPr>
        <w:t>Relatório Global sobre o Tráfico de Pessoas 2018</w:t>
      </w:r>
      <w:r w:rsidRPr="00DE71B4">
        <w:rPr>
          <w:color w:val="auto"/>
          <w:sz w:val="20"/>
          <w:szCs w:val="20"/>
        </w:rPr>
        <w:t>. Nova York: Publicação das Nações Unidas. 2018. Disponível em: &lt;</w:t>
      </w:r>
      <w:hyperlink r:id="rId3">
        <w:r w:rsidRPr="00DE71B4">
          <w:rPr>
            <w:color w:val="auto"/>
            <w:sz w:val="20"/>
            <w:szCs w:val="20"/>
            <w:u w:val="single"/>
          </w:rPr>
          <w:t>https://www.unodc.org/documents/lpo-brazil//Topics_TIP/Publicacoes/TiP_PT.pdf</w:t>
        </w:r>
      </w:hyperlink>
      <w:r w:rsidRPr="00DE71B4">
        <w:rPr>
          <w:color w:val="auto"/>
          <w:sz w:val="20"/>
          <w:szCs w:val="20"/>
        </w:rPr>
        <w:t xml:space="preserve">&gt;. </w:t>
      </w:r>
      <w:proofErr w:type="spellStart"/>
      <w:r w:rsidRPr="00DE71B4">
        <w:rPr>
          <w:color w:val="auto"/>
          <w:sz w:val="20"/>
          <w:szCs w:val="20"/>
          <w:lang w:val="en-US"/>
        </w:rPr>
        <w:t>Acesso</w:t>
      </w:r>
      <w:proofErr w:type="spellEnd"/>
      <w:r w:rsidRPr="00DE71B4">
        <w:rPr>
          <w:color w:val="auto"/>
          <w:sz w:val="20"/>
          <w:szCs w:val="20"/>
          <w:lang w:val="en-US"/>
        </w:rPr>
        <w:t xml:space="preserve"> </w:t>
      </w:r>
      <w:proofErr w:type="spellStart"/>
      <w:r w:rsidRPr="00DE71B4">
        <w:rPr>
          <w:color w:val="auto"/>
          <w:sz w:val="20"/>
          <w:szCs w:val="20"/>
          <w:lang w:val="en-US"/>
        </w:rPr>
        <w:t>em</w:t>
      </w:r>
      <w:proofErr w:type="spellEnd"/>
      <w:r w:rsidRPr="00DE71B4">
        <w:rPr>
          <w:color w:val="auto"/>
          <w:sz w:val="20"/>
          <w:szCs w:val="20"/>
          <w:lang w:val="en-US"/>
        </w:rPr>
        <w:t xml:space="preserve">: 22 </w:t>
      </w:r>
      <w:proofErr w:type="spellStart"/>
      <w:r w:rsidRPr="00DE71B4">
        <w:rPr>
          <w:color w:val="auto"/>
          <w:sz w:val="20"/>
          <w:szCs w:val="20"/>
          <w:lang w:val="en-US"/>
        </w:rPr>
        <w:t>maio</w:t>
      </w:r>
      <w:proofErr w:type="spellEnd"/>
      <w:r w:rsidRPr="00DE71B4">
        <w:rPr>
          <w:color w:val="auto"/>
          <w:sz w:val="20"/>
          <w:szCs w:val="20"/>
          <w:lang w:val="en-US"/>
        </w:rPr>
        <w:t xml:space="preserve"> 2020. </w:t>
      </w:r>
    </w:p>
  </w:footnote>
  <w:footnote w:id="7">
    <w:p w14:paraId="0564E614" w14:textId="497410C2" w:rsidR="009E2F06" w:rsidRPr="00DE71B4" w:rsidRDefault="009E2F06" w:rsidP="00DE71B4">
      <w:pPr>
        <w:pBdr>
          <w:top w:val="nil"/>
          <w:left w:val="nil"/>
          <w:bottom w:val="nil"/>
          <w:right w:val="nil"/>
          <w:between w:val="nil"/>
        </w:pBdr>
        <w:spacing w:before="0" w:after="0" w:line="240" w:lineRule="auto"/>
        <w:rPr>
          <w:color w:val="auto"/>
          <w:sz w:val="20"/>
          <w:szCs w:val="20"/>
          <w:lang w:val="en-US"/>
        </w:rPr>
      </w:pPr>
      <w:r w:rsidRPr="00DE71B4">
        <w:rPr>
          <w:color w:val="auto"/>
          <w:sz w:val="20"/>
          <w:szCs w:val="20"/>
          <w:vertAlign w:val="superscript"/>
        </w:rPr>
        <w:footnoteRef/>
      </w:r>
      <w:r w:rsidRPr="00DE71B4">
        <w:rPr>
          <w:color w:val="auto"/>
          <w:sz w:val="20"/>
          <w:szCs w:val="20"/>
          <w:lang w:val="en-US"/>
        </w:rPr>
        <w:t xml:space="preserve"> UNODC. </w:t>
      </w:r>
      <w:r w:rsidRPr="00DE71B4">
        <w:rPr>
          <w:i/>
          <w:color w:val="auto"/>
          <w:sz w:val="20"/>
          <w:szCs w:val="20"/>
          <w:lang w:val="en-US"/>
        </w:rPr>
        <w:t>Global Report on Trafficking in Persons 2016</w:t>
      </w:r>
      <w:r w:rsidRPr="00DE71B4">
        <w:rPr>
          <w:color w:val="auto"/>
          <w:sz w:val="20"/>
          <w:szCs w:val="20"/>
          <w:lang w:val="en-US"/>
        </w:rPr>
        <w:t xml:space="preserve">. </w:t>
      </w:r>
      <w:r w:rsidRPr="00DE71B4">
        <w:rPr>
          <w:color w:val="auto"/>
          <w:sz w:val="20"/>
          <w:szCs w:val="20"/>
        </w:rPr>
        <w:t>Nova York: Publicação das Nações Unidas. 2016. p. 19. Disponível em: &lt;</w:t>
      </w:r>
      <w:hyperlink r:id="rId4">
        <w:r w:rsidRPr="00DE71B4">
          <w:rPr>
            <w:color w:val="auto"/>
            <w:sz w:val="20"/>
            <w:szCs w:val="20"/>
            <w:u w:val="single"/>
          </w:rPr>
          <w:t>https://www.unodc.org/documents/data-and-analysis/glotip/2016_Global_Report_on_Trafficking_in_Persons.pdf</w:t>
        </w:r>
      </w:hyperlink>
      <w:r w:rsidRPr="00DE71B4">
        <w:rPr>
          <w:color w:val="auto"/>
          <w:sz w:val="20"/>
          <w:szCs w:val="20"/>
        </w:rPr>
        <w:t xml:space="preserve">&gt;. </w:t>
      </w:r>
      <w:proofErr w:type="spellStart"/>
      <w:r w:rsidRPr="00DE71B4">
        <w:rPr>
          <w:color w:val="auto"/>
          <w:sz w:val="20"/>
          <w:szCs w:val="20"/>
          <w:lang w:val="en-US"/>
        </w:rPr>
        <w:t>Acesso</w:t>
      </w:r>
      <w:proofErr w:type="spellEnd"/>
      <w:r w:rsidRPr="00DE71B4">
        <w:rPr>
          <w:color w:val="auto"/>
          <w:sz w:val="20"/>
          <w:szCs w:val="20"/>
          <w:lang w:val="en-US"/>
        </w:rPr>
        <w:t xml:space="preserve"> </w:t>
      </w:r>
      <w:proofErr w:type="spellStart"/>
      <w:r w:rsidRPr="00DE71B4">
        <w:rPr>
          <w:color w:val="auto"/>
          <w:sz w:val="20"/>
          <w:szCs w:val="20"/>
          <w:lang w:val="en-US"/>
        </w:rPr>
        <w:t>em</w:t>
      </w:r>
      <w:proofErr w:type="spellEnd"/>
      <w:r w:rsidRPr="00DE71B4">
        <w:rPr>
          <w:color w:val="auto"/>
          <w:sz w:val="20"/>
          <w:szCs w:val="20"/>
          <w:lang w:val="en-US"/>
        </w:rPr>
        <w:t xml:space="preserve">: 18 </w:t>
      </w:r>
      <w:proofErr w:type="spellStart"/>
      <w:r w:rsidRPr="00DE71B4">
        <w:rPr>
          <w:color w:val="auto"/>
          <w:sz w:val="20"/>
          <w:szCs w:val="20"/>
          <w:lang w:val="en-US"/>
        </w:rPr>
        <w:t>maio</w:t>
      </w:r>
      <w:proofErr w:type="spellEnd"/>
      <w:r w:rsidRPr="00DE71B4">
        <w:rPr>
          <w:color w:val="auto"/>
          <w:sz w:val="20"/>
          <w:szCs w:val="20"/>
          <w:lang w:val="en-US"/>
        </w:rPr>
        <w:t xml:space="preserve"> 2020. </w:t>
      </w:r>
    </w:p>
  </w:footnote>
  <w:footnote w:id="8">
    <w:p w14:paraId="0ADB4949" w14:textId="75B1F531" w:rsidR="009E2F06" w:rsidRPr="00DE71B4" w:rsidRDefault="009E2F06" w:rsidP="00DE71B4">
      <w:pPr>
        <w:pBdr>
          <w:top w:val="nil"/>
          <w:left w:val="nil"/>
          <w:bottom w:val="nil"/>
          <w:right w:val="nil"/>
          <w:between w:val="nil"/>
        </w:pBdr>
        <w:spacing w:before="0" w:after="0" w:line="240" w:lineRule="auto"/>
        <w:rPr>
          <w:color w:val="auto"/>
          <w:sz w:val="20"/>
          <w:szCs w:val="20"/>
          <w:lang w:val="en-US"/>
        </w:rPr>
      </w:pPr>
      <w:r w:rsidRPr="00DE71B4">
        <w:rPr>
          <w:color w:val="auto"/>
          <w:sz w:val="20"/>
          <w:szCs w:val="20"/>
          <w:vertAlign w:val="superscript"/>
        </w:rPr>
        <w:footnoteRef/>
      </w:r>
      <w:r w:rsidRPr="00DE71B4">
        <w:rPr>
          <w:color w:val="auto"/>
          <w:sz w:val="20"/>
          <w:szCs w:val="20"/>
          <w:lang w:val="en-US"/>
        </w:rPr>
        <w:t xml:space="preserve"> UNODC. </w:t>
      </w:r>
      <w:r w:rsidRPr="00DE71B4">
        <w:rPr>
          <w:i/>
          <w:color w:val="auto"/>
          <w:sz w:val="20"/>
          <w:szCs w:val="20"/>
          <w:lang w:val="en-US"/>
        </w:rPr>
        <w:t>Global Report on Trafficking in Persons in 2014</w:t>
      </w:r>
      <w:r w:rsidRPr="00DE71B4">
        <w:rPr>
          <w:color w:val="auto"/>
          <w:sz w:val="20"/>
          <w:szCs w:val="20"/>
          <w:lang w:val="en-US"/>
        </w:rPr>
        <w:t xml:space="preserve">. </w:t>
      </w:r>
      <w:r w:rsidRPr="00DE71B4">
        <w:rPr>
          <w:color w:val="auto"/>
          <w:sz w:val="20"/>
          <w:szCs w:val="20"/>
        </w:rPr>
        <w:t>Nova York: Publicação das Nações Unidas. 2014. Disponível em: &lt;</w:t>
      </w:r>
      <w:hyperlink r:id="rId5">
        <w:r w:rsidRPr="00DE71B4">
          <w:rPr>
            <w:color w:val="auto"/>
            <w:sz w:val="20"/>
            <w:szCs w:val="20"/>
          </w:rPr>
          <w:t xml:space="preserve"> </w:t>
        </w:r>
      </w:hyperlink>
      <w:hyperlink r:id="rId6">
        <w:r w:rsidRPr="00DE71B4">
          <w:rPr>
            <w:color w:val="auto"/>
            <w:sz w:val="20"/>
            <w:szCs w:val="20"/>
            <w:u w:val="single"/>
          </w:rPr>
          <w:t>https://www.unodc.org/documents/lpo-brazil//Topics_TIP/Publicacoes/GLOTIP_2014_full_report.pdf</w:t>
        </w:r>
      </w:hyperlink>
      <w:r w:rsidRPr="00DE71B4">
        <w:rPr>
          <w:color w:val="auto"/>
          <w:sz w:val="20"/>
          <w:szCs w:val="20"/>
        </w:rPr>
        <w:t xml:space="preserve">&gt;. </w:t>
      </w:r>
      <w:proofErr w:type="spellStart"/>
      <w:r w:rsidRPr="00DE71B4">
        <w:rPr>
          <w:color w:val="auto"/>
          <w:sz w:val="20"/>
          <w:szCs w:val="20"/>
          <w:lang w:val="en-US"/>
        </w:rPr>
        <w:t>Acesso</w:t>
      </w:r>
      <w:proofErr w:type="spellEnd"/>
      <w:r w:rsidRPr="00DE71B4">
        <w:rPr>
          <w:color w:val="auto"/>
          <w:sz w:val="20"/>
          <w:szCs w:val="20"/>
          <w:lang w:val="en-US"/>
        </w:rPr>
        <w:t xml:space="preserve"> </w:t>
      </w:r>
      <w:proofErr w:type="spellStart"/>
      <w:r w:rsidRPr="00DE71B4">
        <w:rPr>
          <w:color w:val="auto"/>
          <w:sz w:val="20"/>
          <w:szCs w:val="20"/>
          <w:lang w:val="en-US"/>
        </w:rPr>
        <w:t>em</w:t>
      </w:r>
      <w:proofErr w:type="spellEnd"/>
      <w:r w:rsidRPr="00DE71B4">
        <w:rPr>
          <w:color w:val="auto"/>
          <w:sz w:val="20"/>
          <w:szCs w:val="20"/>
          <w:lang w:val="en-US"/>
        </w:rPr>
        <w:t xml:space="preserve">: 10 </w:t>
      </w:r>
      <w:proofErr w:type="spellStart"/>
      <w:r w:rsidRPr="00DE71B4">
        <w:rPr>
          <w:color w:val="auto"/>
          <w:sz w:val="20"/>
          <w:szCs w:val="20"/>
          <w:lang w:val="en-US"/>
        </w:rPr>
        <w:t>maio</w:t>
      </w:r>
      <w:proofErr w:type="spellEnd"/>
      <w:r w:rsidRPr="00DE71B4">
        <w:rPr>
          <w:color w:val="auto"/>
          <w:sz w:val="20"/>
          <w:szCs w:val="20"/>
          <w:lang w:val="en-US"/>
        </w:rPr>
        <w:t xml:space="preserve"> 2020.</w:t>
      </w:r>
    </w:p>
  </w:footnote>
  <w:footnote w:id="9">
    <w:p w14:paraId="19973BF4" w14:textId="0A4C8203" w:rsidR="009E2F06" w:rsidRPr="00DE71B4" w:rsidRDefault="009E2F06" w:rsidP="00DE71B4">
      <w:pPr>
        <w:pBdr>
          <w:top w:val="nil"/>
          <w:left w:val="nil"/>
          <w:bottom w:val="nil"/>
          <w:right w:val="nil"/>
          <w:between w:val="nil"/>
        </w:pBdr>
        <w:spacing w:before="0" w:after="0" w:line="240" w:lineRule="auto"/>
        <w:rPr>
          <w:color w:val="auto"/>
          <w:sz w:val="20"/>
          <w:szCs w:val="20"/>
        </w:rPr>
      </w:pPr>
      <w:r w:rsidRPr="00DE71B4">
        <w:rPr>
          <w:color w:val="auto"/>
          <w:sz w:val="20"/>
          <w:szCs w:val="20"/>
          <w:vertAlign w:val="superscript"/>
        </w:rPr>
        <w:footnoteRef/>
      </w:r>
      <w:r w:rsidRPr="00DE71B4">
        <w:rPr>
          <w:color w:val="auto"/>
          <w:sz w:val="20"/>
          <w:szCs w:val="20"/>
          <w:lang w:val="en-US"/>
        </w:rPr>
        <w:t xml:space="preserve"> UNODC. </w:t>
      </w:r>
      <w:r w:rsidRPr="00DE71B4">
        <w:rPr>
          <w:i/>
          <w:color w:val="auto"/>
          <w:sz w:val="20"/>
          <w:szCs w:val="20"/>
          <w:lang w:val="en-US"/>
        </w:rPr>
        <w:t>Global Report on Trafficking in Persons in 2012</w:t>
      </w:r>
      <w:r w:rsidRPr="00DE71B4">
        <w:rPr>
          <w:color w:val="auto"/>
          <w:sz w:val="20"/>
          <w:szCs w:val="20"/>
          <w:lang w:val="en-US"/>
        </w:rPr>
        <w:t xml:space="preserve">. </w:t>
      </w:r>
      <w:r w:rsidRPr="00DE71B4">
        <w:rPr>
          <w:color w:val="auto"/>
          <w:sz w:val="20"/>
          <w:szCs w:val="20"/>
        </w:rPr>
        <w:t>Nova York: Publicação das Nações Unidas. 2012. Disponível em: &lt;</w:t>
      </w:r>
      <w:hyperlink r:id="rId7">
        <w:r w:rsidRPr="00DE71B4">
          <w:rPr>
            <w:color w:val="auto"/>
            <w:sz w:val="20"/>
            <w:szCs w:val="20"/>
            <w:u w:val="single"/>
          </w:rPr>
          <w:t>https://www.unodc.org/documents/data-and-analysis/glotip/Trafficking_in_Persons_2012_web.pdf</w:t>
        </w:r>
      </w:hyperlink>
      <w:r w:rsidRPr="00DE71B4">
        <w:rPr>
          <w:color w:val="auto"/>
          <w:sz w:val="20"/>
          <w:szCs w:val="20"/>
        </w:rPr>
        <w:t>&gt;. Acesso em: 9 maio 2020. </w:t>
      </w:r>
    </w:p>
  </w:footnote>
  <w:footnote w:id="10">
    <w:p w14:paraId="59E3CF96" w14:textId="1D34892E" w:rsidR="009E2F06" w:rsidRPr="00DE71B4" w:rsidRDefault="009E2F06" w:rsidP="00DE71B4">
      <w:pPr>
        <w:pBdr>
          <w:top w:val="nil"/>
          <w:left w:val="nil"/>
          <w:bottom w:val="nil"/>
          <w:right w:val="nil"/>
          <w:between w:val="nil"/>
        </w:pBdr>
        <w:spacing w:before="0" w:after="0" w:line="240" w:lineRule="auto"/>
        <w:rPr>
          <w:color w:val="auto"/>
          <w:sz w:val="20"/>
          <w:szCs w:val="20"/>
        </w:rPr>
      </w:pPr>
      <w:r w:rsidRPr="00DE71B4">
        <w:rPr>
          <w:color w:val="auto"/>
          <w:sz w:val="20"/>
          <w:szCs w:val="20"/>
          <w:vertAlign w:val="superscript"/>
        </w:rPr>
        <w:footnoteRef/>
      </w:r>
      <w:r w:rsidRPr="00DE71B4">
        <w:rPr>
          <w:color w:val="auto"/>
          <w:sz w:val="20"/>
          <w:szCs w:val="20"/>
        </w:rPr>
        <w:t xml:space="preserve"> UNODC. Relatório Global sobre o Tráfico de Pessoas 2018. Nova York: Publicação das Nações Unidas. 2018. Disponível em: &lt;</w:t>
      </w:r>
      <w:hyperlink r:id="rId8">
        <w:r w:rsidRPr="00DE71B4">
          <w:rPr>
            <w:color w:val="auto"/>
            <w:sz w:val="20"/>
            <w:szCs w:val="20"/>
            <w:u w:val="single"/>
          </w:rPr>
          <w:t>https://www.unodc.org/documents/lpo-brazil//Topics_TIP/Publicacoes/TiP_PT.pdf</w:t>
        </w:r>
      </w:hyperlink>
      <w:r w:rsidRPr="00DE71B4">
        <w:rPr>
          <w:color w:val="auto"/>
          <w:sz w:val="20"/>
          <w:szCs w:val="20"/>
        </w:rPr>
        <w:t>&gt;. Acesso em: 22 maio 2020. </w:t>
      </w:r>
    </w:p>
  </w:footnote>
  <w:footnote w:id="11">
    <w:p w14:paraId="139FA66E" w14:textId="3808BCE2" w:rsidR="009E2F06" w:rsidRPr="00DE71B4" w:rsidRDefault="009E2F06" w:rsidP="00DE71B4">
      <w:pPr>
        <w:pBdr>
          <w:top w:val="nil"/>
          <w:left w:val="nil"/>
          <w:bottom w:val="nil"/>
          <w:right w:val="nil"/>
          <w:between w:val="nil"/>
        </w:pBdr>
        <w:spacing w:before="0" w:after="0" w:line="240" w:lineRule="auto"/>
        <w:rPr>
          <w:color w:val="auto"/>
          <w:sz w:val="20"/>
          <w:szCs w:val="20"/>
          <w:lang w:val="en-US"/>
        </w:rPr>
      </w:pPr>
      <w:r w:rsidRPr="00DE71B4">
        <w:rPr>
          <w:color w:val="auto"/>
          <w:sz w:val="20"/>
          <w:szCs w:val="20"/>
          <w:vertAlign w:val="superscript"/>
        </w:rPr>
        <w:footnoteRef/>
      </w:r>
      <w:r w:rsidRPr="00DE71B4">
        <w:rPr>
          <w:color w:val="auto"/>
          <w:sz w:val="20"/>
          <w:szCs w:val="20"/>
        </w:rPr>
        <w:t xml:space="preserve"> UNODC. Relatório Global sobre o Tráfico de Pessoas 2018. Nova York: Publicação das Nações Unidas. 2018. Disponível em: &lt;</w:t>
      </w:r>
      <w:hyperlink r:id="rId9">
        <w:r w:rsidRPr="00DE71B4">
          <w:rPr>
            <w:color w:val="auto"/>
            <w:sz w:val="20"/>
            <w:szCs w:val="20"/>
            <w:u w:val="single"/>
          </w:rPr>
          <w:t>https://www.unodc.org/documents/lpo-brazil//Topics_TIP/Publicacoes/TiP_PT.pdf</w:t>
        </w:r>
      </w:hyperlink>
      <w:r w:rsidRPr="00DE71B4">
        <w:rPr>
          <w:color w:val="auto"/>
          <w:sz w:val="20"/>
          <w:szCs w:val="20"/>
        </w:rPr>
        <w:t xml:space="preserve">&gt;. </w:t>
      </w:r>
      <w:proofErr w:type="spellStart"/>
      <w:r w:rsidRPr="00DE71B4">
        <w:rPr>
          <w:color w:val="auto"/>
          <w:sz w:val="20"/>
          <w:szCs w:val="20"/>
          <w:lang w:val="en-US"/>
        </w:rPr>
        <w:t>Acesso</w:t>
      </w:r>
      <w:proofErr w:type="spellEnd"/>
      <w:r w:rsidRPr="00DE71B4">
        <w:rPr>
          <w:color w:val="auto"/>
          <w:sz w:val="20"/>
          <w:szCs w:val="20"/>
          <w:lang w:val="en-US"/>
        </w:rPr>
        <w:t xml:space="preserve"> </w:t>
      </w:r>
      <w:proofErr w:type="spellStart"/>
      <w:r w:rsidRPr="00DE71B4">
        <w:rPr>
          <w:color w:val="auto"/>
          <w:sz w:val="20"/>
          <w:szCs w:val="20"/>
          <w:lang w:val="en-US"/>
        </w:rPr>
        <w:t>em</w:t>
      </w:r>
      <w:proofErr w:type="spellEnd"/>
      <w:r w:rsidRPr="00DE71B4">
        <w:rPr>
          <w:color w:val="auto"/>
          <w:sz w:val="20"/>
          <w:szCs w:val="20"/>
          <w:lang w:val="en-US"/>
        </w:rPr>
        <w:t xml:space="preserve">: 22 </w:t>
      </w:r>
      <w:proofErr w:type="spellStart"/>
      <w:r w:rsidRPr="00DE71B4">
        <w:rPr>
          <w:color w:val="auto"/>
          <w:sz w:val="20"/>
          <w:szCs w:val="20"/>
          <w:lang w:val="en-US"/>
        </w:rPr>
        <w:t>maio</w:t>
      </w:r>
      <w:proofErr w:type="spellEnd"/>
      <w:r w:rsidRPr="00DE71B4">
        <w:rPr>
          <w:color w:val="auto"/>
          <w:sz w:val="20"/>
          <w:szCs w:val="20"/>
          <w:lang w:val="en-US"/>
        </w:rPr>
        <w:t xml:space="preserve"> 2020. </w:t>
      </w:r>
    </w:p>
  </w:footnote>
  <w:footnote w:id="12">
    <w:p w14:paraId="6EC083E1" w14:textId="1EFB31BC" w:rsidR="009E2F06" w:rsidRPr="00DE71B4" w:rsidRDefault="009E2F06" w:rsidP="00DE71B4">
      <w:pPr>
        <w:pBdr>
          <w:top w:val="nil"/>
          <w:left w:val="nil"/>
          <w:bottom w:val="nil"/>
          <w:right w:val="nil"/>
          <w:between w:val="nil"/>
        </w:pBdr>
        <w:spacing w:before="0" w:after="0" w:line="240" w:lineRule="auto"/>
        <w:rPr>
          <w:color w:val="auto"/>
          <w:sz w:val="20"/>
          <w:szCs w:val="20"/>
        </w:rPr>
      </w:pPr>
      <w:r w:rsidRPr="00DE71B4">
        <w:rPr>
          <w:color w:val="auto"/>
          <w:sz w:val="20"/>
          <w:szCs w:val="20"/>
          <w:vertAlign w:val="superscript"/>
        </w:rPr>
        <w:footnoteRef/>
      </w:r>
      <w:r w:rsidRPr="00DE71B4">
        <w:rPr>
          <w:color w:val="auto"/>
          <w:sz w:val="20"/>
          <w:szCs w:val="20"/>
          <w:lang w:val="en-US"/>
        </w:rPr>
        <w:t xml:space="preserve"> UNODC. </w:t>
      </w:r>
      <w:r w:rsidRPr="00DE71B4">
        <w:rPr>
          <w:i/>
          <w:color w:val="auto"/>
          <w:sz w:val="20"/>
          <w:szCs w:val="20"/>
          <w:lang w:val="en-US"/>
        </w:rPr>
        <w:t>Global Report on Trafficking in Persons in 2012</w:t>
      </w:r>
      <w:r w:rsidRPr="00DE71B4">
        <w:rPr>
          <w:color w:val="auto"/>
          <w:sz w:val="20"/>
          <w:szCs w:val="20"/>
          <w:lang w:val="en-US"/>
        </w:rPr>
        <w:t xml:space="preserve">. </w:t>
      </w:r>
      <w:r w:rsidRPr="00DE71B4">
        <w:rPr>
          <w:color w:val="auto"/>
          <w:sz w:val="20"/>
          <w:szCs w:val="20"/>
        </w:rPr>
        <w:t>Nova York: Publicação das Nações Unidas. 2012. Disponível em: &lt;</w:t>
      </w:r>
      <w:hyperlink r:id="rId10">
        <w:r w:rsidRPr="00DE71B4">
          <w:rPr>
            <w:color w:val="auto"/>
            <w:sz w:val="20"/>
            <w:szCs w:val="20"/>
            <w:u w:val="single"/>
          </w:rPr>
          <w:t>https://www.unodc.org/documents/data-and-analysis/glotip/Trafficking_in_Persons_2012_web.pdf</w:t>
        </w:r>
      </w:hyperlink>
      <w:r w:rsidRPr="00DE71B4">
        <w:rPr>
          <w:color w:val="auto"/>
          <w:sz w:val="20"/>
          <w:szCs w:val="20"/>
        </w:rPr>
        <w:t>&gt;. Acesso em: 9 maio 2020.  </w:t>
      </w:r>
    </w:p>
  </w:footnote>
  <w:footnote w:id="13">
    <w:p w14:paraId="6A90383C" w14:textId="77777777" w:rsidR="009E2F06" w:rsidRPr="00DE71B4" w:rsidRDefault="009E2F06" w:rsidP="00DE71B4">
      <w:pPr>
        <w:pBdr>
          <w:top w:val="nil"/>
          <w:left w:val="nil"/>
          <w:bottom w:val="nil"/>
          <w:right w:val="nil"/>
          <w:between w:val="nil"/>
        </w:pBdr>
        <w:spacing w:before="0" w:after="0" w:line="240" w:lineRule="auto"/>
        <w:rPr>
          <w:i/>
          <w:color w:val="auto"/>
          <w:sz w:val="20"/>
          <w:szCs w:val="20"/>
        </w:rPr>
      </w:pPr>
      <w:r w:rsidRPr="00DE71B4">
        <w:rPr>
          <w:color w:val="auto"/>
          <w:sz w:val="20"/>
          <w:szCs w:val="20"/>
          <w:vertAlign w:val="superscript"/>
        </w:rPr>
        <w:footnoteRef/>
      </w:r>
      <w:r w:rsidRPr="00DE71B4">
        <w:rPr>
          <w:color w:val="auto"/>
          <w:sz w:val="20"/>
          <w:szCs w:val="20"/>
        </w:rPr>
        <w:t xml:space="preserve"> SADC. </w:t>
      </w:r>
      <w:r w:rsidRPr="00DE71B4">
        <w:rPr>
          <w:i/>
          <w:color w:val="auto"/>
          <w:sz w:val="20"/>
          <w:szCs w:val="20"/>
        </w:rPr>
        <w:t>Tráfico de Pessoas na Região da SADC: Folheto Informativo sobre Políticas</w:t>
      </w:r>
      <w:r w:rsidRPr="00DE71B4">
        <w:rPr>
          <w:color w:val="auto"/>
          <w:sz w:val="20"/>
          <w:szCs w:val="20"/>
        </w:rPr>
        <w:t>, agosto de 2016, p. 1-10, 2016.</w:t>
      </w:r>
    </w:p>
  </w:footnote>
  <w:footnote w:id="14">
    <w:p w14:paraId="39CA4C69" w14:textId="0CB48896" w:rsidR="009E2F06" w:rsidRPr="00DE71B4" w:rsidRDefault="009E2F06" w:rsidP="00DE71B4">
      <w:pPr>
        <w:pBdr>
          <w:top w:val="nil"/>
          <w:left w:val="nil"/>
          <w:bottom w:val="nil"/>
          <w:right w:val="nil"/>
          <w:between w:val="nil"/>
        </w:pBdr>
        <w:spacing w:before="0" w:after="0" w:line="240" w:lineRule="auto"/>
        <w:rPr>
          <w:color w:val="auto"/>
          <w:sz w:val="20"/>
          <w:szCs w:val="20"/>
        </w:rPr>
      </w:pPr>
      <w:r w:rsidRPr="00DE71B4">
        <w:rPr>
          <w:color w:val="auto"/>
          <w:sz w:val="20"/>
          <w:szCs w:val="20"/>
          <w:vertAlign w:val="superscript"/>
        </w:rPr>
        <w:footnoteRef/>
      </w:r>
      <w:r w:rsidRPr="00DE71B4">
        <w:rPr>
          <w:color w:val="auto"/>
          <w:sz w:val="20"/>
          <w:szCs w:val="20"/>
        </w:rPr>
        <w:t xml:space="preserve"> A SADC existe desde 1980, após a sua fundação no dia 1 de abril deste ano, em Lusaka, Zâmbia. Desde essa data até 17 de agosto de 1992, quando foi transformada em SADC, foi conhecida por Conferência de Coordenação do Desenvolvimento da África Austral (SADCC). “A SAD</w:t>
      </w:r>
      <w:r w:rsidR="004E647C">
        <w:rPr>
          <w:color w:val="auto"/>
          <w:sz w:val="20"/>
          <w:szCs w:val="20"/>
        </w:rPr>
        <w:t>C foi criada ao abrigo do art.</w:t>
      </w:r>
      <w:r w:rsidRPr="00DE71B4">
        <w:rPr>
          <w:color w:val="auto"/>
          <w:sz w:val="20"/>
          <w:szCs w:val="20"/>
        </w:rPr>
        <w:t xml:space="preserve"> 2° do Tratado da SADC por Estados-Membros representados pelos respectivos Chefes de Estado e de Governo ou seus representantes devidamente autorizados para liderarem o processo de integração económica da África Austral” (SADC. </w:t>
      </w:r>
      <w:r w:rsidRPr="00DE71B4">
        <w:rPr>
          <w:i/>
          <w:color w:val="auto"/>
          <w:sz w:val="20"/>
          <w:szCs w:val="20"/>
        </w:rPr>
        <w:t>Manual institucional de Identidade Institucional da SADC</w:t>
      </w:r>
      <w:r w:rsidRPr="00DE71B4">
        <w:rPr>
          <w:color w:val="auto"/>
          <w:sz w:val="20"/>
          <w:szCs w:val="20"/>
        </w:rPr>
        <w:t>. Gaborone: Secretariado da SADC, 2017. p. 6), com objetivo de são alcançar, por via da integração regional, o desenvolvimento econômico, paz e segurança, aliviar a pobreza, melhorar o padrão e qualidade de vida dos povos da África Austral e apoiar os que são socialmente desfavorecidos. Tais objetivos, de acordo com o Tratado da SADC, devem ser alcançados através do aprofundamento da Integração Regional, baseado nos princípios democráticos e no desenvolvimento equitativo e sustentável.</w:t>
      </w:r>
    </w:p>
  </w:footnote>
  <w:footnote w:id="15">
    <w:p w14:paraId="29A93BDC" w14:textId="0014DB91" w:rsidR="009E2F06" w:rsidRPr="00DE71B4" w:rsidRDefault="009E2F06" w:rsidP="00DE71B4">
      <w:pPr>
        <w:pBdr>
          <w:top w:val="nil"/>
          <w:left w:val="nil"/>
          <w:bottom w:val="nil"/>
          <w:right w:val="nil"/>
          <w:between w:val="nil"/>
        </w:pBdr>
        <w:spacing w:before="0" w:after="0" w:line="240" w:lineRule="auto"/>
        <w:rPr>
          <w:color w:val="auto"/>
          <w:sz w:val="20"/>
          <w:szCs w:val="20"/>
        </w:rPr>
      </w:pPr>
      <w:r w:rsidRPr="00DE71B4">
        <w:rPr>
          <w:rStyle w:val="Refdenotaderodap"/>
          <w:sz w:val="20"/>
          <w:szCs w:val="20"/>
        </w:rPr>
        <w:footnoteRef/>
      </w:r>
      <w:r w:rsidRPr="00DE71B4">
        <w:rPr>
          <w:sz w:val="20"/>
          <w:szCs w:val="20"/>
        </w:rPr>
        <w:t xml:space="preserve"> </w:t>
      </w:r>
      <w:r w:rsidRPr="00DE71B4">
        <w:rPr>
          <w:color w:val="auto"/>
          <w:sz w:val="20"/>
          <w:szCs w:val="20"/>
        </w:rPr>
        <w:t xml:space="preserve">UNESCO. </w:t>
      </w:r>
      <w:r w:rsidRPr="00DE71B4">
        <w:rPr>
          <w:i/>
          <w:color w:val="auto"/>
          <w:sz w:val="20"/>
          <w:szCs w:val="20"/>
        </w:rPr>
        <w:t>Tráfico de Pessoas em Moçambique: Causas Principais e Recomendações.</w:t>
      </w:r>
      <w:r w:rsidRPr="00DE71B4">
        <w:rPr>
          <w:color w:val="auto"/>
          <w:sz w:val="20"/>
          <w:szCs w:val="20"/>
        </w:rPr>
        <w:t xml:space="preserve"> Police </w:t>
      </w:r>
      <w:proofErr w:type="spellStart"/>
      <w:r w:rsidRPr="00DE71B4">
        <w:rPr>
          <w:color w:val="auto"/>
          <w:sz w:val="20"/>
          <w:szCs w:val="20"/>
        </w:rPr>
        <w:t>Paper</w:t>
      </w:r>
      <w:proofErr w:type="spellEnd"/>
      <w:r w:rsidRPr="00DE71B4">
        <w:rPr>
          <w:color w:val="auto"/>
          <w:sz w:val="20"/>
          <w:szCs w:val="20"/>
        </w:rPr>
        <w:t xml:space="preserve"> nº14.1 (P), Série de relatórios sobre a Pobreza. Paris, 2006.</w:t>
      </w:r>
    </w:p>
  </w:footnote>
  <w:footnote w:id="16">
    <w:p w14:paraId="1DFB20DF" w14:textId="77777777" w:rsidR="009E2F06" w:rsidRPr="00DE71B4" w:rsidRDefault="009E2F06" w:rsidP="00DE71B4">
      <w:pPr>
        <w:pBdr>
          <w:top w:val="nil"/>
          <w:left w:val="nil"/>
          <w:bottom w:val="nil"/>
          <w:right w:val="nil"/>
          <w:between w:val="nil"/>
        </w:pBdr>
        <w:spacing w:before="0" w:after="0" w:line="240" w:lineRule="auto"/>
        <w:rPr>
          <w:color w:val="auto"/>
          <w:sz w:val="20"/>
          <w:szCs w:val="20"/>
        </w:rPr>
      </w:pPr>
      <w:r w:rsidRPr="00DE71B4">
        <w:rPr>
          <w:color w:val="auto"/>
          <w:sz w:val="20"/>
          <w:szCs w:val="20"/>
          <w:vertAlign w:val="superscript"/>
        </w:rPr>
        <w:footnoteRef/>
      </w:r>
      <w:r w:rsidRPr="00DE71B4">
        <w:rPr>
          <w:color w:val="auto"/>
          <w:sz w:val="20"/>
          <w:szCs w:val="20"/>
        </w:rPr>
        <w:t xml:space="preserve"> UNESCO. </w:t>
      </w:r>
      <w:r w:rsidRPr="00DE71B4">
        <w:rPr>
          <w:i/>
          <w:color w:val="auto"/>
          <w:sz w:val="20"/>
          <w:szCs w:val="20"/>
        </w:rPr>
        <w:t>Tráfico de Pessoas em Moçambique: Causas Principais e Recomendações.</w:t>
      </w:r>
      <w:r w:rsidRPr="00DE71B4">
        <w:rPr>
          <w:color w:val="auto"/>
          <w:sz w:val="20"/>
          <w:szCs w:val="20"/>
        </w:rPr>
        <w:t xml:space="preserve"> Police </w:t>
      </w:r>
      <w:proofErr w:type="spellStart"/>
      <w:r w:rsidRPr="00DE71B4">
        <w:rPr>
          <w:color w:val="auto"/>
          <w:sz w:val="20"/>
          <w:szCs w:val="20"/>
        </w:rPr>
        <w:t>Paper</w:t>
      </w:r>
      <w:proofErr w:type="spellEnd"/>
      <w:r w:rsidRPr="00DE71B4">
        <w:rPr>
          <w:color w:val="auto"/>
          <w:sz w:val="20"/>
          <w:szCs w:val="20"/>
        </w:rPr>
        <w:t xml:space="preserve"> nº14.1 (P), Série de relatórios sobre a Pobreza. Paris, 2006. p. 10.</w:t>
      </w:r>
    </w:p>
  </w:footnote>
  <w:footnote w:id="17">
    <w:p w14:paraId="4628CFA5" w14:textId="77777777" w:rsidR="009E2F06" w:rsidRPr="00DE71B4" w:rsidRDefault="009E2F06" w:rsidP="00DE71B4">
      <w:pPr>
        <w:pBdr>
          <w:top w:val="nil"/>
          <w:left w:val="nil"/>
          <w:bottom w:val="nil"/>
          <w:right w:val="nil"/>
          <w:between w:val="nil"/>
        </w:pBdr>
        <w:spacing w:before="0" w:after="0" w:line="240" w:lineRule="auto"/>
        <w:rPr>
          <w:color w:val="auto"/>
          <w:sz w:val="20"/>
          <w:szCs w:val="20"/>
        </w:rPr>
      </w:pPr>
      <w:r w:rsidRPr="00DE71B4">
        <w:rPr>
          <w:color w:val="auto"/>
          <w:sz w:val="20"/>
          <w:szCs w:val="20"/>
          <w:vertAlign w:val="superscript"/>
        </w:rPr>
        <w:footnoteRef/>
      </w:r>
      <w:r w:rsidRPr="00DE71B4">
        <w:rPr>
          <w:color w:val="auto"/>
          <w:sz w:val="20"/>
          <w:szCs w:val="20"/>
        </w:rPr>
        <w:t xml:space="preserve"> MAGODE, Joaquim; JOSÉ, Patrício.; CONGOLO, Frederico.; CADEADO, </w:t>
      </w:r>
      <w:proofErr w:type="spellStart"/>
      <w:r w:rsidRPr="00DE71B4">
        <w:rPr>
          <w:color w:val="auto"/>
          <w:sz w:val="20"/>
          <w:szCs w:val="20"/>
        </w:rPr>
        <w:t>Calton</w:t>
      </w:r>
      <w:proofErr w:type="spellEnd"/>
      <w:r w:rsidRPr="00DE71B4">
        <w:rPr>
          <w:color w:val="auto"/>
          <w:sz w:val="20"/>
          <w:szCs w:val="20"/>
        </w:rPr>
        <w:t xml:space="preserve">.; PATRÍCIO, António.; LINDY, Rafael. </w:t>
      </w:r>
      <w:r w:rsidRPr="00DE71B4">
        <w:rPr>
          <w:i/>
          <w:color w:val="auto"/>
          <w:sz w:val="20"/>
          <w:szCs w:val="20"/>
        </w:rPr>
        <w:t xml:space="preserve">Tráfico de Pessoas em Moçambique, em particular de crianças. </w:t>
      </w:r>
      <w:r w:rsidRPr="00DE71B4">
        <w:rPr>
          <w:color w:val="auto"/>
          <w:sz w:val="20"/>
          <w:szCs w:val="20"/>
        </w:rPr>
        <w:t>Moçambique: Procuradoria Geral da República, 2014. p. 2.</w:t>
      </w:r>
    </w:p>
  </w:footnote>
  <w:footnote w:id="18">
    <w:p w14:paraId="26B2D578" w14:textId="7251A2E8" w:rsidR="009E2F06" w:rsidRPr="00DE71B4" w:rsidRDefault="009E2F06" w:rsidP="00DE71B4">
      <w:pPr>
        <w:pBdr>
          <w:top w:val="nil"/>
          <w:left w:val="nil"/>
          <w:bottom w:val="nil"/>
          <w:right w:val="nil"/>
          <w:between w:val="nil"/>
        </w:pBdr>
        <w:spacing w:before="0" w:after="0" w:line="240" w:lineRule="auto"/>
        <w:rPr>
          <w:color w:val="auto"/>
          <w:sz w:val="20"/>
          <w:szCs w:val="20"/>
        </w:rPr>
      </w:pPr>
      <w:r w:rsidRPr="00DE71B4">
        <w:rPr>
          <w:color w:val="auto"/>
          <w:sz w:val="20"/>
          <w:szCs w:val="20"/>
          <w:vertAlign w:val="superscript"/>
        </w:rPr>
        <w:footnoteRef/>
      </w:r>
      <w:r w:rsidRPr="00DE71B4">
        <w:rPr>
          <w:color w:val="auto"/>
          <w:sz w:val="20"/>
          <w:szCs w:val="20"/>
        </w:rPr>
        <w:t xml:space="preserve"> UNESCO. </w:t>
      </w:r>
      <w:r w:rsidRPr="00DE71B4">
        <w:rPr>
          <w:i/>
          <w:color w:val="auto"/>
          <w:sz w:val="20"/>
          <w:szCs w:val="20"/>
        </w:rPr>
        <w:t>Tráfico de Pessoas em Moçambique: Causas Principais e Recomendações.</w:t>
      </w:r>
      <w:r w:rsidRPr="00DE71B4">
        <w:rPr>
          <w:color w:val="auto"/>
          <w:sz w:val="20"/>
          <w:szCs w:val="20"/>
        </w:rPr>
        <w:t xml:space="preserve"> Police </w:t>
      </w:r>
      <w:proofErr w:type="spellStart"/>
      <w:r w:rsidRPr="00DE71B4">
        <w:rPr>
          <w:color w:val="auto"/>
          <w:sz w:val="20"/>
          <w:szCs w:val="20"/>
        </w:rPr>
        <w:t>Paper</w:t>
      </w:r>
      <w:proofErr w:type="spellEnd"/>
      <w:r w:rsidRPr="00DE71B4">
        <w:rPr>
          <w:color w:val="auto"/>
          <w:sz w:val="20"/>
          <w:szCs w:val="20"/>
        </w:rPr>
        <w:t xml:space="preserve"> n. 14.1 (P), Série de relatórios sobre a Pobreza. Paris, 2006. p. 10.</w:t>
      </w:r>
    </w:p>
  </w:footnote>
  <w:footnote w:id="19">
    <w:p w14:paraId="35B41EFB" w14:textId="77777777" w:rsidR="009E2F06" w:rsidRPr="00DE71B4" w:rsidRDefault="009E2F06" w:rsidP="00DE71B4">
      <w:pPr>
        <w:pBdr>
          <w:top w:val="nil"/>
          <w:left w:val="nil"/>
          <w:bottom w:val="nil"/>
          <w:right w:val="nil"/>
          <w:between w:val="nil"/>
        </w:pBdr>
        <w:spacing w:before="0" w:after="0" w:line="240" w:lineRule="auto"/>
        <w:rPr>
          <w:color w:val="auto"/>
          <w:sz w:val="20"/>
          <w:szCs w:val="20"/>
        </w:rPr>
      </w:pPr>
      <w:r w:rsidRPr="00DE71B4">
        <w:rPr>
          <w:color w:val="auto"/>
          <w:sz w:val="20"/>
          <w:szCs w:val="20"/>
          <w:vertAlign w:val="superscript"/>
        </w:rPr>
        <w:footnoteRef/>
      </w:r>
      <w:r w:rsidRPr="00DE71B4">
        <w:rPr>
          <w:color w:val="auto"/>
          <w:sz w:val="20"/>
          <w:szCs w:val="20"/>
        </w:rPr>
        <w:t xml:space="preserve"> FDC. </w:t>
      </w:r>
      <w:r w:rsidRPr="00DE71B4">
        <w:rPr>
          <w:i/>
          <w:color w:val="auto"/>
          <w:sz w:val="20"/>
          <w:szCs w:val="20"/>
        </w:rPr>
        <w:t>Violência contra Menores em Moçambique</w:t>
      </w:r>
      <w:r w:rsidRPr="00DE71B4">
        <w:rPr>
          <w:color w:val="auto"/>
          <w:sz w:val="20"/>
          <w:szCs w:val="20"/>
        </w:rPr>
        <w:t>. Revisão da Literatura. Maputo: Editora KULA Estudos e Pesquisa Aplicada, Ltda, 2008. p. 23.</w:t>
      </w:r>
    </w:p>
  </w:footnote>
  <w:footnote w:id="20">
    <w:p w14:paraId="5A155A79" w14:textId="77777777" w:rsidR="009E2F06" w:rsidRPr="00DE71B4" w:rsidRDefault="009E2F06" w:rsidP="00DE71B4">
      <w:pPr>
        <w:pBdr>
          <w:top w:val="nil"/>
          <w:left w:val="nil"/>
          <w:bottom w:val="nil"/>
          <w:right w:val="nil"/>
          <w:between w:val="nil"/>
        </w:pBdr>
        <w:spacing w:before="0" w:after="0" w:line="240" w:lineRule="auto"/>
        <w:rPr>
          <w:color w:val="auto"/>
          <w:sz w:val="20"/>
          <w:szCs w:val="20"/>
        </w:rPr>
      </w:pPr>
      <w:r w:rsidRPr="00DE71B4">
        <w:rPr>
          <w:color w:val="auto"/>
          <w:sz w:val="20"/>
          <w:szCs w:val="20"/>
          <w:vertAlign w:val="superscript"/>
        </w:rPr>
        <w:footnoteRef/>
      </w:r>
      <w:r w:rsidRPr="00DE71B4">
        <w:rPr>
          <w:color w:val="auto"/>
          <w:sz w:val="20"/>
          <w:szCs w:val="20"/>
        </w:rPr>
        <w:t xml:space="preserve"> FDC. </w:t>
      </w:r>
      <w:r w:rsidRPr="00DE71B4">
        <w:rPr>
          <w:i/>
          <w:color w:val="auto"/>
          <w:sz w:val="20"/>
          <w:szCs w:val="20"/>
        </w:rPr>
        <w:t>Violência contra Menores em Moçambique</w:t>
      </w:r>
      <w:r w:rsidRPr="00DE71B4">
        <w:rPr>
          <w:color w:val="auto"/>
          <w:sz w:val="20"/>
          <w:szCs w:val="20"/>
        </w:rPr>
        <w:t>. Revisão da Literatura. Maputo: Editora KULA Estudos e Pesquisa Aplicada, Ltda, 2008.</w:t>
      </w:r>
    </w:p>
  </w:footnote>
  <w:footnote w:id="21">
    <w:p w14:paraId="003CC541" w14:textId="0CDBC146" w:rsidR="009E2F06" w:rsidRPr="00DE71B4" w:rsidRDefault="009E2F06" w:rsidP="00DE71B4">
      <w:pPr>
        <w:pBdr>
          <w:top w:val="nil"/>
          <w:left w:val="nil"/>
          <w:bottom w:val="nil"/>
          <w:right w:val="nil"/>
          <w:between w:val="nil"/>
        </w:pBdr>
        <w:spacing w:before="0" w:after="0" w:line="240" w:lineRule="auto"/>
        <w:rPr>
          <w:color w:val="auto"/>
          <w:sz w:val="20"/>
          <w:szCs w:val="20"/>
        </w:rPr>
      </w:pPr>
      <w:r w:rsidRPr="00DE71B4">
        <w:rPr>
          <w:color w:val="auto"/>
          <w:sz w:val="20"/>
          <w:szCs w:val="20"/>
          <w:vertAlign w:val="superscript"/>
        </w:rPr>
        <w:footnoteRef/>
      </w:r>
      <w:r w:rsidRPr="00DE71B4">
        <w:rPr>
          <w:color w:val="auto"/>
          <w:sz w:val="20"/>
          <w:szCs w:val="20"/>
        </w:rPr>
        <w:t xml:space="preserve"> UNICEF. </w:t>
      </w:r>
      <w:r w:rsidRPr="00DE71B4">
        <w:rPr>
          <w:i/>
          <w:color w:val="auto"/>
          <w:sz w:val="20"/>
          <w:szCs w:val="20"/>
        </w:rPr>
        <w:t>Proteção da criança: Manual para Parlamentares n. 7</w:t>
      </w:r>
      <w:r w:rsidRPr="00DE71B4">
        <w:rPr>
          <w:color w:val="auto"/>
          <w:sz w:val="20"/>
          <w:szCs w:val="20"/>
        </w:rPr>
        <w:t>. Suíça: União Inter parlamentar, 2004.</w:t>
      </w:r>
    </w:p>
  </w:footnote>
  <w:footnote w:id="22">
    <w:p w14:paraId="3667F44E" w14:textId="77777777" w:rsidR="009E2F06" w:rsidRPr="00DE71B4" w:rsidRDefault="009E2F06" w:rsidP="00DE71B4">
      <w:pPr>
        <w:pBdr>
          <w:top w:val="nil"/>
          <w:left w:val="nil"/>
          <w:bottom w:val="nil"/>
          <w:right w:val="nil"/>
          <w:between w:val="nil"/>
        </w:pBdr>
        <w:spacing w:before="0" w:after="0" w:line="240" w:lineRule="auto"/>
        <w:rPr>
          <w:color w:val="auto"/>
          <w:sz w:val="20"/>
          <w:szCs w:val="20"/>
        </w:rPr>
      </w:pPr>
      <w:r w:rsidRPr="00DE71B4">
        <w:rPr>
          <w:color w:val="auto"/>
          <w:sz w:val="20"/>
          <w:szCs w:val="20"/>
          <w:vertAlign w:val="superscript"/>
        </w:rPr>
        <w:footnoteRef/>
      </w:r>
      <w:r w:rsidRPr="00DE71B4">
        <w:rPr>
          <w:color w:val="auto"/>
          <w:sz w:val="20"/>
          <w:szCs w:val="20"/>
        </w:rPr>
        <w:t xml:space="preserve"> MARIANO, Esmeralda; BRAGA, Carla; MOREIRA, Andrea. </w:t>
      </w:r>
      <w:r w:rsidRPr="00DE71B4">
        <w:rPr>
          <w:i/>
          <w:color w:val="auto"/>
          <w:sz w:val="20"/>
          <w:szCs w:val="20"/>
        </w:rPr>
        <w:t>Estudo sobre o Tráfico de órgãos e partes de corpo humano na Região Sul de Moçambique</w:t>
      </w:r>
      <w:r w:rsidRPr="00DE71B4">
        <w:rPr>
          <w:color w:val="auto"/>
          <w:sz w:val="20"/>
          <w:szCs w:val="20"/>
        </w:rPr>
        <w:t>. Maputo: CEMIRDE, 2016. p. 41.</w:t>
      </w:r>
    </w:p>
  </w:footnote>
  <w:footnote w:id="23">
    <w:p w14:paraId="4D1415D3" w14:textId="77777777" w:rsidR="009E2F06" w:rsidRPr="00DE71B4" w:rsidRDefault="009E2F06" w:rsidP="00DE71B4">
      <w:pPr>
        <w:pBdr>
          <w:top w:val="nil"/>
          <w:left w:val="nil"/>
          <w:bottom w:val="nil"/>
          <w:right w:val="nil"/>
          <w:between w:val="nil"/>
        </w:pBdr>
        <w:spacing w:before="0" w:after="0" w:line="240" w:lineRule="auto"/>
        <w:rPr>
          <w:color w:val="auto"/>
          <w:sz w:val="20"/>
          <w:szCs w:val="20"/>
        </w:rPr>
      </w:pPr>
      <w:r w:rsidRPr="00DE71B4">
        <w:rPr>
          <w:color w:val="auto"/>
          <w:sz w:val="20"/>
          <w:szCs w:val="20"/>
          <w:vertAlign w:val="superscript"/>
        </w:rPr>
        <w:footnoteRef/>
      </w:r>
      <w:r w:rsidRPr="00DE71B4">
        <w:rPr>
          <w:color w:val="auto"/>
          <w:sz w:val="20"/>
          <w:szCs w:val="20"/>
        </w:rPr>
        <w:t xml:space="preserve"> MOREIRA, Andrea; MARIANO, Esmeralda. </w:t>
      </w:r>
      <w:r w:rsidRPr="00DE71B4">
        <w:rPr>
          <w:i/>
          <w:color w:val="auto"/>
          <w:sz w:val="20"/>
          <w:szCs w:val="20"/>
        </w:rPr>
        <w:t>Estudo sobre o Tráfico de Pessoas, órgãos e artes de corpo humano no Norte de Moçambique</w:t>
      </w:r>
      <w:r w:rsidRPr="00DE71B4">
        <w:rPr>
          <w:color w:val="auto"/>
          <w:sz w:val="20"/>
          <w:szCs w:val="20"/>
        </w:rPr>
        <w:t>. Maputo: CEMIRDE, 2018. p. 68.</w:t>
      </w:r>
    </w:p>
  </w:footnote>
  <w:footnote w:id="24">
    <w:p w14:paraId="16961E71" w14:textId="77777777" w:rsidR="009E2F06" w:rsidRPr="00DE71B4" w:rsidRDefault="009E2F06" w:rsidP="00DE71B4">
      <w:pPr>
        <w:pBdr>
          <w:top w:val="nil"/>
          <w:left w:val="nil"/>
          <w:bottom w:val="nil"/>
          <w:right w:val="nil"/>
          <w:between w:val="nil"/>
        </w:pBdr>
        <w:spacing w:before="0" w:after="0" w:line="240" w:lineRule="auto"/>
        <w:rPr>
          <w:color w:val="auto"/>
          <w:sz w:val="20"/>
          <w:szCs w:val="20"/>
        </w:rPr>
      </w:pPr>
      <w:r w:rsidRPr="00DE71B4">
        <w:rPr>
          <w:color w:val="auto"/>
          <w:sz w:val="20"/>
          <w:szCs w:val="20"/>
          <w:vertAlign w:val="superscript"/>
        </w:rPr>
        <w:footnoteRef/>
      </w:r>
      <w:r w:rsidRPr="00DE71B4">
        <w:rPr>
          <w:color w:val="auto"/>
          <w:sz w:val="20"/>
          <w:szCs w:val="20"/>
        </w:rPr>
        <w:t xml:space="preserve"> De acordo com uma publicação da Organização Não Governamental KANIMAMBO, que aborda sobre o enquadramento da situação do albinismo em Moçambique, o albinismo é uma anomalia genética caracterizada por insuficiência de melanina, substância responsável pela coloração da pele, cabelos e olhos. (KANIMAMBO. Breve enquadramento da situação </w:t>
      </w:r>
      <w:proofErr w:type="spellStart"/>
      <w:r w:rsidRPr="00DE71B4">
        <w:rPr>
          <w:color w:val="auto"/>
          <w:sz w:val="20"/>
          <w:szCs w:val="20"/>
        </w:rPr>
        <w:t>actual</w:t>
      </w:r>
      <w:proofErr w:type="spellEnd"/>
      <w:r w:rsidRPr="00DE71B4">
        <w:rPr>
          <w:color w:val="auto"/>
          <w:sz w:val="20"/>
          <w:szCs w:val="20"/>
        </w:rPr>
        <w:t xml:space="preserve"> em Moçambique. 2020. </w:t>
      </w:r>
      <w:proofErr w:type="spellStart"/>
      <w:r w:rsidRPr="00DE71B4">
        <w:rPr>
          <w:color w:val="auto"/>
          <w:sz w:val="20"/>
          <w:szCs w:val="20"/>
        </w:rPr>
        <w:t>Disponivel</w:t>
      </w:r>
      <w:proofErr w:type="spellEnd"/>
      <w:r w:rsidRPr="00DE71B4">
        <w:rPr>
          <w:color w:val="auto"/>
          <w:sz w:val="20"/>
          <w:szCs w:val="20"/>
        </w:rPr>
        <w:t xml:space="preserve"> em:</w:t>
      </w:r>
      <w:hyperlink r:id="rId11">
        <w:r w:rsidRPr="00DE71B4">
          <w:rPr>
            <w:color w:val="auto"/>
            <w:sz w:val="20"/>
            <w:szCs w:val="20"/>
          </w:rPr>
          <w:t xml:space="preserve"> &lt;</w:t>
        </w:r>
      </w:hyperlink>
      <w:hyperlink r:id="rId12">
        <w:r w:rsidRPr="00DE71B4">
          <w:rPr>
            <w:color w:val="auto"/>
            <w:sz w:val="20"/>
            <w:szCs w:val="20"/>
            <w:u w:val="single"/>
          </w:rPr>
          <w:t>https://www.uccla.pt/sites/default/files/mk_doc_enquadramento_18set_2.pdf</w:t>
        </w:r>
      </w:hyperlink>
      <w:r w:rsidRPr="00DE71B4">
        <w:rPr>
          <w:color w:val="auto"/>
          <w:sz w:val="20"/>
          <w:szCs w:val="20"/>
        </w:rPr>
        <w:t>&gt;. Acesso em: 25 jun. 2020).</w:t>
      </w:r>
    </w:p>
  </w:footnote>
  <w:footnote w:id="25">
    <w:p w14:paraId="181A7FEA" w14:textId="39ADE6B8" w:rsidR="009E2F06" w:rsidRPr="00DE71B4" w:rsidRDefault="009E2F06" w:rsidP="00DE71B4">
      <w:pPr>
        <w:pBdr>
          <w:top w:val="nil"/>
          <w:left w:val="nil"/>
          <w:bottom w:val="nil"/>
          <w:right w:val="nil"/>
          <w:between w:val="nil"/>
        </w:pBdr>
        <w:spacing w:before="0" w:after="0" w:line="240" w:lineRule="auto"/>
        <w:rPr>
          <w:color w:val="auto"/>
          <w:sz w:val="20"/>
          <w:szCs w:val="20"/>
        </w:rPr>
      </w:pPr>
      <w:r w:rsidRPr="00DE71B4">
        <w:rPr>
          <w:color w:val="auto"/>
          <w:sz w:val="20"/>
          <w:szCs w:val="20"/>
          <w:vertAlign w:val="superscript"/>
        </w:rPr>
        <w:footnoteRef/>
      </w:r>
      <w:r w:rsidRPr="00DE71B4">
        <w:rPr>
          <w:color w:val="auto"/>
          <w:sz w:val="20"/>
          <w:szCs w:val="20"/>
        </w:rPr>
        <w:t xml:space="preserve"> MAGODE, Joaquim; JOSÉ, Patrício; CONGOLO, Frederico; CADEADO, </w:t>
      </w:r>
      <w:proofErr w:type="spellStart"/>
      <w:r w:rsidRPr="00DE71B4">
        <w:rPr>
          <w:color w:val="auto"/>
          <w:sz w:val="20"/>
          <w:szCs w:val="20"/>
        </w:rPr>
        <w:t>Calton</w:t>
      </w:r>
      <w:proofErr w:type="spellEnd"/>
      <w:r w:rsidRPr="00DE71B4">
        <w:rPr>
          <w:color w:val="auto"/>
          <w:sz w:val="20"/>
          <w:szCs w:val="20"/>
        </w:rPr>
        <w:t xml:space="preserve">; PATRÍCIO, António; LINDY, Rafael. </w:t>
      </w:r>
      <w:r w:rsidRPr="00DE71B4">
        <w:rPr>
          <w:i/>
          <w:color w:val="auto"/>
          <w:sz w:val="20"/>
          <w:szCs w:val="20"/>
        </w:rPr>
        <w:t xml:space="preserve">Tráfico de Pessoas em Moçambique, em particular de crianças. </w:t>
      </w:r>
      <w:r w:rsidRPr="00DE71B4">
        <w:rPr>
          <w:color w:val="auto"/>
          <w:sz w:val="20"/>
          <w:szCs w:val="20"/>
        </w:rPr>
        <w:t>Moçambique: Procuradoria Geral da República, 2014. p. 14.</w:t>
      </w:r>
    </w:p>
  </w:footnote>
  <w:footnote w:id="26">
    <w:p w14:paraId="4BA9E396" w14:textId="01F1CED7" w:rsidR="009E2F06" w:rsidRPr="00DE71B4" w:rsidRDefault="009E2F06" w:rsidP="00DE71B4">
      <w:pPr>
        <w:pBdr>
          <w:top w:val="nil"/>
          <w:left w:val="nil"/>
          <w:bottom w:val="nil"/>
          <w:right w:val="nil"/>
          <w:between w:val="nil"/>
        </w:pBdr>
        <w:spacing w:before="0" w:after="0" w:line="240" w:lineRule="auto"/>
        <w:rPr>
          <w:color w:val="auto"/>
          <w:sz w:val="20"/>
          <w:szCs w:val="20"/>
        </w:rPr>
      </w:pPr>
      <w:r w:rsidRPr="00DE71B4">
        <w:rPr>
          <w:color w:val="auto"/>
          <w:sz w:val="20"/>
          <w:szCs w:val="20"/>
          <w:vertAlign w:val="superscript"/>
        </w:rPr>
        <w:footnoteRef/>
      </w:r>
      <w:r w:rsidRPr="00DE71B4">
        <w:rPr>
          <w:color w:val="auto"/>
          <w:sz w:val="20"/>
          <w:szCs w:val="20"/>
        </w:rPr>
        <w:t xml:space="preserve"> UNESCO. </w:t>
      </w:r>
      <w:r w:rsidRPr="00DE71B4">
        <w:rPr>
          <w:i/>
          <w:color w:val="auto"/>
          <w:sz w:val="20"/>
          <w:szCs w:val="20"/>
        </w:rPr>
        <w:t>Tráfico de Pessoas em Moçambique: Causas Principais e Recomendações.</w:t>
      </w:r>
      <w:r w:rsidRPr="00DE71B4">
        <w:rPr>
          <w:color w:val="auto"/>
          <w:sz w:val="20"/>
          <w:szCs w:val="20"/>
        </w:rPr>
        <w:t xml:space="preserve"> Police </w:t>
      </w:r>
      <w:proofErr w:type="spellStart"/>
      <w:r w:rsidRPr="00DE71B4">
        <w:rPr>
          <w:color w:val="auto"/>
          <w:sz w:val="20"/>
          <w:szCs w:val="20"/>
        </w:rPr>
        <w:t>Paper</w:t>
      </w:r>
      <w:proofErr w:type="spellEnd"/>
      <w:r w:rsidRPr="00DE71B4">
        <w:rPr>
          <w:color w:val="auto"/>
          <w:sz w:val="20"/>
          <w:szCs w:val="20"/>
        </w:rPr>
        <w:t xml:space="preserve"> n. 14.1 (P), Série de relatórios sobre a Pobreza. Paris, 2006.</w:t>
      </w:r>
    </w:p>
  </w:footnote>
  <w:footnote w:id="27">
    <w:p w14:paraId="4F8CD871" w14:textId="07909652" w:rsidR="009E2F06" w:rsidRPr="00DE71B4" w:rsidRDefault="009E2F06" w:rsidP="00DE71B4">
      <w:pPr>
        <w:pBdr>
          <w:top w:val="nil"/>
          <w:left w:val="nil"/>
          <w:bottom w:val="nil"/>
          <w:right w:val="nil"/>
          <w:between w:val="nil"/>
        </w:pBdr>
        <w:spacing w:before="0" w:after="0" w:line="240" w:lineRule="auto"/>
        <w:rPr>
          <w:color w:val="auto"/>
          <w:sz w:val="20"/>
          <w:szCs w:val="20"/>
        </w:rPr>
      </w:pPr>
      <w:r w:rsidRPr="00DE71B4">
        <w:rPr>
          <w:color w:val="auto"/>
          <w:sz w:val="20"/>
          <w:szCs w:val="20"/>
          <w:vertAlign w:val="superscript"/>
        </w:rPr>
        <w:footnoteRef/>
      </w:r>
      <w:r w:rsidRPr="00DE71B4">
        <w:rPr>
          <w:color w:val="auto"/>
          <w:sz w:val="20"/>
          <w:szCs w:val="20"/>
        </w:rPr>
        <w:t xml:space="preserve"> A Declaração Universal dos Direitos Humanos (DUDH) </w:t>
      </w:r>
      <w:r w:rsidRPr="00DE71B4">
        <w:rPr>
          <w:color w:val="auto"/>
          <w:sz w:val="20"/>
          <w:szCs w:val="20"/>
          <w:highlight w:val="white"/>
        </w:rPr>
        <w:t xml:space="preserve">é um documento marco na história dos direitos humanos. A Declaração foi aprovada pela Assembleia Geral das Nações Unidas em Paris, em </w:t>
      </w:r>
      <w:r w:rsidRPr="00DE71B4">
        <w:rPr>
          <w:color w:val="auto"/>
          <w:sz w:val="20"/>
          <w:szCs w:val="20"/>
        </w:rPr>
        <w:t>10 de dezembro de 1948, por meio da Resolução 217 A (III) da Assembleia Geral das Nações Unidas como uma norma comum a ser alcançada por todos os povos e nações</w:t>
      </w:r>
      <w:r w:rsidRPr="00DE71B4">
        <w:rPr>
          <w:rStyle w:val="Forte"/>
          <w:color w:val="auto"/>
          <w:sz w:val="20"/>
          <w:szCs w:val="20"/>
          <w:bdr w:val="none" w:sz="0" w:space="0" w:color="auto" w:frame="1"/>
          <w:shd w:val="clear" w:color="auto" w:fill="FFFFFF"/>
        </w:rPr>
        <w:t>.</w:t>
      </w:r>
      <w:r w:rsidRPr="00DE71B4">
        <w:rPr>
          <w:color w:val="auto"/>
          <w:sz w:val="20"/>
          <w:szCs w:val="20"/>
          <w:shd w:val="clear" w:color="auto" w:fill="FFFFFF"/>
        </w:rPr>
        <w:t> Ao todo, das 58 delegações que votaram, </w:t>
      </w:r>
      <w:r w:rsidRPr="00DE71B4">
        <w:rPr>
          <w:rStyle w:val="Forte"/>
          <w:b w:val="0"/>
          <w:color w:val="auto"/>
          <w:sz w:val="20"/>
          <w:szCs w:val="20"/>
          <w:bdr w:val="none" w:sz="0" w:space="0" w:color="auto" w:frame="1"/>
          <w:shd w:val="clear" w:color="auto" w:fill="FFFFFF"/>
        </w:rPr>
        <w:t>48 votaram a favor</w:t>
      </w:r>
      <w:r w:rsidRPr="00DE71B4">
        <w:rPr>
          <w:color w:val="auto"/>
          <w:sz w:val="20"/>
          <w:szCs w:val="20"/>
          <w:shd w:val="clear" w:color="auto" w:fill="FFFFFF"/>
        </w:rPr>
        <w:t xml:space="preserve">, 8 abstiveram-se de votar e 2 delegações não votaram. </w:t>
      </w:r>
      <w:r w:rsidRPr="00DE71B4">
        <w:rPr>
          <w:color w:val="auto"/>
          <w:sz w:val="20"/>
          <w:szCs w:val="20"/>
        </w:rPr>
        <w:t xml:space="preserve">Trata-se de um instrumento que estabelece, pela primeira vez, a proteção universal dos direitos humanos (NAÇÕES UNIDAS BRASIL. </w:t>
      </w:r>
      <w:r w:rsidRPr="00DE71B4">
        <w:rPr>
          <w:i/>
          <w:color w:val="auto"/>
          <w:sz w:val="20"/>
          <w:szCs w:val="20"/>
        </w:rPr>
        <w:t>A Declaração Universal dos Direitos Humanos de 1948</w:t>
      </w:r>
      <w:r w:rsidRPr="00DE71B4">
        <w:rPr>
          <w:color w:val="auto"/>
          <w:sz w:val="20"/>
          <w:szCs w:val="20"/>
        </w:rPr>
        <w:t xml:space="preserve">. 2020. Disponível em: &lt; </w:t>
      </w:r>
      <w:hyperlink r:id="rId13">
        <w:r w:rsidRPr="00DE71B4">
          <w:rPr>
            <w:color w:val="auto"/>
            <w:sz w:val="20"/>
            <w:szCs w:val="20"/>
            <w:u w:val="single"/>
          </w:rPr>
          <w:t>https://nacoesunidas.org/direitoshumanos/declaracao/</w:t>
        </w:r>
      </w:hyperlink>
      <w:r w:rsidRPr="00DE71B4">
        <w:rPr>
          <w:color w:val="auto"/>
          <w:sz w:val="20"/>
          <w:szCs w:val="20"/>
        </w:rPr>
        <w:t>&gt;. Acesso em: 25 maio 2020).</w:t>
      </w:r>
    </w:p>
  </w:footnote>
  <w:footnote w:id="28">
    <w:p w14:paraId="695856EB" w14:textId="1B243294" w:rsidR="009E2F06" w:rsidRPr="00DE71B4" w:rsidRDefault="009E2F06" w:rsidP="00DE71B4">
      <w:pPr>
        <w:spacing w:before="0" w:after="0" w:line="240" w:lineRule="auto"/>
        <w:rPr>
          <w:color w:val="auto"/>
          <w:sz w:val="20"/>
          <w:szCs w:val="20"/>
        </w:rPr>
      </w:pPr>
      <w:r w:rsidRPr="00DE71B4">
        <w:rPr>
          <w:color w:val="auto"/>
          <w:sz w:val="20"/>
          <w:szCs w:val="20"/>
          <w:vertAlign w:val="superscript"/>
        </w:rPr>
        <w:footnoteRef/>
      </w:r>
      <w:r w:rsidRPr="00DE71B4">
        <w:rPr>
          <w:color w:val="auto"/>
          <w:sz w:val="20"/>
          <w:szCs w:val="20"/>
        </w:rPr>
        <w:t xml:space="preserve"> A Carta Africana dos Direitos do Homem e dos Povos foi aprovada em </w:t>
      </w:r>
      <w:proofErr w:type="spellStart"/>
      <w:r w:rsidRPr="00DE71B4">
        <w:rPr>
          <w:color w:val="auto"/>
          <w:sz w:val="20"/>
          <w:szCs w:val="20"/>
        </w:rPr>
        <w:t>Nairobi</w:t>
      </w:r>
      <w:proofErr w:type="spellEnd"/>
      <w:r w:rsidRPr="00DE71B4">
        <w:rPr>
          <w:color w:val="auto"/>
          <w:sz w:val="20"/>
          <w:szCs w:val="20"/>
        </w:rPr>
        <w:t xml:space="preserve">, Quénia, em julho de 1981 e ratificada por Moçambique através da Resolução n. 9/88 de 25 de agosto de 1988 (OPHENTA. </w:t>
      </w:r>
      <w:r w:rsidRPr="00DE71B4">
        <w:rPr>
          <w:i/>
          <w:color w:val="auto"/>
          <w:sz w:val="20"/>
          <w:szCs w:val="20"/>
        </w:rPr>
        <w:t>Carta Africana dos Direitos do Homem e dos Povos de 1979</w:t>
      </w:r>
      <w:r w:rsidRPr="00DE71B4">
        <w:rPr>
          <w:color w:val="auto"/>
          <w:sz w:val="20"/>
          <w:szCs w:val="20"/>
        </w:rPr>
        <w:t>. Disponível em: &lt;</w:t>
      </w:r>
      <w:hyperlink r:id="rId14">
        <w:r w:rsidRPr="00DE71B4">
          <w:rPr>
            <w:color w:val="auto"/>
            <w:sz w:val="20"/>
            <w:szCs w:val="20"/>
            <w:u w:val="single"/>
          </w:rPr>
          <w:t>https://www.ophenta.org.mz/wp-content/uploads/2017/03/Carta-Africana-Direitos-Humanos-1.pdf</w:t>
        </w:r>
      </w:hyperlink>
      <w:r w:rsidRPr="00DE71B4">
        <w:rPr>
          <w:color w:val="auto"/>
          <w:sz w:val="20"/>
          <w:szCs w:val="20"/>
        </w:rPr>
        <w:t xml:space="preserve"> &gt;. Acesso em: 12 abr. 2020).</w:t>
      </w:r>
    </w:p>
  </w:footnote>
  <w:footnote w:id="29">
    <w:p w14:paraId="7D0B567A" w14:textId="77777777" w:rsidR="009E2F06" w:rsidRPr="00DE71B4" w:rsidRDefault="009E2F06" w:rsidP="00DE71B4">
      <w:pPr>
        <w:pBdr>
          <w:top w:val="nil"/>
          <w:left w:val="nil"/>
          <w:bottom w:val="nil"/>
          <w:right w:val="nil"/>
          <w:between w:val="nil"/>
        </w:pBdr>
        <w:spacing w:before="0" w:after="0" w:line="240" w:lineRule="auto"/>
        <w:rPr>
          <w:color w:val="auto"/>
          <w:sz w:val="20"/>
          <w:szCs w:val="20"/>
        </w:rPr>
      </w:pPr>
      <w:r w:rsidRPr="00DE71B4">
        <w:rPr>
          <w:color w:val="auto"/>
          <w:sz w:val="20"/>
          <w:szCs w:val="20"/>
          <w:vertAlign w:val="superscript"/>
        </w:rPr>
        <w:footnoteRef/>
      </w:r>
      <w:r w:rsidRPr="00DE71B4">
        <w:rPr>
          <w:color w:val="auto"/>
          <w:sz w:val="20"/>
          <w:szCs w:val="20"/>
        </w:rPr>
        <w:t xml:space="preserve"> CARTA AFRICANA. Resolução n. 9/88, de 25 de agosto de 1981. </w:t>
      </w:r>
      <w:r w:rsidRPr="00DE71B4">
        <w:rPr>
          <w:i/>
          <w:color w:val="auto"/>
          <w:sz w:val="20"/>
          <w:szCs w:val="20"/>
        </w:rPr>
        <w:t>Ratifica a Carta africana dos Direitos Humanos e dos Povos de 1979</w:t>
      </w:r>
      <w:r w:rsidRPr="00DE71B4">
        <w:rPr>
          <w:color w:val="auto"/>
          <w:sz w:val="20"/>
          <w:szCs w:val="20"/>
        </w:rPr>
        <w:t>. Boletim da República – Conselho de Ministros. Maputo: Imprensa Nacional.</w:t>
      </w:r>
    </w:p>
  </w:footnote>
  <w:footnote w:id="30">
    <w:p w14:paraId="37016FBF" w14:textId="77777777" w:rsidR="009E2F06" w:rsidRPr="00DE71B4" w:rsidRDefault="009E2F06" w:rsidP="00DE71B4">
      <w:pPr>
        <w:pBdr>
          <w:top w:val="nil"/>
          <w:left w:val="nil"/>
          <w:bottom w:val="nil"/>
          <w:right w:val="nil"/>
          <w:between w:val="nil"/>
        </w:pBdr>
        <w:spacing w:before="0" w:after="0" w:line="240" w:lineRule="auto"/>
        <w:rPr>
          <w:color w:val="auto"/>
          <w:sz w:val="20"/>
          <w:szCs w:val="20"/>
        </w:rPr>
      </w:pPr>
      <w:r w:rsidRPr="00DE71B4">
        <w:rPr>
          <w:color w:val="auto"/>
          <w:sz w:val="20"/>
          <w:szCs w:val="20"/>
          <w:vertAlign w:val="superscript"/>
        </w:rPr>
        <w:footnoteRef/>
      </w:r>
      <w:r w:rsidRPr="00DE71B4">
        <w:rPr>
          <w:color w:val="auto"/>
          <w:sz w:val="20"/>
          <w:szCs w:val="20"/>
        </w:rPr>
        <w:t xml:space="preserve"> UNESCO. </w:t>
      </w:r>
      <w:r w:rsidRPr="00DE71B4">
        <w:rPr>
          <w:i/>
          <w:color w:val="auto"/>
          <w:sz w:val="20"/>
          <w:szCs w:val="20"/>
        </w:rPr>
        <w:t>Tráfico de Pessoas em Moçambique: Causas Principais e Recomendações.</w:t>
      </w:r>
      <w:r w:rsidRPr="00DE71B4">
        <w:rPr>
          <w:color w:val="auto"/>
          <w:sz w:val="20"/>
          <w:szCs w:val="20"/>
        </w:rPr>
        <w:t xml:space="preserve"> Police </w:t>
      </w:r>
      <w:proofErr w:type="spellStart"/>
      <w:r w:rsidRPr="00DE71B4">
        <w:rPr>
          <w:color w:val="auto"/>
          <w:sz w:val="20"/>
          <w:szCs w:val="20"/>
        </w:rPr>
        <w:t>Paper</w:t>
      </w:r>
      <w:proofErr w:type="spellEnd"/>
      <w:r w:rsidRPr="00DE71B4">
        <w:rPr>
          <w:color w:val="auto"/>
          <w:sz w:val="20"/>
          <w:szCs w:val="20"/>
        </w:rPr>
        <w:t xml:space="preserve"> nº14.1 (P), Série de relatórios sobre a Pobreza. Paris, 2006.</w:t>
      </w:r>
    </w:p>
  </w:footnote>
  <w:footnote w:id="31">
    <w:p w14:paraId="4D28BBBE" w14:textId="77777777" w:rsidR="009E2F06" w:rsidRPr="00DE71B4" w:rsidRDefault="009E2F06" w:rsidP="00DE71B4">
      <w:pPr>
        <w:pBdr>
          <w:top w:val="nil"/>
          <w:left w:val="nil"/>
          <w:bottom w:val="nil"/>
          <w:right w:val="nil"/>
          <w:between w:val="nil"/>
        </w:pBdr>
        <w:spacing w:before="0" w:after="0" w:line="240" w:lineRule="auto"/>
        <w:rPr>
          <w:color w:val="auto"/>
          <w:sz w:val="20"/>
          <w:szCs w:val="20"/>
        </w:rPr>
      </w:pPr>
      <w:r w:rsidRPr="00DE71B4">
        <w:rPr>
          <w:color w:val="auto"/>
          <w:sz w:val="20"/>
          <w:szCs w:val="20"/>
          <w:vertAlign w:val="superscript"/>
        </w:rPr>
        <w:footnoteRef/>
      </w:r>
      <w:r w:rsidRPr="00DE71B4">
        <w:rPr>
          <w:color w:val="auto"/>
          <w:sz w:val="20"/>
          <w:szCs w:val="20"/>
        </w:rPr>
        <w:t xml:space="preserve"> RODA, Arménio da. </w:t>
      </w:r>
      <w:r w:rsidRPr="00DE71B4">
        <w:rPr>
          <w:i/>
          <w:color w:val="auto"/>
          <w:sz w:val="20"/>
          <w:szCs w:val="20"/>
        </w:rPr>
        <w:t>A dimensão global do tráfico humano: o tráfico de pessoas aos olhos de Moçambique.</w:t>
      </w:r>
      <w:r w:rsidRPr="00DE71B4">
        <w:rPr>
          <w:color w:val="auto"/>
          <w:sz w:val="20"/>
          <w:szCs w:val="20"/>
        </w:rPr>
        <w:t xml:space="preserve"> São Paulo: </w:t>
      </w:r>
      <w:proofErr w:type="spellStart"/>
      <w:r w:rsidRPr="00DE71B4">
        <w:rPr>
          <w:color w:val="auto"/>
          <w:sz w:val="20"/>
          <w:szCs w:val="20"/>
        </w:rPr>
        <w:t>Atarukas</w:t>
      </w:r>
      <w:proofErr w:type="spellEnd"/>
      <w:r w:rsidRPr="00DE71B4">
        <w:rPr>
          <w:color w:val="auto"/>
          <w:sz w:val="20"/>
          <w:szCs w:val="20"/>
        </w:rPr>
        <w:t xml:space="preserve"> Editora, 2019. </w:t>
      </w:r>
    </w:p>
  </w:footnote>
  <w:footnote w:id="32">
    <w:p w14:paraId="2EB73B32" w14:textId="77777777" w:rsidR="009E2F06" w:rsidRPr="00DE71B4" w:rsidRDefault="009E2F06" w:rsidP="00DE71B4">
      <w:pPr>
        <w:pBdr>
          <w:top w:val="nil"/>
          <w:left w:val="nil"/>
          <w:bottom w:val="nil"/>
          <w:right w:val="nil"/>
          <w:between w:val="nil"/>
        </w:pBdr>
        <w:spacing w:before="0" w:after="0" w:line="240" w:lineRule="auto"/>
        <w:rPr>
          <w:color w:val="auto"/>
          <w:sz w:val="20"/>
          <w:szCs w:val="20"/>
        </w:rPr>
      </w:pPr>
      <w:r w:rsidRPr="00DE71B4">
        <w:rPr>
          <w:color w:val="auto"/>
          <w:sz w:val="20"/>
          <w:szCs w:val="20"/>
          <w:vertAlign w:val="superscript"/>
        </w:rPr>
        <w:footnoteRef/>
      </w:r>
      <w:r w:rsidRPr="00DE71B4">
        <w:rPr>
          <w:color w:val="auto"/>
          <w:sz w:val="20"/>
          <w:szCs w:val="20"/>
        </w:rPr>
        <w:t xml:space="preserve"> UNESCO. </w:t>
      </w:r>
      <w:r w:rsidRPr="00DE71B4">
        <w:rPr>
          <w:i/>
          <w:color w:val="auto"/>
          <w:sz w:val="20"/>
          <w:szCs w:val="20"/>
        </w:rPr>
        <w:t>Tráfico de Pessoas em Moçambique: Causas Principais e Recomendações.</w:t>
      </w:r>
      <w:r w:rsidRPr="00DE71B4">
        <w:rPr>
          <w:color w:val="auto"/>
          <w:sz w:val="20"/>
          <w:szCs w:val="20"/>
        </w:rPr>
        <w:t xml:space="preserve"> Police </w:t>
      </w:r>
      <w:proofErr w:type="spellStart"/>
      <w:r w:rsidRPr="00DE71B4">
        <w:rPr>
          <w:color w:val="auto"/>
          <w:sz w:val="20"/>
          <w:szCs w:val="20"/>
        </w:rPr>
        <w:t>Paper</w:t>
      </w:r>
      <w:proofErr w:type="spellEnd"/>
      <w:r w:rsidRPr="00DE71B4">
        <w:rPr>
          <w:color w:val="auto"/>
          <w:sz w:val="20"/>
          <w:szCs w:val="20"/>
        </w:rPr>
        <w:t xml:space="preserve"> nº14.1 (P), Série de relatórios sobre a Pobreza. Paris, 2006. p. 16.</w:t>
      </w:r>
    </w:p>
  </w:footnote>
  <w:footnote w:id="33">
    <w:p w14:paraId="4666B878" w14:textId="77777777" w:rsidR="009E2F06" w:rsidRPr="00DE71B4" w:rsidRDefault="009E2F06" w:rsidP="00DE71B4">
      <w:pPr>
        <w:pBdr>
          <w:top w:val="nil"/>
          <w:left w:val="nil"/>
          <w:bottom w:val="nil"/>
          <w:right w:val="nil"/>
          <w:between w:val="nil"/>
        </w:pBdr>
        <w:spacing w:before="0" w:after="0" w:line="240" w:lineRule="auto"/>
        <w:rPr>
          <w:color w:val="auto"/>
          <w:sz w:val="20"/>
          <w:szCs w:val="20"/>
        </w:rPr>
      </w:pPr>
      <w:r w:rsidRPr="00DE71B4">
        <w:rPr>
          <w:color w:val="auto"/>
          <w:sz w:val="20"/>
          <w:szCs w:val="20"/>
          <w:vertAlign w:val="superscript"/>
        </w:rPr>
        <w:footnoteRef/>
      </w:r>
      <w:r w:rsidRPr="00DE71B4">
        <w:rPr>
          <w:color w:val="auto"/>
          <w:sz w:val="20"/>
          <w:szCs w:val="20"/>
        </w:rPr>
        <w:t xml:space="preserve"> FDC. </w:t>
      </w:r>
      <w:r w:rsidRPr="00DE71B4">
        <w:rPr>
          <w:i/>
          <w:color w:val="auto"/>
          <w:sz w:val="20"/>
          <w:szCs w:val="20"/>
        </w:rPr>
        <w:t>Violência contra Menores em Moçambique. Revisão da Literatura</w:t>
      </w:r>
      <w:r w:rsidRPr="00DE71B4">
        <w:rPr>
          <w:color w:val="auto"/>
          <w:sz w:val="20"/>
          <w:szCs w:val="20"/>
        </w:rPr>
        <w:t>. Maputo: Editora KULA Estudos e Pesquisa Aplicada, Ltda, 2008. p. 23.</w:t>
      </w:r>
    </w:p>
  </w:footnote>
  <w:footnote w:id="34">
    <w:p w14:paraId="6DBF9C1F" w14:textId="3000027F" w:rsidR="009E2F06" w:rsidRPr="00DE71B4" w:rsidRDefault="009E2F06" w:rsidP="00DE71B4">
      <w:pPr>
        <w:pBdr>
          <w:top w:val="nil"/>
          <w:left w:val="nil"/>
          <w:bottom w:val="nil"/>
          <w:right w:val="nil"/>
          <w:between w:val="nil"/>
        </w:pBdr>
        <w:spacing w:before="0" w:after="0" w:line="240" w:lineRule="auto"/>
        <w:rPr>
          <w:color w:val="auto"/>
          <w:sz w:val="20"/>
          <w:szCs w:val="20"/>
        </w:rPr>
      </w:pPr>
      <w:r w:rsidRPr="00DE71B4">
        <w:rPr>
          <w:color w:val="auto"/>
          <w:sz w:val="20"/>
          <w:szCs w:val="20"/>
          <w:vertAlign w:val="superscript"/>
        </w:rPr>
        <w:footnoteRef/>
      </w:r>
      <w:r w:rsidRPr="00DE71B4">
        <w:rPr>
          <w:color w:val="auto"/>
          <w:sz w:val="20"/>
          <w:szCs w:val="20"/>
        </w:rPr>
        <w:t xml:space="preserve"> MAGODE, Joaquim; JOSÉ, Patrício; CONGOLO, Frederico; CADEADO, </w:t>
      </w:r>
      <w:proofErr w:type="spellStart"/>
      <w:r w:rsidRPr="00DE71B4">
        <w:rPr>
          <w:color w:val="auto"/>
          <w:sz w:val="20"/>
          <w:szCs w:val="20"/>
        </w:rPr>
        <w:t>Calton</w:t>
      </w:r>
      <w:proofErr w:type="spellEnd"/>
      <w:r w:rsidRPr="00DE71B4">
        <w:rPr>
          <w:color w:val="auto"/>
          <w:sz w:val="20"/>
          <w:szCs w:val="20"/>
        </w:rPr>
        <w:t xml:space="preserve">; PATRÍCIO, António; LINDY, Rafael. </w:t>
      </w:r>
      <w:r w:rsidRPr="00DE71B4">
        <w:rPr>
          <w:i/>
          <w:color w:val="auto"/>
          <w:sz w:val="20"/>
          <w:szCs w:val="20"/>
        </w:rPr>
        <w:t>Tráfico de Pessoas em Moçambique, em particular de crianças. Moçambique</w:t>
      </w:r>
      <w:r w:rsidRPr="00DE71B4">
        <w:rPr>
          <w:color w:val="auto"/>
          <w:sz w:val="20"/>
          <w:szCs w:val="20"/>
        </w:rPr>
        <w:t>: Procuradoria Geral da República, 2014. p. 26.</w:t>
      </w:r>
    </w:p>
  </w:footnote>
  <w:footnote w:id="35">
    <w:p w14:paraId="6AD54ADE" w14:textId="56615113" w:rsidR="009E2F06" w:rsidRPr="00DE71B4" w:rsidRDefault="009E2F06" w:rsidP="00DE71B4">
      <w:pPr>
        <w:pBdr>
          <w:top w:val="nil"/>
          <w:left w:val="nil"/>
          <w:bottom w:val="nil"/>
          <w:right w:val="nil"/>
          <w:between w:val="nil"/>
        </w:pBdr>
        <w:spacing w:before="0" w:after="0" w:line="240" w:lineRule="auto"/>
        <w:rPr>
          <w:color w:val="auto"/>
          <w:sz w:val="20"/>
          <w:szCs w:val="20"/>
        </w:rPr>
      </w:pPr>
      <w:r w:rsidRPr="00DE71B4">
        <w:rPr>
          <w:color w:val="auto"/>
          <w:sz w:val="20"/>
          <w:szCs w:val="20"/>
          <w:vertAlign w:val="superscript"/>
        </w:rPr>
        <w:footnoteRef/>
      </w:r>
      <w:r w:rsidRPr="00DE71B4">
        <w:rPr>
          <w:color w:val="auto"/>
          <w:sz w:val="20"/>
          <w:szCs w:val="20"/>
        </w:rPr>
        <w:t xml:space="preserve"> MOÇAMBIQUE. Resolução n. 87/2002, de 11 de dezembro de 2004. </w:t>
      </w:r>
      <w:r w:rsidRPr="00DE71B4">
        <w:rPr>
          <w:i/>
          <w:color w:val="auto"/>
          <w:sz w:val="20"/>
          <w:szCs w:val="20"/>
        </w:rPr>
        <w:t>Ratifica o Protocolo Adicional à Convenção das Nações Unidas contra o Crime Organizado Transnacional Relativo à Prevenção, Repressão e Punição do Tráfico de Pessoas, em Especial Mulheres e Crianças.</w:t>
      </w:r>
      <w:r w:rsidRPr="00DE71B4">
        <w:rPr>
          <w:color w:val="auto"/>
          <w:sz w:val="20"/>
          <w:szCs w:val="20"/>
        </w:rPr>
        <w:t xml:space="preserve"> Boletim da República- Conselho de Ministros. Maputo: Imprensa Nacional. p. 1. </w:t>
      </w:r>
    </w:p>
  </w:footnote>
  <w:footnote w:id="36">
    <w:p w14:paraId="13A61F5C" w14:textId="70B6A0E3" w:rsidR="009E2F06" w:rsidRPr="00DE71B4" w:rsidRDefault="009E2F06" w:rsidP="00DE71B4">
      <w:pPr>
        <w:pBdr>
          <w:top w:val="nil"/>
          <w:left w:val="nil"/>
          <w:bottom w:val="nil"/>
          <w:right w:val="nil"/>
          <w:between w:val="nil"/>
        </w:pBdr>
        <w:spacing w:before="0" w:after="0" w:line="240" w:lineRule="auto"/>
        <w:rPr>
          <w:color w:val="auto"/>
          <w:sz w:val="20"/>
          <w:szCs w:val="20"/>
        </w:rPr>
      </w:pPr>
      <w:r w:rsidRPr="00DE71B4">
        <w:rPr>
          <w:color w:val="auto"/>
          <w:sz w:val="20"/>
          <w:szCs w:val="20"/>
          <w:vertAlign w:val="superscript"/>
        </w:rPr>
        <w:footnoteRef/>
      </w:r>
      <w:r w:rsidRPr="00DE71B4">
        <w:rPr>
          <w:color w:val="auto"/>
          <w:sz w:val="20"/>
          <w:szCs w:val="20"/>
        </w:rPr>
        <w:t xml:space="preserve"> MOÇAMBIQUE. </w:t>
      </w:r>
      <w:r w:rsidRPr="00DE71B4">
        <w:rPr>
          <w:i/>
          <w:color w:val="auto"/>
          <w:sz w:val="20"/>
          <w:szCs w:val="20"/>
        </w:rPr>
        <w:t>Constituição da República de Moçambique (CRM).</w:t>
      </w:r>
      <w:r w:rsidRPr="00DE71B4">
        <w:rPr>
          <w:color w:val="auto"/>
          <w:sz w:val="20"/>
          <w:szCs w:val="20"/>
        </w:rPr>
        <w:t xml:space="preserve"> Maputo: Plural. 2004. Disponível em: &lt;</w:t>
      </w:r>
      <w:hyperlink r:id="rId15">
        <w:r w:rsidRPr="00DE71B4">
          <w:rPr>
            <w:color w:val="auto"/>
            <w:sz w:val="20"/>
            <w:szCs w:val="20"/>
            <w:u w:val="single"/>
          </w:rPr>
          <w:t>https://www.portaldogoverno.gov.mz/por/Media/Files/Constituicao-da-Republica-PDF</w:t>
        </w:r>
      </w:hyperlink>
      <w:r w:rsidRPr="00DE71B4">
        <w:rPr>
          <w:color w:val="auto"/>
          <w:sz w:val="20"/>
          <w:szCs w:val="20"/>
        </w:rPr>
        <w:t>&gt;. Acesso em: 8 maio 2020.</w:t>
      </w:r>
    </w:p>
  </w:footnote>
  <w:footnote w:id="37">
    <w:p w14:paraId="670DD7DF" w14:textId="5F59C3C0" w:rsidR="009E2F06" w:rsidRPr="00DE71B4" w:rsidRDefault="009E2F06" w:rsidP="00DE71B4">
      <w:pPr>
        <w:pBdr>
          <w:top w:val="nil"/>
          <w:left w:val="nil"/>
          <w:bottom w:val="nil"/>
          <w:right w:val="nil"/>
          <w:between w:val="nil"/>
        </w:pBdr>
        <w:spacing w:before="0" w:after="0" w:line="240" w:lineRule="auto"/>
        <w:rPr>
          <w:color w:val="auto"/>
          <w:sz w:val="20"/>
          <w:szCs w:val="20"/>
        </w:rPr>
      </w:pPr>
      <w:r w:rsidRPr="00DE71B4">
        <w:rPr>
          <w:color w:val="auto"/>
          <w:sz w:val="20"/>
          <w:szCs w:val="20"/>
          <w:vertAlign w:val="superscript"/>
        </w:rPr>
        <w:footnoteRef/>
      </w:r>
      <w:r w:rsidRPr="00DE71B4">
        <w:rPr>
          <w:color w:val="auto"/>
          <w:sz w:val="20"/>
          <w:szCs w:val="20"/>
        </w:rPr>
        <w:t xml:space="preserve"> MOÇAMBIQUE. Resolução n. 87/2002, de 11 de dezembro de 2004. </w:t>
      </w:r>
      <w:r w:rsidRPr="00DE71B4">
        <w:rPr>
          <w:i/>
          <w:color w:val="auto"/>
          <w:sz w:val="20"/>
          <w:szCs w:val="20"/>
        </w:rPr>
        <w:t>Ratifica o Protocolo Adicional à Convenção das Nações Unidas contra o Crime Organizado Transnacional Relativo à Prevenção, Repressão e Punição do Tráfico de Pessoas, em Especial Mulheres e Crianças</w:t>
      </w:r>
      <w:r w:rsidRPr="00DE71B4">
        <w:rPr>
          <w:color w:val="auto"/>
          <w:sz w:val="20"/>
          <w:szCs w:val="20"/>
        </w:rPr>
        <w:t>. Boletim da República- Conselho de Ministros. Maputo: Imprensa Nacional.</w:t>
      </w:r>
    </w:p>
  </w:footnote>
  <w:footnote w:id="38">
    <w:p w14:paraId="191F82D8" w14:textId="77777777" w:rsidR="009E2F06" w:rsidRPr="00DE71B4" w:rsidRDefault="009E2F06" w:rsidP="00DE71B4">
      <w:pPr>
        <w:spacing w:before="0" w:after="0" w:line="240" w:lineRule="auto"/>
        <w:rPr>
          <w:color w:val="auto"/>
          <w:sz w:val="20"/>
          <w:szCs w:val="20"/>
        </w:rPr>
      </w:pPr>
      <w:r w:rsidRPr="00DE71B4">
        <w:rPr>
          <w:color w:val="auto"/>
          <w:sz w:val="20"/>
          <w:szCs w:val="20"/>
          <w:vertAlign w:val="superscript"/>
        </w:rPr>
        <w:footnoteRef/>
      </w:r>
      <w:r w:rsidRPr="00DE71B4">
        <w:rPr>
          <w:color w:val="auto"/>
          <w:sz w:val="20"/>
          <w:szCs w:val="20"/>
        </w:rPr>
        <w:t xml:space="preserve"> A abreviatura TSH significa Tráfico de Seres Humanos. </w:t>
      </w:r>
    </w:p>
  </w:footnote>
  <w:footnote w:id="39">
    <w:p w14:paraId="68EB6378" w14:textId="77777777" w:rsidR="009E2F06" w:rsidRPr="00DE71B4" w:rsidRDefault="009E2F06" w:rsidP="00DE71B4">
      <w:pPr>
        <w:pBdr>
          <w:top w:val="nil"/>
          <w:left w:val="nil"/>
          <w:bottom w:val="nil"/>
          <w:right w:val="nil"/>
          <w:between w:val="nil"/>
        </w:pBdr>
        <w:spacing w:before="0" w:after="0" w:line="240" w:lineRule="auto"/>
        <w:rPr>
          <w:color w:val="auto"/>
          <w:sz w:val="20"/>
          <w:szCs w:val="20"/>
        </w:rPr>
      </w:pPr>
      <w:r w:rsidRPr="00DE71B4">
        <w:rPr>
          <w:color w:val="auto"/>
          <w:sz w:val="20"/>
          <w:szCs w:val="20"/>
          <w:vertAlign w:val="superscript"/>
        </w:rPr>
        <w:footnoteRef/>
      </w:r>
      <w:r w:rsidRPr="00DE71B4">
        <w:rPr>
          <w:color w:val="auto"/>
          <w:sz w:val="20"/>
          <w:szCs w:val="20"/>
        </w:rPr>
        <w:t xml:space="preserve"> CORRÊA DA SILVA, </w:t>
      </w:r>
      <w:proofErr w:type="spellStart"/>
      <w:r w:rsidRPr="00DE71B4">
        <w:rPr>
          <w:color w:val="auto"/>
          <w:sz w:val="20"/>
          <w:szCs w:val="20"/>
        </w:rPr>
        <w:t>Waldimeiry</w:t>
      </w:r>
      <w:proofErr w:type="spellEnd"/>
      <w:r w:rsidRPr="00DE71B4">
        <w:rPr>
          <w:color w:val="auto"/>
          <w:sz w:val="20"/>
          <w:szCs w:val="20"/>
        </w:rPr>
        <w:t xml:space="preserve">. </w:t>
      </w:r>
      <w:r w:rsidRPr="00DE71B4">
        <w:rPr>
          <w:i/>
          <w:color w:val="auto"/>
          <w:sz w:val="20"/>
          <w:szCs w:val="20"/>
        </w:rPr>
        <w:t>Regime Internacional de Enfrentamento ao Tráfico de Pessoas: avanços e desafios para a proteção dos direitos humanos</w:t>
      </w:r>
      <w:r w:rsidRPr="00DE71B4">
        <w:rPr>
          <w:color w:val="auto"/>
          <w:sz w:val="20"/>
          <w:szCs w:val="20"/>
        </w:rPr>
        <w:t xml:space="preserve">. Rio de Janeiro: </w:t>
      </w:r>
      <w:proofErr w:type="spellStart"/>
      <w:r w:rsidRPr="00DE71B4">
        <w:rPr>
          <w:color w:val="auto"/>
          <w:sz w:val="20"/>
          <w:szCs w:val="20"/>
        </w:rPr>
        <w:t>Lumen</w:t>
      </w:r>
      <w:proofErr w:type="spellEnd"/>
      <w:r w:rsidRPr="00DE71B4">
        <w:rPr>
          <w:color w:val="auto"/>
          <w:sz w:val="20"/>
          <w:szCs w:val="20"/>
        </w:rPr>
        <w:t xml:space="preserve"> Juris, 2018. p. 4.</w:t>
      </w:r>
    </w:p>
  </w:footnote>
  <w:footnote w:id="40">
    <w:p w14:paraId="2953EBFB" w14:textId="77777777" w:rsidR="009E2F06" w:rsidRPr="00DE71B4" w:rsidRDefault="009E2F06" w:rsidP="00DE71B4">
      <w:pPr>
        <w:pBdr>
          <w:top w:val="nil"/>
          <w:left w:val="nil"/>
          <w:bottom w:val="nil"/>
          <w:right w:val="nil"/>
          <w:between w:val="nil"/>
        </w:pBdr>
        <w:spacing w:before="0" w:after="0" w:line="240" w:lineRule="auto"/>
        <w:rPr>
          <w:color w:val="auto"/>
          <w:sz w:val="20"/>
          <w:szCs w:val="20"/>
        </w:rPr>
      </w:pPr>
      <w:r w:rsidRPr="00DE71B4">
        <w:rPr>
          <w:color w:val="auto"/>
          <w:sz w:val="20"/>
          <w:szCs w:val="20"/>
          <w:vertAlign w:val="superscript"/>
        </w:rPr>
        <w:footnoteRef/>
      </w:r>
      <w:r w:rsidRPr="00DE71B4">
        <w:rPr>
          <w:color w:val="auto"/>
          <w:sz w:val="20"/>
          <w:szCs w:val="20"/>
        </w:rPr>
        <w:t xml:space="preserve"> RODA, Arménio da. </w:t>
      </w:r>
      <w:r w:rsidRPr="00DE71B4">
        <w:rPr>
          <w:i/>
          <w:color w:val="auto"/>
          <w:sz w:val="20"/>
          <w:szCs w:val="20"/>
        </w:rPr>
        <w:t>A dimensão global do tráfico humano: o tráfico de pessoas aos olhos de Moçambique</w:t>
      </w:r>
      <w:r w:rsidRPr="00DE71B4">
        <w:rPr>
          <w:color w:val="auto"/>
          <w:sz w:val="20"/>
          <w:szCs w:val="20"/>
        </w:rPr>
        <w:t xml:space="preserve">. São Paulo: </w:t>
      </w:r>
      <w:proofErr w:type="spellStart"/>
      <w:r w:rsidRPr="00DE71B4">
        <w:rPr>
          <w:color w:val="auto"/>
          <w:sz w:val="20"/>
          <w:szCs w:val="20"/>
        </w:rPr>
        <w:t>Atarukas</w:t>
      </w:r>
      <w:proofErr w:type="spellEnd"/>
      <w:r w:rsidRPr="00DE71B4">
        <w:rPr>
          <w:color w:val="auto"/>
          <w:sz w:val="20"/>
          <w:szCs w:val="20"/>
        </w:rPr>
        <w:t xml:space="preserve"> Editora, 2019. </w:t>
      </w:r>
    </w:p>
  </w:footnote>
  <w:footnote w:id="41">
    <w:p w14:paraId="1390B98E" w14:textId="77777777" w:rsidR="009E2F06" w:rsidRPr="00DE71B4" w:rsidRDefault="009E2F06" w:rsidP="00DE71B4">
      <w:pPr>
        <w:pBdr>
          <w:top w:val="nil"/>
          <w:left w:val="nil"/>
          <w:bottom w:val="nil"/>
          <w:right w:val="nil"/>
          <w:between w:val="nil"/>
        </w:pBdr>
        <w:spacing w:before="0" w:after="0" w:line="240" w:lineRule="auto"/>
        <w:rPr>
          <w:color w:val="auto"/>
          <w:sz w:val="20"/>
          <w:szCs w:val="20"/>
        </w:rPr>
      </w:pPr>
      <w:r w:rsidRPr="00DE71B4">
        <w:rPr>
          <w:color w:val="auto"/>
          <w:sz w:val="20"/>
          <w:szCs w:val="20"/>
          <w:vertAlign w:val="superscript"/>
        </w:rPr>
        <w:footnoteRef/>
      </w:r>
      <w:r w:rsidRPr="00DE71B4">
        <w:rPr>
          <w:color w:val="auto"/>
          <w:sz w:val="20"/>
          <w:szCs w:val="20"/>
        </w:rPr>
        <w:t xml:space="preserve"> RODA, Arménio da. </w:t>
      </w:r>
      <w:r w:rsidRPr="00DE71B4">
        <w:rPr>
          <w:i/>
          <w:color w:val="auto"/>
          <w:sz w:val="20"/>
          <w:szCs w:val="20"/>
        </w:rPr>
        <w:t>A dimensão global do tráfico humano: o tráfico de pessoas aos olhos de Moçambique</w:t>
      </w:r>
      <w:r w:rsidRPr="00DE71B4">
        <w:rPr>
          <w:color w:val="auto"/>
          <w:sz w:val="20"/>
          <w:szCs w:val="20"/>
        </w:rPr>
        <w:t xml:space="preserve">. São Paulo: </w:t>
      </w:r>
      <w:proofErr w:type="spellStart"/>
      <w:r w:rsidRPr="00DE71B4">
        <w:rPr>
          <w:color w:val="auto"/>
          <w:sz w:val="20"/>
          <w:szCs w:val="20"/>
        </w:rPr>
        <w:t>Atarukas</w:t>
      </w:r>
      <w:proofErr w:type="spellEnd"/>
      <w:r w:rsidRPr="00DE71B4">
        <w:rPr>
          <w:color w:val="auto"/>
          <w:sz w:val="20"/>
          <w:szCs w:val="20"/>
        </w:rPr>
        <w:t xml:space="preserve"> Editora, 2019. </w:t>
      </w:r>
    </w:p>
  </w:footnote>
  <w:footnote w:id="42">
    <w:p w14:paraId="322B26FF" w14:textId="77777777" w:rsidR="009E2F06" w:rsidRPr="00DE71B4" w:rsidRDefault="009E2F06" w:rsidP="00DE71B4">
      <w:pPr>
        <w:pBdr>
          <w:top w:val="nil"/>
          <w:left w:val="nil"/>
          <w:bottom w:val="nil"/>
          <w:right w:val="nil"/>
          <w:between w:val="nil"/>
        </w:pBdr>
        <w:spacing w:before="0" w:after="0" w:line="240" w:lineRule="auto"/>
        <w:rPr>
          <w:color w:val="auto"/>
          <w:sz w:val="20"/>
          <w:szCs w:val="20"/>
        </w:rPr>
      </w:pPr>
      <w:r w:rsidRPr="00DE71B4">
        <w:rPr>
          <w:color w:val="auto"/>
          <w:sz w:val="20"/>
          <w:szCs w:val="20"/>
          <w:vertAlign w:val="superscript"/>
        </w:rPr>
        <w:footnoteRef/>
      </w:r>
      <w:r w:rsidRPr="00DE71B4">
        <w:rPr>
          <w:color w:val="auto"/>
          <w:sz w:val="20"/>
          <w:szCs w:val="20"/>
        </w:rPr>
        <w:t xml:space="preserve"> MOÇAMBIQUE. Lei n. 6/2008, de 9 de julho. </w:t>
      </w:r>
      <w:r w:rsidRPr="00DE71B4">
        <w:rPr>
          <w:i/>
          <w:color w:val="auto"/>
          <w:sz w:val="20"/>
          <w:szCs w:val="20"/>
        </w:rPr>
        <w:t>Dispõe sobre o regime jurídico aplicável à prevenção e combate ao tráfico de pessoas</w:t>
      </w:r>
      <w:r w:rsidRPr="00DE71B4">
        <w:rPr>
          <w:color w:val="auto"/>
          <w:sz w:val="20"/>
          <w:szCs w:val="20"/>
        </w:rPr>
        <w:t>. Boletim da República. Maputo: Imprensa Nacional. Disponível em: &lt;</w:t>
      </w:r>
      <w:hyperlink r:id="rId16">
        <w:r w:rsidRPr="00DE71B4">
          <w:rPr>
            <w:color w:val="auto"/>
            <w:sz w:val="20"/>
            <w:szCs w:val="20"/>
            <w:u w:val="single"/>
          </w:rPr>
          <w:t>http://www.ilo.ch/dyn/natlex/docs/ELECTRONIC/86030/96743/F88437680/MOZ86030.pdf</w:t>
        </w:r>
      </w:hyperlink>
      <w:r w:rsidRPr="00DE71B4">
        <w:rPr>
          <w:color w:val="auto"/>
          <w:sz w:val="20"/>
          <w:szCs w:val="20"/>
        </w:rPr>
        <w:t>&gt;. Acesso em: 12 abr. 2020.</w:t>
      </w:r>
    </w:p>
  </w:footnote>
  <w:footnote w:id="43">
    <w:p w14:paraId="3C83D722" w14:textId="51A281CC" w:rsidR="009E2F06" w:rsidRPr="00DE71B4" w:rsidRDefault="009E2F06" w:rsidP="00DE71B4">
      <w:pPr>
        <w:spacing w:before="0" w:after="0" w:line="240" w:lineRule="auto"/>
        <w:rPr>
          <w:color w:val="auto"/>
          <w:sz w:val="20"/>
          <w:szCs w:val="20"/>
        </w:rPr>
      </w:pPr>
      <w:r w:rsidRPr="00DE71B4">
        <w:rPr>
          <w:color w:val="auto"/>
          <w:sz w:val="20"/>
          <w:szCs w:val="20"/>
          <w:vertAlign w:val="superscript"/>
        </w:rPr>
        <w:footnoteRef/>
      </w:r>
      <w:r w:rsidRPr="00DE71B4">
        <w:rPr>
          <w:color w:val="auto"/>
          <w:sz w:val="20"/>
          <w:szCs w:val="20"/>
        </w:rPr>
        <w:t xml:space="preserve"> A abreviatura CP significa Código penal.</w:t>
      </w:r>
    </w:p>
  </w:footnote>
  <w:footnote w:id="44">
    <w:p w14:paraId="28E10CAB" w14:textId="41C477BF" w:rsidR="009E2F06" w:rsidRPr="00DE71B4" w:rsidRDefault="009E2F06" w:rsidP="00DE71B4">
      <w:pPr>
        <w:pBdr>
          <w:top w:val="nil"/>
          <w:left w:val="nil"/>
          <w:bottom w:val="nil"/>
          <w:right w:val="nil"/>
          <w:between w:val="nil"/>
        </w:pBdr>
        <w:spacing w:before="0" w:after="0" w:line="240" w:lineRule="auto"/>
        <w:rPr>
          <w:color w:val="auto"/>
          <w:sz w:val="20"/>
          <w:szCs w:val="20"/>
        </w:rPr>
      </w:pPr>
      <w:r w:rsidRPr="00DE71B4">
        <w:rPr>
          <w:color w:val="auto"/>
          <w:sz w:val="20"/>
          <w:szCs w:val="20"/>
          <w:vertAlign w:val="superscript"/>
        </w:rPr>
        <w:footnoteRef/>
      </w:r>
      <w:r w:rsidRPr="00DE71B4">
        <w:rPr>
          <w:color w:val="auto"/>
          <w:sz w:val="20"/>
          <w:szCs w:val="20"/>
        </w:rPr>
        <w:t xml:space="preserve"> “Aquele que detiver, possuir, transportar e traficar partes ou órgãos humanos, internos ou externos, sangue, produtos de sangue ou tecidos do corpo humano em violação de normas [...]”; “Aquele que instigar com promessa de sucesso na vida sentimental ou em negócios ou de qualquer outra natureza induza o agente à prática dos </w:t>
      </w:r>
      <w:proofErr w:type="spellStart"/>
      <w:r w:rsidRPr="00DE71B4">
        <w:rPr>
          <w:color w:val="auto"/>
          <w:sz w:val="20"/>
          <w:szCs w:val="20"/>
        </w:rPr>
        <w:t>actos</w:t>
      </w:r>
      <w:proofErr w:type="spellEnd"/>
      <w:r w:rsidRPr="00DE71B4">
        <w:rPr>
          <w:color w:val="auto"/>
          <w:sz w:val="20"/>
          <w:szCs w:val="20"/>
        </w:rPr>
        <w:t xml:space="preserve"> referidos no número anterior [...]” e “Aquele que aliciar outrem, com o pagamento ou sua promessa, a qualquer título, conducente à prática dos </w:t>
      </w:r>
      <w:proofErr w:type="spellStart"/>
      <w:r w:rsidRPr="00DE71B4">
        <w:rPr>
          <w:color w:val="auto"/>
          <w:sz w:val="20"/>
          <w:szCs w:val="20"/>
        </w:rPr>
        <w:t>actos</w:t>
      </w:r>
      <w:proofErr w:type="spellEnd"/>
      <w:r w:rsidRPr="00DE71B4">
        <w:rPr>
          <w:color w:val="auto"/>
          <w:sz w:val="20"/>
          <w:szCs w:val="20"/>
        </w:rPr>
        <w:t xml:space="preserve"> previstos no n. 1 do presente artigo [...]”. Os infratores que forem indiciados nos números referidos serão punidos com a pena de prisão de doze a </w:t>
      </w:r>
      <w:proofErr w:type="spellStart"/>
      <w:r w:rsidRPr="00DE71B4">
        <w:rPr>
          <w:color w:val="auto"/>
          <w:sz w:val="20"/>
          <w:szCs w:val="20"/>
        </w:rPr>
        <w:t>dezasseis</w:t>
      </w:r>
      <w:proofErr w:type="spellEnd"/>
      <w:r w:rsidRPr="00DE71B4">
        <w:rPr>
          <w:color w:val="auto"/>
          <w:sz w:val="20"/>
          <w:szCs w:val="20"/>
        </w:rPr>
        <w:t xml:space="preserve"> anos; com a pena de prisão de </w:t>
      </w:r>
      <w:proofErr w:type="spellStart"/>
      <w:r w:rsidRPr="00DE71B4">
        <w:rPr>
          <w:color w:val="auto"/>
          <w:sz w:val="20"/>
          <w:szCs w:val="20"/>
        </w:rPr>
        <w:t>dezasseis</w:t>
      </w:r>
      <w:proofErr w:type="spellEnd"/>
      <w:r w:rsidRPr="00DE71B4">
        <w:rPr>
          <w:color w:val="auto"/>
          <w:sz w:val="20"/>
          <w:szCs w:val="20"/>
        </w:rPr>
        <w:t xml:space="preserve"> a vinte anos e com a pena do número anterior, respectivamente (MOÇAMBIQUE. Lei n. 35/2014, de 31 de dezembro de 2014. </w:t>
      </w:r>
      <w:r w:rsidRPr="00DE71B4">
        <w:rPr>
          <w:i/>
          <w:color w:val="auto"/>
          <w:sz w:val="20"/>
          <w:szCs w:val="20"/>
        </w:rPr>
        <w:t xml:space="preserve">Lei da Revisão do Código Penal </w:t>
      </w:r>
      <w:r w:rsidRPr="00DE71B4">
        <w:rPr>
          <w:color w:val="auto"/>
          <w:sz w:val="20"/>
          <w:szCs w:val="20"/>
        </w:rPr>
        <w:t>(CP)</w:t>
      </w:r>
      <w:r w:rsidRPr="00DE71B4">
        <w:rPr>
          <w:i/>
          <w:color w:val="auto"/>
          <w:sz w:val="20"/>
          <w:szCs w:val="20"/>
        </w:rPr>
        <w:t xml:space="preserve">. </w:t>
      </w:r>
      <w:r w:rsidRPr="00DE71B4">
        <w:rPr>
          <w:color w:val="auto"/>
          <w:sz w:val="20"/>
          <w:szCs w:val="20"/>
        </w:rPr>
        <w:t xml:space="preserve">Boletim da República. Maputo: Imprensa Nacional. Disponível em: &lt; </w:t>
      </w:r>
      <w:hyperlink r:id="rId17">
        <w:r w:rsidRPr="00DE71B4">
          <w:rPr>
            <w:color w:val="auto"/>
            <w:sz w:val="20"/>
            <w:szCs w:val="20"/>
            <w:u w:val="single"/>
          </w:rPr>
          <w:t>http://www.wlsa.org.mz/wp-content/uploads/2014/11/Lei-35_2014Codigo_Penal.pdf</w:t>
        </w:r>
      </w:hyperlink>
      <w:r w:rsidRPr="00DE71B4">
        <w:rPr>
          <w:color w:val="auto"/>
          <w:sz w:val="20"/>
          <w:szCs w:val="20"/>
        </w:rPr>
        <w:t xml:space="preserve">&gt;. Acesso em: 21 jun. 2020). </w:t>
      </w:r>
    </w:p>
  </w:footnote>
  <w:footnote w:id="45">
    <w:p w14:paraId="5CAFC360" w14:textId="77777777" w:rsidR="009E2F06" w:rsidRPr="00DE71B4" w:rsidRDefault="009E2F06" w:rsidP="00DE71B4">
      <w:pPr>
        <w:pBdr>
          <w:top w:val="nil"/>
          <w:left w:val="nil"/>
          <w:bottom w:val="nil"/>
          <w:right w:val="nil"/>
          <w:between w:val="nil"/>
        </w:pBdr>
        <w:spacing w:before="0" w:after="0" w:line="240" w:lineRule="auto"/>
        <w:rPr>
          <w:color w:val="auto"/>
          <w:sz w:val="20"/>
          <w:szCs w:val="20"/>
        </w:rPr>
      </w:pPr>
      <w:r w:rsidRPr="00DE71B4">
        <w:rPr>
          <w:color w:val="auto"/>
          <w:sz w:val="20"/>
          <w:szCs w:val="20"/>
          <w:vertAlign w:val="superscript"/>
        </w:rPr>
        <w:footnoteRef/>
      </w:r>
      <w:r w:rsidRPr="00DE71B4">
        <w:rPr>
          <w:color w:val="auto"/>
          <w:sz w:val="20"/>
          <w:szCs w:val="20"/>
        </w:rPr>
        <w:t xml:space="preserve"> MOÇAMBIQUE. Lei n. 35/2014, de 31 de dezembro de 2014. </w:t>
      </w:r>
      <w:r w:rsidRPr="00DE71B4">
        <w:rPr>
          <w:i/>
          <w:color w:val="auto"/>
          <w:sz w:val="20"/>
          <w:szCs w:val="20"/>
        </w:rPr>
        <w:t xml:space="preserve">Lei da Revisão do Código Penal </w:t>
      </w:r>
      <w:r w:rsidRPr="00DE71B4">
        <w:rPr>
          <w:color w:val="auto"/>
          <w:sz w:val="20"/>
          <w:szCs w:val="20"/>
        </w:rPr>
        <w:t>(CP)</w:t>
      </w:r>
      <w:r w:rsidRPr="00DE71B4">
        <w:rPr>
          <w:i/>
          <w:color w:val="auto"/>
          <w:sz w:val="20"/>
          <w:szCs w:val="20"/>
        </w:rPr>
        <w:t xml:space="preserve">. </w:t>
      </w:r>
      <w:r w:rsidRPr="00DE71B4">
        <w:rPr>
          <w:color w:val="auto"/>
          <w:sz w:val="20"/>
          <w:szCs w:val="20"/>
        </w:rPr>
        <w:t xml:space="preserve">Boletim da República. Maputo: Imprensa Nacional. Disponível em: &lt; </w:t>
      </w:r>
      <w:hyperlink r:id="rId18">
        <w:r w:rsidRPr="00DE71B4">
          <w:rPr>
            <w:color w:val="auto"/>
            <w:sz w:val="20"/>
            <w:szCs w:val="20"/>
            <w:u w:val="single"/>
          </w:rPr>
          <w:t>http://www.wlsa.org.mz/wp-content/uploads/2014/11/Lei-35_2014Codigo_Penal.pdf</w:t>
        </w:r>
      </w:hyperlink>
      <w:r w:rsidRPr="00DE71B4">
        <w:rPr>
          <w:color w:val="auto"/>
          <w:sz w:val="20"/>
          <w:szCs w:val="20"/>
        </w:rPr>
        <w:t>&gt;. Acesso em: 21 jun. 2020.</w:t>
      </w:r>
    </w:p>
  </w:footnote>
  <w:footnote w:id="46">
    <w:p w14:paraId="5DE7301C" w14:textId="77777777" w:rsidR="009E2F06" w:rsidRPr="00DE71B4" w:rsidRDefault="009E2F06" w:rsidP="00DE71B4">
      <w:pPr>
        <w:pBdr>
          <w:top w:val="nil"/>
          <w:left w:val="nil"/>
          <w:bottom w:val="nil"/>
          <w:right w:val="nil"/>
          <w:between w:val="nil"/>
        </w:pBdr>
        <w:spacing w:before="0" w:after="0" w:line="240" w:lineRule="auto"/>
        <w:rPr>
          <w:color w:val="auto"/>
          <w:sz w:val="20"/>
          <w:szCs w:val="20"/>
        </w:rPr>
      </w:pPr>
      <w:r w:rsidRPr="00DE71B4">
        <w:rPr>
          <w:color w:val="auto"/>
          <w:sz w:val="20"/>
          <w:szCs w:val="20"/>
          <w:vertAlign w:val="superscript"/>
        </w:rPr>
        <w:footnoteRef/>
      </w:r>
      <w:r w:rsidRPr="00DE71B4">
        <w:rPr>
          <w:color w:val="auto"/>
          <w:sz w:val="20"/>
          <w:szCs w:val="20"/>
        </w:rPr>
        <w:t xml:space="preserve"> MOÇAMBIQUE. Lei n. 6/2008, de 9 de julho. </w:t>
      </w:r>
      <w:r w:rsidRPr="00DE71B4">
        <w:rPr>
          <w:i/>
          <w:color w:val="auto"/>
          <w:sz w:val="20"/>
          <w:szCs w:val="20"/>
        </w:rPr>
        <w:t>Dispõe sobre o regime jurídico aplicável à prevenção e combate ao tráfico de pessoas</w:t>
      </w:r>
      <w:r w:rsidRPr="00DE71B4">
        <w:rPr>
          <w:color w:val="auto"/>
          <w:sz w:val="20"/>
          <w:szCs w:val="20"/>
        </w:rPr>
        <w:t>. Boletim da República. Maputo: Imprensa Nacional. p. 220 Disponível em: &lt;</w:t>
      </w:r>
      <w:hyperlink r:id="rId19">
        <w:r w:rsidRPr="00DE71B4">
          <w:rPr>
            <w:color w:val="auto"/>
            <w:sz w:val="20"/>
            <w:szCs w:val="20"/>
            <w:u w:val="single"/>
          </w:rPr>
          <w:t>http://www.ilo.ch/dyn/natlex/docs/ELECTRONIC/86030/96743/F88437680/MOZ86030.pdf</w:t>
        </w:r>
      </w:hyperlink>
      <w:r w:rsidRPr="00DE71B4">
        <w:rPr>
          <w:color w:val="auto"/>
          <w:sz w:val="20"/>
          <w:szCs w:val="20"/>
        </w:rPr>
        <w:t>&gt;. Acesso em: 12 abr. 2020.</w:t>
      </w:r>
    </w:p>
  </w:footnote>
  <w:footnote w:id="47">
    <w:p w14:paraId="092D9424" w14:textId="77777777" w:rsidR="009E2F06" w:rsidRPr="00DE71B4" w:rsidRDefault="009E2F06" w:rsidP="00DE71B4">
      <w:pPr>
        <w:pBdr>
          <w:top w:val="nil"/>
          <w:left w:val="nil"/>
          <w:bottom w:val="nil"/>
          <w:right w:val="nil"/>
          <w:between w:val="nil"/>
        </w:pBdr>
        <w:spacing w:before="0" w:after="0" w:line="240" w:lineRule="auto"/>
        <w:rPr>
          <w:color w:val="auto"/>
          <w:sz w:val="20"/>
          <w:szCs w:val="20"/>
        </w:rPr>
      </w:pPr>
      <w:r w:rsidRPr="00DE71B4">
        <w:rPr>
          <w:color w:val="auto"/>
          <w:sz w:val="20"/>
          <w:szCs w:val="20"/>
          <w:vertAlign w:val="superscript"/>
        </w:rPr>
        <w:footnoteRef/>
      </w:r>
      <w:r w:rsidRPr="00DE71B4">
        <w:rPr>
          <w:color w:val="auto"/>
          <w:sz w:val="20"/>
          <w:szCs w:val="20"/>
        </w:rPr>
        <w:t xml:space="preserve"> MOÇAMBIQUE. Lei n. 35/2014, de 31 de dezembro de 2014. </w:t>
      </w:r>
      <w:r w:rsidRPr="00DE71B4">
        <w:rPr>
          <w:i/>
          <w:color w:val="auto"/>
          <w:sz w:val="20"/>
          <w:szCs w:val="20"/>
        </w:rPr>
        <w:t xml:space="preserve">Lei da Revisão do Código Penal </w:t>
      </w:r>
      <w:r w:rsidRPr="00DE71B4">
        <w:rPr>
          <w:color w:val="auto"/>
          <w:sz w:val="20"/>
          <w:szCs w:val="20"/>
        </w:rPr>
        <w:t>(CP)</w:t>
      </w:r>
      <w:r w:rsidRPr="00DE71B4">
        <w:rPr>
          <w:i/>
          <w:color w:val="auto"/>
          <w:sz w:val="20"/>
          <w:szCs w:val="20"/>
        </w:rPr>
        <w:t xml:space="preserve">. </w:t>
      </w:r>
      <w:r w:rsidRPr="00DE71B4">
        <w:rPr>
          <w:color w:val="auto"/>
          <w:sz w:val="20"/>
          <w:szCs w:val="20"/>
        </w:rPr>
        <w:t xml:space="preserve">Boletim da República. Maputo: Imprensa Nacional. Disponível em: &lt; </w:t>
      </w:r>
      <w:hyperlink r:id="rId20">
        <w:r w:rsidRPr="00DE71B4">
          <w:rPr>
            <w:color w:val="auto"/>
            <w:sz w:val="20"/>
            <w:szCs w:val="20"/>
            <w:u w:val="single"/>
          </w:rPr>
          <w:t>http://www.wlsa.org.mz/wp-content/uploads/2014/11/Lei-35_2014Codigo_Penal.pdf</w:t>
        </w:r>
      </w:hyperlink>
      <w:r w:rsidRPr="00DE71B4">
        <w:rPr>
          <w:color w:val="auto"/>
          <w:sz w:val="20"/>
          <w:szCs w:val="20"/>
        </w:rPr>
        <w:t>&gt;. Acesso em: jun. 2020.</w:t>
      </w:r>
    </w:p>
  </w:footnote>
  <w:footnote w:id="48">
    <w:p w14:paraId="3498E71F" w14:textId="2ABF7161" w:rsidR="009E2F06" w:rsidRPr="00DE71B4" w:rsidRDefault="009E2F06" w:rsidP="00DE71B4">
      <w:pPr>
        <w:pBdr>
          <w:top w:val="nil"/>
          <w:left w:val="nil"/>
          <w:bottom w:val="nil"/>
          <w:right w:val="nil"/>
          <w:between w:val="nil"/>
        </w:pBdr>
        <w:spacing w:before="0" w:after="0" w:line="240" w:lineRule="auto"/>
        <w:rPr>
          <w:color w:val="auto"/>
          <w:sz w:val="20"/>
          <w:szCs w:val="20"/>
        </w:rPr>
      </w:pPr>
      <w:r w:rsidRPr="00DE71B4">
        <w:rPr>
          <w:color w:val="auto"/>
          <w:sz w:val="20"/>
          <w:szCs w:val="20"/>
          <w:vertAlign w:val="superscript"/>
        </w:rPr>
        <w:footnoteRef/>
      </w:r>
      <w:r w:rsidRPr="00DE71B4">
        <w:rPr>
          <w:color w:val="auto"/>
          <w:sz w:val="20"/>
          <w:szCs w:val="20"/>
        </w:rPr>
        <w:t xml:space="preserve"> ZAFFARONI, Eugenio </w:t>
      </w:r>
      <w:proofErr w:type="spellStart"/>
      <w:r w:rsidRPr="00DE71B4">
        <w:rPr>
          <w:color w:val="auto"/>
          <w:sz w:val="20"/>
          <w:szCs w:val="20"/>
        </w:rPr>
        <w:t>Raúl</w:t>
      </w:r>
      <w:proofErr w:type="spellEnd"/>
      <w:r w:rsidRPr="00DE71B4">
        <w:rPr>
          <w:color w:val="auto"/>
          <w:sz w:val="20"/>
          <w:szCs w:val="20"/>
        </w:rPr>
        <w:t xml:space="preserve">. </w:t>
      </w:r>
      <w:proofErr w:type="spellStart"/>
      <w:r w:rsidRPr="00DE71B4">
        <w:rPr>
          <w:i/>
          <w:color w:val="auto"/>
          <w:sz w:val="20"/>
          <w:szCs w:val="20"/>
        </w:rPr>
        <w:t>Derecho</w:t>
      </w:r>
      <w:proofErr w:type="spellEnd"/>
      <w:r w:rsidRPr="00DE71B4">
        <w:rPr>
          <w:i/>
          <w:color w:val="auto"/>
          <w:sz w:val="20"/>
          <w:szCs w:val="20"/>
        </w:rPr>
        <w:t xml:space="preserve"> Penal Humano y poder </w:t>
      </w:r>
      <w:proofErr w:type="spellStart"/>
      <w:r w:rsidRPr="00DE71B4">
        <w:rPr>
          <w:i/>
          <w:color w:val="auto"/>
          <w:sz w:val="20"/>
          <w:szCs w:val="20"/>
        </w:rPr>
        <w:t>en</w:t>
      </w:r>
      <w:proofErr w:type="spellEnd"/>
      <w:r w:rsidRPr="00DE71B4">
        <w:rPr>
          <w:i/>
          <w:color w:val="auto"/>
          <w:sz w:val="20"/>
          <w:szCs w:val="20"/>
        </w:rPr>
        <w:t xml:space="preserve"> </w:t>
      </w:r>
      <w:proofErr w:type="spellStart"/>
      <w:r w:rsidRPr="00DE71B4">
        <w:rPr>
          <w:i/>
          <w:color w:val="auto"/>
          <w:sz w:val="20"/>
          <w:szCs w:val="20"/>
        </w:rPr>
        <w:t>el</w:t>
      </w:r>
      <w:proofErr w:type="spellEnd"/>
      <w:r w:rsidRPr="00DE71B4">
        <w:rPr>
          <w:i/>
          <w:color w:val="auto"/>
          <w:sz w:val="20"/>
          <w:szCs w:val="20"/>
        </w:rPr>
        <w:t xml:space="preserve"> </w:t>
      </w:r>
      <w:proofErr w:type="spellStart"/>
      <w:r w:rsidRPr="00DE71B4">
        <w:rPr>
          <w:i/>
          <w:color w:val="auto"/>
          <w:sz w:val="20"/>
          <w:szCs w:val="20"/>
        </w:rPr>
        <w:t>siglo</w:t>
      </w:r>
      <w:proofErr w:type="spellEnd"/>
      <w:r w:rsidRPr="00DE71B4">
        <w:rPr>
          <w:i/>
          <w:color w:val="auto"/>
          <w:sz w:val="20"/>
          <w:szCs w:val="20"/>
        </w:rPr>
        <w:t xml:space="preserve"> XXI: </w:t>
      </w:r>
      <w:proofErr w:type="gramStart"/>
      <w:r w:rsidRPr="00DE71B4">
        <w:rPr>
          <w:i/>
          <w:color w:val="auto"/>
          <w:sz w:val="20"/>
          <w:szCs w:val="20"/>
        </w:rPr>
        <w:t>Conferencias</w:t>
      </w:r>
      <w:proofErr w:type="gramEnd"/>
      <w:r w:rsidRPr="00DE71B4">
        <w:rPr>
          <w:i/>
          <w:color w:val="auto"/>
          <w:sz w:val="20"/>
          <w:szCs w:val="20"/>
        </w:rPr>
        <w:t xml:space="preserve"> de Guatemala</w:t>
      </w:r>
      <w:r w:rsidRPr="00DE71B4">
        <w:rPr>
          <w:color w:val="auto"/>
          <w:sz w:val="20"/>
          <w:szCs w:val="20"/>
        </w:rPr>
        <w:t>, 2016. Disponível em: &lt;</w:t>
      </w:r>
      <w:hyperlink r:id="rId21">
        <w:r w:rsidRPr="00DE71B4">
          <w:rPr>
            <w:color w:val="auto"/>
            <w:sz w:val="20"/>
            <w:szCs w:val="20"/>
            <w:u w:val="single"/>
          </w:rPr>
          <w:t>http://www.pensamientopenal.com.ar/system/files/2016/10/doctrina44188.pdf</w:t>
        </w:r>
      </w:hyperlink>
      <w:r w:rsidRPr="00DE71B4">
        <w:rPr>
          <w:color w:val="auto"/>
          <w:sz w:val="20"/>
          <w:szCs w:val="20"/>
        </w:rPr>
        <w:t>&gt;. Acesso em: 22 maio 2020.</w:t>
      </w:r>
    </w:p>
  </w:footnote>
  <w:footnote w:id="49">
    <w:p w14:paraId="68E75305" w14:textId="77777777" w:rsidR="009E2F06" w:rsidRPr="00DE71B4" w:rsidRDefault="009E2F06" w:rsidP="00DE71B4">
      <w:pPr>
        <w:pBdr>
          <w:top w:val="nil"/>
          <w:left w:val="nil"/>
          <w:bottom w:val="nil"/>
          <w:right w:val="nil"/>
          <w:between w:val="nil"/>
        </w:pBdr>
        <w:spacing w:before="0" w:after="0" w:line="240" w:lineRule="auto"/>
        <w:rPr>
          <w:color w:val="auto"/>
          <w:sz w:val="20"/>
          <w:szCs w:val="20"/>
        </w:rPr>
      </w:pPr>
      <w:r w:rsidRPr="00DE71B4">
        <w:rPr>
          <w:color w:val="auto"/>
          <w:sz w:val="20"/>
          <w:szCs w:val="20"/>
          <w:vertAlign w:val="superscript"/>
        </w:rPr>
        <w:footnoteRef/>
      </w:r>
      <w:r w:rsidRPr="00DE71B4">
        <w:rPr>
          <w:color w:val="auto"/>
          <w:sz w:val="20"/>
          <w:szCs w:val="20"/>
        </w:rPr>
        <w:t xml:space="preserve"> Esses crimes resultam da dificuldade existente em provar se o crime de Tráfico de Pessoas, o qual pode configurar as diversas formas enunciadas, por este fato são denominados “crimes conexos” ao tráfico de pessoas. Esses crimes resultam da dificuldade existente em se provar o crime de Tráfico de Pessoas, o qual pode configurar as diversas formas enunciadas. Por este fato são denominados “crimes conexos” ao tráfico de pessoas.</w:t>
      </w:r>
    </w:p>
  </w:footnote>
  <w:footnote w:id="50">
    <w:p w14:paraId="0D68E0F4" w14:textId="77777777" w:rsidR="009E2F06" w:rsidRPr="00DE71B4" w:rsidRDefault="009E2F06" w:rsidP="00DE71B4">
      <w:pPr>
        <w:pBdr>
          <w:top w:val="nil"/>
          <w:left w:val="nil"/>
          <w:bottom w:val="nil"/>
          <w:right w:val="nil"/>
          <w:between w:val="nil"/>
        </w:pBdr>
        <w:spacing w:before="0" w:after="0" w:line="240" w:lineRule="auto"/>
        <w:rPr>
          <w:color w:val="auto"/>
          <w:sz w:val="20"/>
          <w:szCs w:val="20"/>
        </w:rPr>
      </w:pPr>
      <w:r w:rsidRPr="00DE71B4">
        <w:rPr>
          <w:color w:val="auto"/>
          <w:sz w:val="20"/>
          <w:szCs w:val="20"/>
          <w:vertAlign w:val="superscript"/>
        </w:rPr>
        <w:footnoteRef/>
      </w:r>
      <w:r w:rsidRPr="00DE71B4">
        <w:rPr>
          <w:color w:val="auto"/>
          <w:sz w:val="20"/>
          <w:szCs w:val="20"/>
        </w:rPr>
        <w:t xml:space="preserve"> Traficar com o fim de obter dinheiro, lucro ou qualquer outra vantagem, um cidadão moçambicano a cidadão estrangeiro, para casamento com o fim de adquirir, comprar, oferecer, vender ou trocar a pessoa para envolvimento em pornografia, exploração sexual e trabalho forçado, escravatura, servidão involuntária e servidão por dívidas. </w:t>
      </w:r>
    </w:p>
  </w:footnote>
  <w:footnote w:id="51">
    <w:p w14:paraId="0B8AA6F8" w14:textId="77777777" w:rsidR="009E2F06" w:rsidRPr="00DE71B4" w:rsidRDefault="009E2F06" w:rsidP="00DE71B4">
      <w:pPr>
        <w:pBdr>
          <w:top w:val="nil"/>
          <w:left w:val="nil"/>
          <w:bottom w:val="nil"/>
          <w:right w:val="nil"/>
          <w:between w:val="nil"/>
        </w:pBdr>
        <w:spacing w:before="0" w:after="0" w:line="240" w:lineRule="auto"/>
        <w:rPr>
          <w:color w:val="auto"/>
          <w:sz w:val="20"/>
          <w:szCs w:val="20"/>
        </w:rPr>
      </w:pPr>
      <w:r w:rsidRPr="00DE71B4">
        <w:rPr>
          <w:color w:val="auto"/>
          <w:sz w:val="20"/>
          <w:szCs w:val="20"/>
          <w:vertAlign w:val="superscript"/>
        </w:rPr>
        <w:footnoteRef/>
      </w:r>
      <w:r w:rsidRPr="00DE71B4">
        <w:rPr>
          <w:color w:val="auto"/>
          <w:sz w:val="20"/>
          <w:szCs w:val="20"/>
        </w:rPr>
        <w:t xml:space="preserve"> Adoptar ou facilitar a adopção de pessoas com a finalidade de envolvimento na prostituição, exploração sexual e trabalho forçado, escravatura, servidão involuntária e servidão por dívidas.</w:t>
      </w:r>
    </w:p>
  </w:footnote>
  <w:footnote w:id="52">
    <w:p w14:paraId="61341FA7" w14:textId="77777777" w:rsidR="009E2F06" w:rsidRPr="00DE71B4" w:rsidRDefault="009E2F06" w:rsidP="00DE71B4">
      <w:pPr>
        <w:pBdr>
          <w:top w:val="nil"/>
          <w:left w:val="nil"/>
          <w:bottom w:val="nil"/>
          <w:right w:val="nil"/>
          <w:between w:val="nil"/>
        </w:pBdr>
        <w:spacing w:before="0" w:after="0" w:line="240" w:lineRule="auto"/>
        <w:rPr>
          <w:color w:val="auto"/>
          <w:sz w:val="20"/>
          <w:szCs w:val="20"/>
        </w:rPr>
      </w:pPr>
      <w:r w:rsidRPr="00DE71B4">
        <w:rPr>
          <w:color w:val="auto"/>
          <w:sz w:val="20"/>
          <w:szCs w:val="20"/>
          <w:vertAlign w:val="superscript"/>
        </w:rPr>
        <w:footnoteRef/>
      </w:r>
      <w:r w:rsidRPr="00DE71B4">
        <w:rPr>
          <w:color w:val="auto"/>
          <w:sz w:val="20"/>
          <w:szCs w:val="20"/>
        </w:rPr>
        <w:t xml:space="preserve"> Recrutar, contratar, adoptar, transportar ou raptar uma pessoa, mediante ameaça ou uso da força, fraude, engano, coação ou intimidação, com a finalidade de remoção ou venda de órgãos da referida pessoa”.</w:t>
      </w:r>
    </w:p>
  </w:footnote>
  <w:footnote w:id="53">
    <w:p w14:paraId="27AF4647" w14:textId="77777777" w:rsidR="009E2F06" w:rsidRPr="00DE71B4" w:rsidRDefault="009E2F06" w:rsidP="00DE71B4">
      <w:pPr>
        <w:pBdr>
          <w:top w:val="nil"/>
          <w:left w:val="nil"/>
          <w:bottom w:val="nil"/>
          <w:right w:val="nil"/>
          <w:between w:val="nil"/>
        </w:pBdr>
        <w:spacing w:before="0" w:after="0" w:line="240" w:lineRule="auto"/>
        <w:rPr>
          <w:color w:val="auto"/>
          <w:sz w:val="20"/>
          <w:szCs w:val="20"/>
        </w:rPr>
      </w:pPr>
      <w:r w:rsidRPr="00DE71B4">
        <w:rPr>
          <w:color w:val="auto"/>
          <w:sz w:val="20"/>
          <w:szCs w:val="20"/>
          <w:vertAlign w:val="superscript"/>
        </w:rPr>
        <w:footnoteRef/>
      </w:r>
      <w:r w:rsidRPr="00DE71B4">
        <w:rPr>
          <w:color w:val="auto"/>
          <w:sz w:val="20"/>
          <w:szCs w:val="20"/>
        </w:rPr>
        <w:t xml:space="preserve"> “Conscientemente arrendar ou subarrendar, ou permitir a utilização de qualquer casa ou estabelecimento com a finalidade de promoção do tráfico de pessoas.</w:t>
      </w:r>
    </w:p>
  </w:footnote>
  <w:footnote w:id="54">
    <w:p w14:paraId="0A27C7E5" w14:textId="77777777" w:rsidR="009E2F06" w:rsidRPr="00DE71B4" w:rsidRDefault="009E2F06" w:rsidP="00DE71B4">
      <w:pPr>
        <w:pBdr>
          <w:top w:val="nil"/>
          <w:left w:val="nil"/>
          <w:bottom w:val="nil"/>
          <w:right w:val="nil"/>
          <w:between w:val="nil"/>
        </w:pBdr>
        <w:spacing w:before="0" w:after="0" w:line="240" w:lineRule="auto"/>
        <w:rPr>
          <w:color w:val="auto"/>
          <w:sz w:val="20"/>
          <w:szCs w:val="20"/>
        </w:rPr>
      </w:pPr>
      <w:r w:rsidRPr="00DE71B4">
        <w:rPr>
          <w:color w:val="auto"/>
          <w:sz w:val="20"/>
          <w:szCs w:val="20"/>
          <w:vertAlign w:val="superscript"/>
        </w:rPr>
        <w:footnoteRef/>
      </w:r>
      <w:r w:rsidRPr="00DE71B4">
        <w:rPr>
          <w:color w:val="auto"/>
          <w:sz w:val="20"/>
          <w:szCs w:val="20"/>
        </w:rPr>
        <w:t xml:space="preserve"> Fazer publicidade, imprimir, transmitir ou distribuir, ou causar a publicidade, publicação, impressão, transmissão ou distribuição, por quaisquer meios, incluindo o uso de tecnologia de informação e a Internet, ou qualquer brochura ou material de propaganda que promova o tráfico de pessoas.</w:t>
      </w:r>
    </w:p>
  </w:footnote>
  <w:footnote w:id="55">
    <w:p w14:paraId="332C5537" w14:textId="77777777" w:rsidR="009E2F06" w:rsidRPr="00DE71B4" w:rsidRDefault="009E2F06" w:rsidP="00DE71B4">
      <w:pPr>
        <w:pBdr>
          <w:top w:val="nil"/>
          <w:left w:val="nil"/>
          <w:bottom w:val="nil"/>
          <w:right w:val="nil"/>
          <w:between w:val="nil"/>
        </w:pBdr>
        <w:spacing w:before="0" w:after="0" w:line="240" w:lineRule="auto"/>
        <w:rPr>
          <w:color w:val="auto"/>
          <w:sz w:val="20"/>
          <w:szCs w:val="20"/>
        </w:rPr>
      </w:pPr>
      <w:r w:rsidRPr="00DE71B4">
        <w:rPr>
          <w:color w:val="auto"/>
          <w:sz w:val="20"/>
          <w:szCs w:val="20"/>
          <w:vertAlign w:val="superscript"/>
        </w:rPr>
        <w:footnoteRef/>
      </w:r>
      <w:r w:rsidRPr="00DE71B4">
        <w:rPr>
          <w:color w:val="auto"/>
          <w:sz w:val="20"/>
          <w:szCs w:val="20"/>
        </w:rPr>
        <w:t xml:space="preserve"> Confiscar, esconder ou destruir o passaporte, os documentos de viagem, documentos ou pertences pessoais das vítimas do tráfico para impedir de abandonar o país ou buscarem ajuda de Governo ou das autoridades competentes.</w:t>
      </w:r>
    </w:p>
  </w:footnote>
  <w:footnote w:id="56">
    <w:p w14:paraId="46CDDB39" w14:textId="77777777" w:rsidR="009E2F06" w:rsidRPr="00DE71B4" w:rsidRDefault="009E2F06" w:rsidP="00DE71B4">
      <w:pPr>
        <w:pBdr>
          <w:top w:val="nil"/>
          <w:left w:val="nil"/>
          <w:bottom w:val="nil"/>
          <w:right w:val="nil"/>
          <w:between w:val="nil"/>
        </w:pBdr>
        <w:spacing w:before="0" w:after="0" w:line="240" w:lineRule="auto"/>
        <w:rPr>
          <w:color w:val="auto"/>
          <w:sz w:val="20"/>
          <w:szCs w:val="20"/>
        </w:rPr>
      </w:pPr>
      <w:r w:rsidRPr="00DE71B4">
        <w:rPr>
          <w:color w:val="auto"/>
          <w:sz w:val="20"/>
          <w:szCs w:val="20"/>
          <w:vertAlign w:val="superscript"/>
        </w:rPr>
        <w:footnoteRef/>
      </w:r>
      <w:r w:rsidRPr="00DE71B4">
        <w:rPr>
          <w:color w:val="auto"/>
          <w:sz w:val="20"/>
          <w:szCs w:val="20"/>
        </w:rPr>
        <w:t xml:space="preserve"> Beneficiar conscientemente, financeiramente ou de outra forma, ou fazer uso do trabalho ou dos serviços de uma pessoa sujeita a uma condição de servidão involuntária, trabalho forçado ou escravatura.</w:t>
      </w:r>
    </w:p>
  </w:footnote>
  <w:footnote w:id="57">
    <w:p w14:paraId="625FF50B" w14:textId="77777777" w:rsidR="009E2F06" w:rsidRPr="00DE71B4" w:rsidRDefault="009E2F06" w:rsidP="00DE71B4">
      <w:pPr>
        <w:pBdr>
          <w:top w:val="nil"/>
          <w:left w:val="nil"/>
          <w:bottom w:val="nil"/>
          <w:right w:val="nil"/>
          <w:between w:val="nil"/>
        </w:pBdr>
        <w:spacing w:before="0" w:after="0" w:line="240" w:lineRule="auto"/>
        <w:rPr>
          <w:color w:val="auto"/>
          <w:sz w:val="20"/>
          <w:szCs w:val="20"/>
        </w:rPr>
      </w:pPr>
      <w:r w:rsidRPr="00DE71B4">
        <w:rPr>
          <w:color w:val="auto"/>
          <w:sz w:val="20"/>
          <w:szCs w:val="20"/>
          <w:vertAlign w:val="superscript"/>
        </w:rPr>
        <w:footnoteRef/>
      </w:r>
      <w:r w:rsidRPr="00DE71B4">
        <w:rPr>
          <w:color w:val="auto"/>
          <w:sz w:val="20"/>
          <w:szCs w:val="20"/>
        </w:rPr>
        <w:t xml:space="preserve"> MOÇAMBIQUE. Lei n. 6/2008, de 9 de julho. </w:t>
      </w:r>
      <w:r w:rsidRPr="00DE71B4">
        <w:rPr>
          <w:i/>
          <w:color w:val="auto"/>
          <w:sz w:val="20"/>
          <w:szCs w:val="20"/>
        </w:rPr>
        <w:t>Dispõe sobre o regime jurídico aplicável à prevenção e combate ao tráfico de pessoas</w:t>
      </w:r>
      <w:r w:rsidRPr="00DE71B4">
        <w:rPr>
          <w:color w:val="auto"/>
          <w:sz w:val="20"/>
          <w:szCs w:val="20"/>
        </w:rPr>
        <w:t xml:space="preserve">. Boletim da República. Maputo: Imprensa Nacional. Disponível em: &lt; </w:t>
      </w:r>
      <w:hyperlink r:id="rId22">
        <w:r w:rsidRPr="00DE71B4">
          <w:rPr>
            <w:color w:val="auto"/>
            <w:sz w:val="20"/>
            <w:szCs w:val="20"/>
            <w:u w:val="single"/>
          </w:rPr>
          <w:t>http://www.ilo.ch/dyn/natlex/docs/ELECTRONIC/86030/96743/F88437680/MOZ86030.pdf</w:t>
        </w:r>
      </w:hyperlink>
      <w:r w:rsidRPr="00DE71B4">
        <w:rPr>
          <w:color w:val="auto"/>
          <w:sz w:val="20"/>
          <w:szCs w:val="20"/>
        </w:rPr>
        <w:t>&gt;. Acesso em: 12 abr. 2020.</w:t>
      </w:r>
    </w:p>
  </w:footnote>
  <w:footnote w:id="58">
    <w:p w14:paraId="164890F3" w14:textId="77777777" w:rsidR="009E2F06" w:rsidRPr="00DE71B4" w:rsidRDefault="009E2F06" w:rsidP="00DE71B4">
      <w:pPr>
        <w:pBdr>
          <w:top w:val="nil"/>
          <w:left w:val="nil"/>
          <w:bottom w:val="nil"/>
          <w:right w:val="nil"/>
          <w:between w:val="nil"/>
        </w:pBdr>
        <w:spacing w:before="0" w:after="0" w:line="240" w:lineRule="auto"/>
        <w:rPr>
          <w:color w:val="auto"/>
          <w:sz w:val="20"/>
          <w:szCs w:val="20"/>
        </w:rPr>
      </w:pPr>
      <w:r w:rsidRPr="00DE71B4">
        <w:rPr>
          <w:color w:val="auto"/>
          <w:sz w:val="20"/>
          <w:szCs w:val="20"/>
          <w:vertAlign w:val="superscript"/>
        </w:rPr>
        <w:footnoteRef/>
      </w:r>
      <w:r w:rsidRPr="00DE71B4">
        <w:rPr>
          <w:color w:val="auto"/>
          <w:sz w:val="20"/>
          <w:szCs w:val="20"/>
        </w:rPr>
        <w:t xml:space="preserve"> MOÇAMBIQUE. Resolução n. 87/2002, de 11 de dezembro de 2004. </w:t>
      </w:r>
      <w:r w:rsidRPr="00DE71B4">
        <w:rPr>
          <w:i/>
          <w:color w:val="auto"/>
          <w:sz w:val="20"/>
          <w:szCs w:val="20"/>
        </w:rPr>
        <w:t>Ratifica o Protocolo Adicional à Convenção das Nações Unidas contra o Crime Organizado Transnacional Relativo à Prevenção, Repressão e Punição do Tráfico de Pessoas, em Especial Mulheres e Crianças.</w:t>
      </w:r>
      <w:r w:rsidRPr="00DE71B4">
        <w:rPr>
          <w:color w:val="auto"/>
          <w:sz w:val="20"/>
          <w:szCs w:val="20"/>
        </w:rPr>
        <w:t xml:space="preserve"> Boletim da República- Conselho de Ministros. Maputo: Imprensa Nacional. p. 2</w:t>
      </w:r>
    </w:p>
  </w:footnote>
  <w:footnote w:id="59">
    <w:p w14:paraId="78ED679B" w14:textId="77777777" w:rsidR="009E2F06" w:rsidRPr="00DE71B4" w:rsidRDefault="009E2F06" w:rsidP="00DE71B4">
      <w:pPr>
        <w:pBdr>
          <w:top w:val="nil"/>
          <w:left w:val="nil"/>
          <w:bottom w:val="nil"/>
          <w:right w:val="nil"/>
          <w:between w:val="nil"/>
        </w:pBdr>
        <w:spacing w:before="0" w:after="0" w:line="240" w:lineRule="auto"/>
        <w:rPr>
          <w:color w:val="auto"/>
          <w:sz w:val="20"/>
          <w:szCs w:val="20"/>
        </w:rPr>
      </w:pPr>
      <w:r w:rsidRPr="00DE71B4">
        <w:rPr>
          <w:color w:val="auto"/>
          <w:sz w:val="20"/>
          <w:szCs w:val="20"/>
          <w:vertAlign w:val="superscript"/>
        </w:rPr>
        <w:footnoteRef/>
      </w:r>
      <w:r w:rsidRPr="00DE71B4">
        <w:rPr>
          <w:color w:val="auto"/>
          <w:sz w:val="20"/>
          <w:szCs w:val="20"/>
        </w:rPr>
        <w:t xml:space="preserve"> MOÇAMBIQUE. Lei n. 6/2008, de 9 de julho. </w:t>
      </w:r>
      <w:r w:rsidRPr="00DE71B4">
        <w:rPr>
          <w:i/>
          <w:color w:val="auto"/>
          <w:sz w:val="20"/>
          <w:szCs w:val="20"/>
        </w:rPr>
        <w:t>Dispõe sobre o regime jurídico aplicável à prevenção e combate ao tráfico de pessoas</w:t>
      </w:r>
      <w:r w:rsidRPr="00DE71B4">
        <w:rPr>
          <w:color w:val="auto"/>
          <w:sz w:val="20"/>
          <w:szCs w:val="20"/>
        </w:rPr>
        <w:t xml:space="preserve">. Boletim da República. Maputo: Imprensa Nacional. Disponível em: &lt; </w:t>
      </w:r>
      <w:hyperlink r:id="rId23">
        <w:r w:rsidRPr="00DE71B4">
          <w:rPr>
            <w:color w:val="auto"/>
            <w:sz w:val="20"/>
            <w:szCs w:val="20"/>
            <w:u w:val="single"/>
          </w:rPr>
          <w:t>http://www.ilo.ch/dyn/natlex/docs/ELECTRONIC/86030/96743/F88437680/MOZ86030.pdf</w:t>
        </w:r>
      </w:hyperlink>
      <w:r w:rsidRPr="00DE71B4">
        <w:rPr>
          <w:color w:val="auto"/>
          <w:sz w:val="20"/>
          <w:szCs w:val="20"/>
        </w:rPr>
        <w:t>&gt;. Acesso em: 12 abr. 2020.</w:t>
      </w:r>
    </w:p>
  </w:footnote>
  <w:footnote w:id="60">
    <w:p w14:paraId="46ACA164" w14:textId="77777777" w:rsidR="009E2F06" w:rsidRPr="00DE71B4" w:rsidRDefault="009E2F06" w:rsidP="00DE71B4">
      <w:pPr>
        <w:pBdr>
          <w:top w:val="nil"/>
          <w:left w:val="nil"/>
          <w:bottom w:val="nil"/>
          <w:right w:val="nil"/>
          <w:between w:val="nil"/>
        </w:pBdr>
        <w:spacing w:before="0" w:after="0" w:line="240" w:lineRule="auto"/>
        <w:rPr>
          <w:color w:val="auto"/>
          <w:sz w:val="20"/>
          <w:szCs w:val="20"/>
          <w:lang w:val="en-US"/>
        </w:rPr>
      </w:pPr>
      <w:r w:rsidRPr="00DE71B4">
        <w:rPr>
          <w:color w:val="auto"/>
          <w:sz w:val="20"/>
          <w:szCs w:val="20"/>
          <w:vertAlign w:val="superscript"/>
        </w:rPr>
        <w:footnoteRef/>
      </w:r>
      <w:r w:rsidRPr="00DE71B4">
        <w:rPr>
          <w:color w:val="auto"/>
          <w:sz w:val="20"/>
          <w:szCs w:val="20"/>
        </w:rPr>
        <w:t xml:space="preserve"> UNESCO. </w:t>
      </w:r>
      <w:r w:rsidRPr="00DE71B4">
        <w:rPr>
          <w:i/>
          <w:color w:val="auto"/>
          <w:sz w:val="20"/>
          <w:szCs w:val="20"/>
        </w:rPr>
        <w:t>Tráfico de Pessoas em Moçambique: Causas Principais e Recomendações.</w:t>
      </w:r>
      <w:r w:rsidRPr="00DE71B4">
        <w:rPr>
          <w:color w:val="auto"/>
          <w:sz w:val="20"/>
          <w:szCs w:val="20"/>
        </w:rPr>
        <w:t xml:space="preserve"> Police </w:t>
      </w:r>
      <w:proofErr w:type="spellStart"/>
      <w:r w:rsidRPr="00DE71B4">
        <w:rPr>
          <w:color w:val="auto"/>
          <w:sz w:val="20"/>
          <w:szCs w:val="20"/>
        </w:rPr>
        <w:t>Paper</w:t>
      </w:r>
      <w:proofErr w:type="spellEnd"/>
      <w:r w:rsidRPr="00DE71B4">
        <w:rPr>
          <w:color w:val="auto"/>
          <w:sz w:val="20"/>
          <w:szCs w:val="20"/>
        </w:rPr>
        <w:t xml:space="preserve"> nº14.1 (P), Série de relatórios sobre a Pobreza. </w:t>
      </w:r>
      <w:r w:rsidRPr="00DE71B4">
        <w:rPr>
          <w:color w:val="auto"/>
          <w:sz w:val="20"/>
          <w:szCs w:val="20"/>
          <w:lang w:val="en-US"/>
        </w:rPr>
        <w:t>Paris, 2006. p. 1.</w:t>
      </w:r>
    </w:p>
  </w:footnote>
  <w:footnote w:id="61">
    <w:p w14:paraId="67B84B5F" w14:textId="37FEDD22" w:rsidR="009E2F06" w:rsidRPr="00DE71B4" w:rsidRDefault="009E2F06" w:rsidP="00DE71B4">
      <w:pPr>
        <w:pBdr>
          <w:top w:val="nil"/>
          <w:left w:val="nil"/>
          <w:bottom w:val="nil"/>
          <w:right w:val="nil"/>
          <w:between w:val="nil"/>
        </w:pBdr>
        <w:spacing w:before="0" w:after="0" w:line="240" w:lineRule="auto"/>
        <w:rPr>
          <w:color w:val="auto"/>
          <w:sz w:val="20"/>
          <w:szCs w:val="20"/>
          <w:lang w:val="en-US"/>
        </w:rPr>
      </w:pPr>
      <w:r w:rsidRPr="00DE71B4">
        <w:rPr>
          <w:color w:val="auto"/>
          <w:sz w:val="20"/>
          <w:szCs w:val="20"/>
          <w:vertAlign w:val="superscript"/>
        </w:rPr>
        <w:footnoteRef/>
      </w:r>
      <w:r w:rsidRPr="00DE71B4">
        <w:rPr>
          <w:color w:val="auto"/>
          <w:sz w:val="20"/>
          <w:szCs w:val="20"/>
          <w:lang w:val="en-US"/>
        </w:rPr>
        <w:t xml:space="preserve"> UNODC. </w:t>
      </w:r>
      <w:r w:rsidRPr="00DE71B4">
        <w:rPr>
          <w:i/>
          <w:color w:val="auto"/>
          <w:sz w:val="20"/>
          <w:szCs w:val="20"/>
          <w:lang w:val="en-US"/>
        </w:rPr>
        <w:t>Global Report on Trafficking in Persons 2016</w:t>
      </w:r>
      <w:r w:rsidRPr="00DE71B4">
        <w:rPr>
          <w:color w:val="auto"/>
          <w:sz w:val="20"/>
          <w:szCs w:val="20"/>
          <w:lang w:val="en-US"/>
        </w:rPr>
        <w:t xml:space="preserve">. Nova York: </w:t>
      </w:r>
      <w:proofErr w:type="spellStart"/>
      <w:r w:rsidRPr="00DE71B4">
        <w:rPr>
          <w:color w:val="auto"/>
          <w:sz w:val="20"/>
          <w:szCs w:val="20"/>
          <w:lang w:val="en-US"/>
        </w:rPr>
        <w:t>Publicação</w:t>
      </w:r>
      <w:proofErr w:type="spellEnd"/>
      <w:r w:rsidRPr="00DE71B4">
        <w:rPr>
          <w:color w:val="auto"/>
          <w:sz w:val="20"/>
          <w:szCs w:val="20"/>
          <w:lang w:val="en-US"/>
        </w:rPr>
        <w:t xml:space="preserve"> das </w:t>
      </w:r>
      <w:proofErr w:type="spellStart"/>
      <w:r w:rsidRPr="00DE71B4">
        <w:rPr>
          <w:color w:val="auto"/>
          <w:sz w:val="20"/>
          <w:szCs w:val="20"/>
          <w:lang w:val="en-US"/>
        </w:rPr>
        <w:t>Nações</w:t>
      </w:r>
      <w:proofErr w:type="spellEnd"/>
      <w:r w:rsidRPr="00DE71B4">
        <w:rPr>
          <w:color w:val="auto"/>
          <w:sz w:val="20"/>
          <w:szCs w:val="20"/>
          <w:lang w:val="en-US"/>
        </w:rPr>
        <w:t xml:space="preserve"> </w:t>
      </w:r>
      <w:proofErr w:type="spellStart"/>
      <w:r w:rsidRPr="00DE71B4">
        <w:rPr>
          <w:color w:val="auto"/>
          <w:sz w:val="20"/>
          <w:szCs w:val="20"/>
          <w:lang w:val="en-US"/>
        </w:rPr>
        <w:t>Unidas</w:t>
      </w:r>
      <w:proofErr w:type="spellEnd"/>
      <w:r w:rsidRPr="00DE71B4">
        <w:rPr>
          <w:color w:val="auto"/>
          <w:sz w:val="20"/>
          <w:szCs w:val="20"/>
          <w:lang w:val="en-US"/>
        </w:rPr>
        <w:t xml:space="preserve">. </w:t>
      </w:r>
      <w:r w:rsidRPr="00DE71B4">
        <w:rPr>
          <w:color w:val="auto"/>
          <w:sz w:val="20"/>
          <w:szCs w:val="20"/>
        </w:rPr>
        <w:t>2016. p. 19. Disponível em: &lt;</w:t>
      </w:r>
      <w:hyperlink r:id="rId24">
        <w:r w:rsidRPr="00DE71B4">
          <w:rPr>
            <w:color w:val="auto"/>
            <w:sz w:val="20"/>
            <w:szCs w:val="20"/>
            <w:u w:val="single"/>
          </w:rPr>
          <w:t>https://www.unodc.org/documents/data-and-analysis/glotip/2016_Global_Report_on_Trafficking_in_Persons.pdf</w:t>
        </w:r>
      </w:hyperlink>
      <w:r w:rsidRPr="00DE71B4">
        <w:rPr>
          <w:color w:val="auto"/>
          <w:sz w:val="20"/>
          <w:szCs w:val="20"/>
        </w:rPr>
        <w:t xml:space="preserve">&gt;. </w:t>
      </w:r>
      <w:proofErr w:type="spellStart"/>
      <w:r w:rsidRPr="00DE71B4">
        <w:rPr>
          <w:color w:val="auto"/>
          <w:sz w:val="20"/>
          <w:szCs w:val="20"/>
          <w:lang w:val="en-US"/>
        </w:rPr>
        <w:t>Acesso</w:t>
      </w:r>
      <w:proofErr w:type="spellEnd"/>
      <w:r w:rsidRPr="00DE71B4">
        <w:rPr>
          <w:color w:val="auto"/>
          <w:sz w:val="20"/>
          <w:szCs w:val="20"/>
          <w:lang w:val="en-US"/>
        </w:rPr>
        <w:t xml:space="preserve"> </w:t>
      </w:r>
      <w:proofErr w:type="spellStart"/>
      <w:r w:rsidRPr="00DE71B4">
        <w:rPr>
          <w:color w:val="auto"/>
          <w:sz w:val="20"/>
          <w:szCs w:val="20"/>
          <w:lang w:val="en-US"/>
        </w:rPr>
        <w:t>em</w:t>
      </w:r>
      <w:proofErr w:type="spellEnd"/>
      <w:r w:rsidRPr="00DE71B4">
        <w:rPr>
          <w:color w:val="auto"/>
          <w:sz w:val="20"/>
          <w:szCs w:val="20"/>
          <w:lang w:val="en-US"/>
        </w:rPr>
        <w:t xml:space="preserve">: 18 </w:t>
      </w:r>
      <w:proofErr w:type="spellStart"/>
      <w:r w:rsidRPr="00DE71B4">
        <w:rPr>
          <w:color w:val="auto"/>
          <w:sz w:val="20"/>
          <w:szCs w:val="20"/>
          <w:lang w:val="en-US"/>
        </w:rPr>
        <w:t>maio</w:t>
      </w:r>
      <w:proofErr w:type="spellEnd"/>
      <w:r w:rsidRPr="00DE71B4">
        <w:rPr>
          <w:color w:val="auto"/>
          <w:sz w:val="20"/>
          <w:szCs w:val="20"/>
          <w:lang w:val="en-US"/>
        </w:rPr>
        <w:t xml:space="preserve"> 2020. </w:t>
      </w:r>
    </w:p>
  </w:footnote>
  <w:footnote w:id="62">
    <w:p w14:paraId="243077BF" w14:textId="1A5FBFCA" w:rsidR="009E2F06" w:rsidRPr="00DE71B4" w:rsidRDefault="009E2F06" w:rsidP="00DE71B4">
      <w:pPr>
        <w:pBdr>
          <w:top w:val="nil"/>
          <w:left w:val="nil"/>
          <w:bottom w:val="nil"/>
          <w:right w:val="nil"/>
          <w:between w:val="nil"/>
        </w:pBdr>
        <w:spacing w:before="0" w:after="0" w:line="240" w:lineRule="auto"/>
        <w:rPr>
          <w:color w:val="auto"/>
          <w:sz w:val="20"/>
          <w:szCs w:val="20"/>
          <w:lang w:val="en-US"/>
        </w:rPr>
      </w:pPr>
      <w:r w:rsidRPr="00DE71B4">
        <w:rPr>
          <w:color w:val="auto"/>
          <w:sz w:val="20"/>
          <w:szCs w:val="20"/>
          <w:vertAlign w:val="superscript"/>
        </w:rPr>
        <w:footnoteRef/>
      </w:r>
      <w:r w:rsidRPr="00DE71B4">
        <w:rPr>
          <w:color w:val="auto"/>
          <w:sz w:val="20"/>
          <w:szCs w:val="20"/>
          <w:lang w:val="en-US"/>
        </w:rPr>
        <w:t xml:space="preserve"> UNODC. </w:t>
      </w:r>
      <w:r w:rsidRPr="00DE71B4">
        <w:rPr>
          <w:i/>
          <w:color w:val="auto"/>
          <w:sz w:val="20"/>
          <w:szCs w:val="20"/>
          <w:lang w:val="en-US"/>
        </w:rPr>
        <w:t>Global Report on Trafficking in Persons 2016</w:t>
      </w:r>
      <w:r w:rsidRPr="00DE71B4">
        <w:rPr>
          <w:color w:val="auto"/>
          <w:sz w:val="20"/>
          <w:szCs w:val="20"/>
          <w:lang w:val="en-US"/>
        </w:rPr>
        <w:t xml:space="preserve">. </w:t>
      </w:r>
      <w:r w:rsidRPr="00DE71B4">
        <w:rPr>
          <w:color w:val="auto"/>
          <w:sz w:val="20"/>
          <w:szCs w:val="20"/>
        </w:rPr>
        <w:t>Nova York: Publicação das Nações Unidas. 2016. p. 19. Disponível em: &lt;</w:t>
      </w:r>
      <w:hyperlink r:id="rId25">
        <w:r w:rsidRPr="00DE71B4">
          <w:rPr>
            <w:color w:val="auto"/>
            <w:sz w:val="20"/>
            <w:szCs w:val="20"/>
            <w:u w:val="single"/>
          </w:rPr>
          <w:t>https://www.unodc.org/documents/data-and-analysis/glotip/2016_Global_Report_on_Trafficking_in_Persons.pdf</w:t>
        </w:r>
      </w:hyperlink>
      <w:r w:rsidRPr="00DE71B4">
        <w:rPr>
          <w:color w:val="auto"/>
          <w:sz w:val="20"/>
          <w:szCs w:val="20"/>
        </w:rPr>
        <w:t xml:space="preserve">&gt;. </w:t>
      </w:r>
      <w:proofErr w:type="spellStart"/>
      <w:r w:rsidRPr="00DE71B4">
        <w:rPr>
          <w:color w:val="auto"/>
          <w:sz w:val="20"/>
          <w:szCs w:val="20"/>
          <w:lang w:val="en-US"/>
        </w:rPr>
        <w:t>Acesso</w:t>
      </w:r>
      <w:proofErr w:type="spellEnd"/>
      <w:r w:rsidRPr="00DE71B4">
        <w:rPr>
          <w:color w:val="auto"/>
          <w:sz w:val="20"/>
          <w:szCs w:val="20"/>
          <w:lang w:val="en-US"/>
        </w:rPr>
        <w:t xml:space="preserve"> </w:t>
      </w:r>
      <w:proofErr w:type="spellStart"/>
      <w:r w:rsidRPr="00DE71B4">
        <w:rPr>
          <w:color w:val="auto"/>
          <w:sz w:val="20"/>
          <w:szCs w:val="20"/>
          <w:lang w:val="en-US"/>
        </w:rPr>
        <w:t>em</w:t>
      </w:r>
      <w:proofErr w:type="spellEnd"/>
      <w:r w:rsidRPr="00DE71B4">
        <w:rPr>
          <w:color w:val="auto"/>
          <w:sz w:val="20"/>
          <w:szCs w:val="20"/>
          <w:lang w:val="en-US"/>
        </w:rPr>
        <w:t xml:space="preserve">: 18 </w:t>
      </w:r>
      <w:proofErr w:type="spellStart"/>
      <w:r w:rsidRPr="00DE71B4">
        <w:rPr>
          <w:color w:val="auto"/>
          <w:sz w:val="20"/>
          <w:szCs w:val="20"/>
          <w:lang w:val="en-US"/>
        </w:rPr>
        <w:t>maio</w:t>
      </w:r>
      <w:proofErr w:type="spellEnd"/>
      <w:r w:rsidRPr="00DE71B4">
        <w:rPr>
          <w:color w:val="auto"/>
          <w:sz w:val="20"/>
          <w:szCs w:val="20"/>
          <w:lang w:val="en-US"/>
        </w:rPr>
        <w:t xml:space="preserve"> 2020. </w:t>
      </w:r>
    </w:p>
  </w:footnote>
  <w:footnote w:id="63">
    <w:p w14:paraId="726E9401" w14:textId="447E6DEB" w:rsidR="009E2F06" w:rsidRPr="00DE71B4" w:rsidRDefault="009E2F06" w:rsidP="00DE71B4">
      <w:pPr>
        <w:pBdr>
          <w:top w:val="nil"/>
          <w:left w:val="nil"/>
          <w:bottom w:val="nil"/>
          <w:right w:val="nil"/>
          <w:between w:val="nil"/>
        </w:pBdr>
        <w:spacing w:before="0" w:after="0" w:line="240" w:lineRule="auto"/>
        <w:rPr>
          <w:color w:val="auto"/>
          <w:sz w:val="20"/>
          <w:szCs w:val="20"/>
        </w:rPr>
      </w:pPr>
      <w:r w:rsidRPr="00DE71B4">
        <w:rPr>
          <w:color w:val="auto"/>
          <w:sz w:val="20"/>
          <w:szCs w:val="20"/>
          <w:vertAlign w:val="superscript"/>
        </w:rPr>
        <w:footnoteRef/>
      </w:r>
      <w:r w:rsidRPr="00DE71B4">
        <w:rPr>
          <w:color w:val="auto"/>
          <w:sz w:val="20"/>
          <w:szCs w:val="20"/>
          <w:lang w:val="en-US"/>
        </w:rPr>
        <w:t xml:space="preserve"> UNODC. </w:t>
      </w:r>
      <w:r w:rsidRPr="00DE71B4">
        <w:rPr>
          <w:i/>
          <w:color w:val="auto"/>
          <w:sz w:val="20"/>
          <w:szCs w:val="20"/>
          <w:lang w:val="en-US"/>
        </w:rPr>
        <w:t>Global Report on Trafficking in Persons in 2009</w:t>
      </w:r>
      <w:r w:rsidRPr="00DE71B4">
        <w:rPr>
          <w:color w:val="auto"/>
          <w:sz w:val="20"/>
          <w:szCs w:val="20"/>
          <w:lang w:val="en-US"/>
        </w:rPr>
        <w:t xml:space="preserve">. </w:t>
      </w:r>
      <w:r w:rsidRPr="00DE71B4">
        <w:rPr>
          <w:color w:val="auto"/>
          <w:sz w:val="20"/>
          <w:szCs w:val="20"/>
        </w:rPr>
        <w:t xml:space="preserve">Nova York: Publicação das Nações Unidas. 2009. Disponível em: &lt; </w:t>
      </w:r>
      <w:hyperlink r:id="rId26">
        <w:r w:rsidRPr="00DE71B4">
          <w:rPr>
            <w:color w:val="auto"/>
            <w:sz w:val="20"/>
            <w:szCs w:val="20"/>
            <w:u w:val="single"/>
          </w:rPr>
          <w:t>https://www.unodc.org/documents/Global_Report_on_TIP.pdf</w:t>
        </w:r>
      </w:hyperlink>
      <w:r w:rsidRPr="00DE71B4">
        <w:rPr>
          <w:color w:val="auto"/>
          <w:sz w:val="20"/>
          <w:szCs w:val="20"/>
        </w:rPr>
        <w:t>&gt;. Acesso em: 11 maio 2020. </w:t>
      </w:r>
    </w:p>
  </w:footnote>
  <w:footnote w:id="64">
    <w:p w14:paraId="1730DE5B" w14:textId="77777777" w:rsidR="009E2F06" w:rsidRPr="00DE71B4" w:rsidRDefault="009E2F06" w:rsidP="00DE71B4">
      <w:pPr>
        <w:pBdr>
          <w:top w:val="nil"/>
          <w:left w:val="nil"/>
          <w:bottom w:val="nil"/>
          <w:right w:val="nil"/>
          <w:between w:val="nil"/>
        </w:pBdr>
        <w:spacing w:before="0" w:after="0" w:line="240" w:lineRule="auto"/>
        <w:rPr>
          <w:color w:val="auto"/>
          <w:sz w:val="20"/>
          <w:szCs w:val="20"/>
        </w:rPr>
      </w:pPr>
      <w:r w:rsidRPr="00DE71B4">
        <w:rPr>
          <w:color w:val="auto"/>
          <w:sz w:val="20"/>
          <w:szCs w:val="20"/>
          <w:vertAlign w:val="superscript"/>
        </w:rPr>
        <w:footnoteRef/>
      </w:r>
      <w:r w:rsidRPr="00DE71B4">
        <w:rPr>
          <w:color w:val="auto"/>
          <w:sz w:val="20"/>
          <w:szCs w:val="20"/>
        </w:rPr>
        <w:t xml:space="preserve"> UNESCO. </w:t>
      </w:r>
      <w:r w:rsidRPr="00DE71B4">
        <w:rPr>
          <w:i/>
          <w:color w:val="auto"/>
          <w:sz w:val="20"/>
          <w:szCs w:val="20"/>
        </w:rPr>
        <w:t>Tráfico de Pessoas em Moçambique: Causas Principais e Recomendações.</w:t>
      </w:r>
      <w:r w:rsidRPr="00DE71B4">
        <w:rPr>
          <w:color w:val="auto"/>
          <w:sz w:val="20"/>
          <w:szCs w:val="20"/>
        </w:rPr>
        <w:t xml:space="preserve"> Police </w:t>
      </w:r>
      <w:proofErr w:type="spellStart"/>
      <w:r w:rsidRPr="00DE71B4">
        <w:rPr>
          <w:color w:val="auto"/>
          <w:sz w:val="20"/>
          <w:szCs w:val="20"/>
        </w:rPr>
        <w:t>Paper</w:t>
      </w:r>
      <w:proofErr w:type="spellEnd"/>
      <w:r w:rsidRPr="00DE71B4">
        <w:rPr>
          <w:color w:val="auto"/>
          <w:sz w:val="20"/>
          <w:szCs w:val="20"/>
        </w:rPr>
        <w:t xml:space="preserve"> nº14.1 (P), Série de relatórios sobre a Pobreza. Paris, 2006.</w:t>
      </w:r>
    </w:p>
  </w:footnote>
  <w:footnote w:id="65">
    <w:p w14:paraId="48CF036D" w14:textId="77777777" w:rsidR="009E2F06" w:rsidRPr="00DE71B4" w:rsidRDefault="009E2F06" w:rsidP="00DE71B4">
      <w:pPr>
        <w:pBdr>
          <w:top w:val="nil"/>
          <w:left w:val="nil"/>
          <w:bottom w:val="nil"/>
          <w:right w:val="nil"/>
          <w:between w:val="nil"/>
        </w:pBdr>
        <w:spacing w:before="0" w:after="0" w:line="240" w:lineRule="auto"/>
        <w:rPr>
          <w:color w:val="auto"/>
          <w:sz w:val="20"/>
          <w:szCs w:val="20"/>
        </w:rPr>
      </w:pPr>
      <w:r w:rsidRPr="00DE71B4">
        <w:rPr>
          <w:color w:val="auto"/>
          <w:sz w:val="20"/>
          <w:szCs w:val="20"/>
          <w:vertAlign w:val="superscript"/>
        </w:rPr>
        <w:footnoteRef/>
      </w:r>
      <w:r w:rsidRPr="00DE71B4">
        <w:rPr>
          <w:color w:val="auto"/>
          <w:sz w:val="20"/>
          <w:szCs w:val="20"/>
        </w:rPr>
        <w:t xml:space="preserve"> UNESCO. </w:t>
      </w:r>
      <w:r w:rsidRPr="00DE71B4">
        <w:rPr>
          <w:i/>
          <w:color w:val="auto"/>
          <w:sz w:val="20"/>
          <w:szCs w:val="20"/>
        </w:rPr>
        <w:t>Tráfico de Pessoas em Moçambique: Causas Principais e Recomendações.</w:t>
      </w:r>
      <w:r w:rsidRPr="00DE71B4">
        <w:rPr>
          <w:color w:val="auto"/>
          <w:sz w:val="20"/>
          <w:szCs w:val="20"/>
        </w:rPr>
        <w:t xml:space="preserve"> Police </w:t>
      </w:r>
      <w:proofErr w:type="spellStart"/>
      <w:r w:rsidRPr="00DE71B4">
        <w:rPr>
          <w:color w:val="auto"/>
          <w:sz w:val="20"/>
          <w:szCs w:val="20"/>
        </w:rPr>
        <w:t>Paper</w:t>
      </w:r>
      <w:proofErr w:type="spellEnd"/>
      <w:r w:rsidRPr="00DE71B4">
        <w:rPr>
          <w:color w:val="auto"/>
          <w:sz w:val="20"/>
          <w:szCs w:val="20"/>
        </w:rPr>
        <w:t xml:space="preserve"> nº14.1 (P), Série de relatórios sobre a Pobreza. Paris, 2006.</w:t>
      </w:r>
    </w:p>
  </w:footnote>
  <w:footnote w:id="66">
    <w:p w14:paraId="48C3598B" w14:textId="77777777" w:rsidR="009E2F06" w:rsidRPr="00DE71B4" w:rsidRDefault="009E2F06" w:rsidP="00DE71B4">
      <w:pPr>
        <w:pBdr>
          <w:top w:val="nil"/>
          <w:left w:val="nil"/>
          <w:bottom w:val="nil"/>
          <w:right w:val="nil"/>
          <w:between w:val="nil"/>
        </w:pBdr>
        <w:spacing w:before="0" w:after="0" w:line="240" w:lineRule="auto"/>
        <w:rPr>
          <w:color w:val="auto"/>
          <w:sz w:val="20"/>
          <w:szCs w:val="20"/>
        </w:rPr>
      </w:pPr>
      <w:r w:rsidRPr="00DE71B4">
        <w:rPr>
          <w:color w:val="auto"/>
          <w:sz w:val="20"/>
          <w:szCs w:val="20"/>
          <w:vertAlign w:val="superscript"/>
        </w:rPr>
        <w:footnoteRef/>
      </w:r>
      <w:r w:rsidRPr="00DE71B4">
        <w:rPr>
          <w:color w:val="auto"/>
          <w:sz w:val="20"/>
          <w:szCs w:val="20"/>
        </w:rPr>
        <w:t xml:space="preserve"> UNESCO. </w:t>
      </w:r>
      <w:r w:rsidRPr="00DE71B4">
        <w:rPr>
          <w:i/>
          <w:color w:val="auto"/>
          <w:sz w:val="20"/>
          <w:szCs w:val="20"/>
        </w:rPr>
        <w:t>Tráfico de Pessoas em Moçambique: Causas Principais e Recomendações.</w:t>
      </w:r>
      <w:r w:rsidRPr="00DE71B4">
        <w:rPr>
          <w:color w:val="auto"/>
          <w:sz w:val="20"/>
          <w:szCs w:val="20"/>
        </w:rPr>
        <w:t xml:space="preserve"> Police </w:t>
      </w:r>
      <w:proofErr w:type="spellStart"/>
      <w:r w:rsidRPr="00DE71B4">
        <w:rPr>
          <w:color w:val="auto"/>
          <w:sz w:val="20"/>
          <w:szCs w:val="20"/>
        </w:rPr>
        <w:t>Paper</w:t>
      </w:r>
      <w:proofErr w:type="spellEnd"/>
      <w:r w:rsidRPr="00DE71B4">
        <w:rPr>
          <w:color w:val="auto"/>
          <w:sz w:val="20"/>
          <w:szCs w:val="20"/>
        </w:rPr>
        <w:t xml:space="preserve"> nº14.1 (P), Série de relatórios sobre a Pobreza. Paris, 2006.</w:t>
      </w:r>
    </w:p>
  </w:footnote>
  <w:footnote w:id="67">
    <w:p w14:paraId="094F0763" w14:textId="77777777" w:rsidR="009E2F06" w:rsidRPr="00DE71B4" w:rsidRDefault="009E2F06" w:rsidP="00DE71B4">
      <w:pPr>
        <w:pBdr>
          <w:top w:val="nil"/>
          <w:left w:val="nil"/>
          <w:bottom w:val="nil"/>
          <w:right w:val="nil"/>
          <w:between w:val="nil"/>
        </w:pBdr>
        <w:spacing w:before="0" w:after="0" w:line="240" w:lineRule="auto"/>
        <w:rPr>
          <w:color w:val="auto"/>
          <w:sz w:val="20"/>
          <w:szCs w:val="20"/>
        </w:rPr>
      </w:pPr>
      <w:r w:rsidRPr="00DE71B4">
        <w:rPr>
          <w:color w:val="auto"/>
          <w:sz w:val="20"/>
          <w:szCs w:val="20"/>
          <w:vertAlign w:val="superscript"/>
        </w:rPr>
        <w:footnoteRef/>
      </w:r>
      <w:r w:rsidRPr="00DE71B4">
        <w:rPr>
          <w:color w:val="auto"/>
          <w:sz w:val="20"/>
          <w:szCs w:val="20"/>
        </w:rPr>
        <w:t xml:space="preserve"> CORRÊA DA SILVA, </w:t>
      </w:r>
      <w:proofErr w:type="spellStart"/>
      <w:r w:rsidRPr="00DE71B4">
        <w:rPr>
          <w:color w:val="auto"/>
          <w:sz w:val="20"/>
          <w:szCs w:val="20"/>
        </w:rPr>
        <w:t>Waldimeiry</w:t>
      </w:r>
      <w:proofErr w:type="spellEnd"/>
      <w:r w:rsidRPr="00DE71B4">
        <w:rPr>
          <w:color w:val="auto"/>
          <w:sz w:val="20"/>
          <w:szCs w:val="20"/>
        </w:rPr>
        <w:t xml:space="preserve">. </w:t>
      </w:r>
      <w:r w:rsidRPr="00DE71B4">
        <w:rPr>
          <w:i/>
          <w:color w:val="auto"/>
          <w:sz w:val="20"/>
          <w:szCs w:val="20"/>
        </w:rPr>
        <w:t>Regime Internacional de Enfrentamento ao Tráfico de Pessoas: avanços e desafios para a proteção dos direitos humanos</w:t>
      </w:r>
      <w:r w:rsidRPr="00DE71B4">
        <w:rPr>
          <w:color w:val="auto"/>
          <w:sz w:val="20"/>
          <w:szCs w:val="20"/>
        </w:rPr>
        <w:t xml:space="preserve">. Rio de Janeiro: </w:t>
      </w:r>
      <w:proofErr w:type="spellStart"/>
      <w:r w:rsidRPr="00DE71B4">
        <w:rPr>
          <w:color w:val="auto"/>
          <w:sz w:val="20"/>
          <w:szCs w:val="20"/>
        </w:rPr>
        <w:t>Lumen</w:t>
      </w:r>
      <w:proofErr w:type="spellEnd"/>
      <w:r w:rsidRPr="00DE71B4">
        <w:rPr>
          <w:color w:val="auto"/>
          <w:sz w:val="20"/>
          <w:szCs w:val="20"/>
        </w:rPr>
        <w:t xml:space="preserve"> Juris, 2018.</w:t>
      </w:r>
    </w:p>
  </w:footnote>
  <w:footnote w:id="68">
    <w:p w14:paraId="37DB04EE" w14:textId="77777777" w:rsidR="009E2F06" w:rsidRPr="00DE71B4" w:rsidRDefault="009E2F06" w:rsidP="00DE71B4">
      <w:pPr>
        <w:pBdr>
          <w:top w:val="nil"/>
          <w:left w:val="nil"/>
          <w:bottom w:val="nil"/>
          <w:right w:val="nil"/>
          <w:between w:val="nil"/>
        </w:pBdr>
        <w:spacing w:before="0" w:after="0" w:line="240" w:lineRule="auto"/>
        <w:rPr>
          <w:color w:val="auto"/>
          <w:sz w:val="20"/>
          <w:szCs w:val="20"/>
        </w:rPr>
      </w:pPr>
      <w:r w:rsidRPr="00DE71B4">
        <w:rPr>
          <w:color w:val="auto"/>
          <w:sz w:val="20"/>
          <w:szCs w:val="20"/>
          <w:vertAlign w:val="superscript"/>
        </w:rPr>
        <w:footnoteRef/>
      </w:r>
      <w:r w:rsidRPr="00DE71B4">
        <w:rPr>
          <w:color w:val="auto"/>
          <w:sz w:val="20"/>
          <w:szCs w:val="20"/>
        </w:rPr>
        <w:t xml:space="preserve"> RODA, Arménio da. </w:t>
      </w:r>
      <w:r w:rsidRPr="00DE71B4">
        <w:rPr>
          <w:i/>
          <w:color w:val="auto"/>
          <w:sz w:val="20"/>
          <w:szCs w:val="20"/>
        </w:rPr>
        <w:t>A dimensão global do tráfico humano: o tráfico de pessoas aos olhos de Moçambique.</w:t>
      </w:r>
      <w:r w:rsidRPr="00DE71B4">
        <w:rPr>
          <w:color w:val="auto"/>
          <w:sz w:val="20"/>
          <w:szCs w:val="20"/>
        </w:rPr>
        <w:t xml:space="preserve"> São Paulo: </w:t>
      </w:r>
      <w:proofErr w:type="spellStart"/>
      <w:r w:rsidRPr="00DE71B4">
        <w:rPr>
          <w:color w:val="auto"/>
          <w:sz w:val="20"/>
          <w:szCs w:val="20"/>
        </w:rPr>
        <w:t>Atarukas</w:t>
      </w:r>
      <w:proofErr w:type="spellEnd"/>
      <w:r w:rsidRPr="00DE71B4">
        <w:rPr>
          <w:color w:val="auto"/>
          <w:sz w:val="20"/>
          <w:szCs w:val="20"/>
        </w:rPr>
        <w:t xml:space="preserve"> Editora, 2019. </w:t>
      </w:r>
    </w:p>
  </w:footnote>
  <w:footnote w:id="69">
    <w:p w14:paraId="6858FF7E" w14:textId="77777777" w:rsidR="009E2F06" w:rsidRPr="00DE71B4" w:rsidRDefault="009E2F06" w:rsidP="00DE71B4">
      <w:pPr>
        <w:pBdr>
          <w:top w:val="nil"/>
          <w:left w:val="nil"/>
          <w:bottom w:val="nil"/>
          <w:right w:val="nil"/>
          <w:between w:val="nil"/>
        </w:pBdr>
        <w:spacing w:before="0" w:after="0" w:line="240" w:lineRule="auto"/>
        <w:rPr>
          <w:color w:val="auto"/>
          <w:sz w:val="20"/>
          <w:szCs w:val="20"/>
        </w:rPr>
      </w:pPr>
      <w:r w:rsidRPr="00DE71B4">
        <w:rPr>
          <w:color w:val="auto"/>
          <w:sz w:val="20"/>
          <w:szCs w:val="20"/>
          <w:vertAlign w:val="superscript"/>
        </w:rPr>
        <w:footnoteRef/>
      </w:r>
      <w:r w:rsidRPr="00DE71B4">
        <w:rPr>
          <w:color w:val="auto"/>
          <w:sz w:val="20"/>
          <w:szCs w:val="20"/>
        </w:rPr>
        <w:t xml:space="preserve"> TP significa Tráfico de Pessoas.</w:t>
      </w:r>
    </w:p>
  </w:footnote>
  <w:footnote w:id="70">
    <w:p w14:paraId="394E673B" w14:textId="0BCCDD14" w:rsidR="009E2F06" w:rsidRPr="00DE71B4" w:rsidRDefault="009E2F06" w:rsidP="00DE71B4">
      <w:pPr>
        <w:pBdr>
          <w:top w:val="nil"/>
          <w:left w:val="nil"/>
          <w:bottom w:val="nil"/>
          <w:right w:val="nil"/>
          <w:between w:val="nil"/>
        </w:pBdr>
        <w:spacing w:before="0" w:after="0" w:line="240" w:lineRule="auto"/>
        <w:rPr>
          <w:color w:val="auto"/>
          <w:sz w:val="20"/>
          <w:szCs w:val="20"/>
        </w:rPr>
      </w:pPr>
      <w:r w:rsidRPr="00DE71B4">
        <w:rPr>
          <w:color w:val="auto"/>
          <w:sz w:val="20"/>
          <w:szCs w:val="20"/>
          <w:vertAlign w:val="superscript"/>
        </w:rPr>
        <w:footnoteRef/>
      </w:r>
      <w:r w:rsidRPr="00DE71B4">
        <w:rPr>
          <w:color w:val="auto"/>
          <w:sz w:val="20"/>
          <w:szCs w:val="20"/>
        </w:rPr>
        <w:t xml:space="preserve"> MAGODE, Joaquim; JOSÉ, Patrício; CONGOLO, Frederico; CADEADO, </w:t>
      </w:r>
      <w:proofErr w:type="spellStart"/>
      <w:r w:rsidRPr="00DE71B4">
        <w:rPr>
          <w:color w:val="auto"/>
          <w:sz w:val="20"/>
          <w:szCs w:val="20"/>
        </w:rPr>
        <w:t>Calton</w:t>
      </w:r>
      <w:proofErr w:type="spellEnd"/>
      <w:r w:rsidRPr="00DE71B4">
        <w:rPr>
          <w:color w:val="auto"/>
          <w:sz w:val="20"/>
          <w:szCs w:val="20"/>
        </w:rPr>
        <w:t xml:space="preserve">; PATRÍCIO, António; LINDY, Rafael. </w:t>
      </w:r>
      <w:r w:rsidRPr="00DE71B4">
        <w:rPr>
          <w:i/>
          <w:color w:val="auto"/>
          <w:sz w:val="20"/>
          <w:szCs w:val="20"/>
        </w:rPr>
        <w:t>Tráfico de Pessoas em Moçambique, em particular de crianças.</w:t>
      </w:r>
      <w:r w:rsidRPr="00DE71B4">
        <w:rPr>
          <w:color w:val="auto"/>
          <w:sz w:val="20"/>
          <w:szCs w:val="20"/>
        </w:rPr>
        <w:t xml:space="preserve"> Moçambique: Procuradoria Geral da República, 2014. p. 12.</w:t>
      </w:r>
    </w:p>
  </w:footnote>
  <w:footnote w:id="71">
    <w:p w14:paraId="0FDB0FD6" w14:textId="6FEED0A9" w:rsidR="009E2F06" w:rsidRPr="00DE71B4" w:rsidRDefault="009E2F06" w:rsidP="00DE71B4">
      <w:pPr>
        <w:pBdr>
          <w:top w:val="nil"/>
          <w:left w:val="nil"/>
          <w:bottom w:val="nil"/>
          <w:right w:val="nil"/>
          <w:between w:val="nil"/>
        </w:pBdr>
        <w:spacing w:before="0" w:after="0" w:line="240" w:lineRule="auto"/>
        <w:rPr>
          <w:color w:val="auto"/>
          <w:sz w:val="20"/>
          <w:szCs w:val="20"/>
        </w:rPr>
      </w:pPr>
      <w:r w:rsidRPr="00DE71B4">
        <w:rPr>
          <w:color w:val="auto"/>
          <w:sz w:val="20"/>
          <w:szCs w:val="20"/>
          <w:vertAlign w:val="superscript"/>
        </w:rPr>
        <w:footnoteRef/>
      </w:r>
      <w:r w:rsidRPr="00DE71B4">
        <w:rPr>
          <w:color w:val="auto"/>
          <w:sz w:val="20"/>
          <w:szCs w:val="20"/>
        </w:rPr>
        <w:t xml:space="preserve"> A Convenção das Nações Unidas contra o Crime Organizado Transnacional, também conhecida como Convenção de Palermo, é o principal instrumento global de combate ao crime organizado transnacional. O instrumento foi aprovado em Nova York pela Assembleia-Geral da ONU em 15 de novembro de 2000, data em que foi colocada à disposição dos Estados-membros para assinatura, e entrou em vigor no dia 29 de setembro de 2003.</w:t>
      </w:r>
    </w:p>
  </w:footnote>
  <w:footnote w:id="72">
    <w:p w14:paraId="61FB5091" w14:textId="4437B821" w:rsidR="009E2F06" w:rsidRPr="00DE71B4" w:rsidRDefault="009E2F06" w:rsidP="00DE71B4">
      <w:pPr>
        <w:pBdr>
          <w:top w:val="nil"/>
          <w:left w:val="nil"/>
          <w:bottom w:val="nil"/>
          <w:right w:val="nil"/>
          <w:between w:val="nil"/>
        </w:pBdr>
        <w:spacing w:before="0" w:after="0" w:line="240" w:lineRule="auto"/>
        <w:rPr>
          <w:color w:val="auto"/>
          <w:sz w:val="20"/>
          <w:szCs w:val="20"/>
        </w:rPr>
      </w:pPr>
      <w:r w:rsidRPr="00DE71B4">
        <w:rPr>
          <w:color w:val="auto"/>
          <w:sz w:val="20"/>
          <w:szCs w:val="20"/>
          <w:vertAlign w:val="superscript"/>
        </w:rPr>
        <w:footnoteRef/>
      </w:r>
      <w:r w:rsidRPr="00DE71B4">
        <w:rPr>
          <w:color w:val="auto"/>
          <w:sz w:val="20"/>
          <w:szCs w:val="20"/>
        </w:rPr>
        <w:t xml:space="preserve"> A Comunidade de Desenvolvimento da África Austral (SADC) adoptou o Plano Estratégico de </w:t>
      </w:r>
      <w:proofErr w:type="spellStart"/>
      <w:r w:rsidRPr="00DE71B4">
        <w:rPr>
          <w:color w:val="auto"/>
          <w:sz w:val="20"/>
          <w:szCs w:val="20"/>
        </w:rPr>
        <w:t>Acção</w:t>
      </w:r>
      <w:proofErr w:type="spellEnd"/>
      <w:r w:rsidRPr="00DE71B4">
        <w:rPr>
          <w:color w:val="auto"/>
          <w:sz w:val="20"/>
          <w:szCs w:val="20"/>
        </w:rPr>
        <w:t xml:space="preserve"> da SADC de 10 Anos para o Combate ao Tráfico de Pessoas, em Especial de Mulheres e Crianças (2009-2019), em Kinshasa, na República Democrática do Congo (RDC), em 2009. O objetivo do bloco regional era de enviar uma mensagem clara de que os Estados-Membros consideravam a prevenção e o combate ao TP uma prioridade que exigia uma atenção focada e esforços concertados em toda a África Austral.</w:t>
      </w:r>
    </w:p>
  </w:footnote>
  <w:footnote w:id="73">
    <w:p w14:paraId="014EC3FD" w14:textId="77777777" w:rsidR="009E2F06" w:rsidRPr="00DE71B4" w:rsidRDefault="009E2F06" w:rsidP="00DE71B4">
      <w:pPr>
        <w:spacing w:before="0" w:after="0" w:line="240" w:lineRule="auto"/>
        <w:rPr>
          <w:color w:val="auto"/>
          <w:sz w:val="20"/>
          <w:szCs w:val="20"/>
        </w:rPr>
      </w:pPr>
      <w:r w:rsidRPr="00DE71B4">
        <w:rPr>
          <w:color w:val="auto"/>
          <w:sz w:val="20"/>
          <w:szCs w:val="20"/>
          <w:vertAlign w:val="superscript"/>
        </w:rPr>
        <w:footnoteRef/>
      </w:r>
      <w:r w:rsidRPr="00DE71B4">
        <w:rPr>
          <w:color w:val="auto"/>
          <w:sz w:val="20"/>
          <w:szCs w:val="20"/>
        </w:rPr>
        <w:t xml:space="preserve"> A abreviatura TP significa Tráfico de Pessoas.</w:t>
      </w:r>
    </w:p>
  </w:footnote>
  <w:footnote w:id="74">
    <w:p w14:paraId="45C1774F" w14:textId="77777777" w:rsidR="009E2F06" w:rsidRPr="00DE71B4" w:rsidRDefault="009E2F06" w:rsidP="00DE71B4">
      <w:pPr>
        <w:pBdr>
          <w:top w:val="nil"/>
          <w:left w:val="nil"/>
          <w:bottom w:val="nil"/>
          <w:right w:val="nil"/>
          <w:between w:val="nil"/>
        </w:pBdr>
        <w:spacing w:before="0" w:after="0" w:line="240" w:lineRule="auto"/>
        <w:rPr>
          <w:color w:val="auto"/>
          <w:sz w:val="20"/>
          <w:szCs w:val="20"/>
        </w:rPr>
      </w:pPr>
      <w:r w:rsidRPr="00DE71B4">
        <w:rPr>
          <w:color w:val="auto"/>
          <w:sz w:val="20"/>
          <w:szCs w:val="20"/>
          <w:vertAlign w:val="superscript"/>
        </w:rPr>
        <w:footnoteRef/>
      </w:r>
      <w:r w:rsidRPr="00DE71B4">
        <w:rPr>
          <w:color w:val="auto"/>
          <w:sz w:val="20"/>
          <w:szCs w:val="20"/>
        </w:rPr>
        <w:t xml:space="preserve"> SADC. </w:t>
      </w:r>
      <w:r w:rsidRPr="00DE71B4">
        <w:rPr>
          <w:i/>
          <w:color w:val="auto"/>
          <w:sz w:val="20"/>
          <w:szCs w:val="20"/>
        </w:rPr>
        <w:t xml:space="preserve">Prevenção e Combate ao Tráfico de Pessoas: Lições da Região da SADC: </w:t>
      </w:r>
      <w:r w:rsidRPr="00DE71B4">
        <w:rPr>
          <w:color w:val="auto"/>
          <w:sz w:val="20"/>
          <w:szCs w:val="20"/>
        </w:rPr>
        <w:t>Folheto Informativo sobre Políticas, janeiro de 2017, p. 1-39. Gaborone, 2017.</w:t>
      </w:r>
    </w:p>
  </w:footnote>
  <w:footnote w:id="75">
    <w:p w14:paraId="2A0AE699" w14:textId="77777777" w:rsidR="009E2F06" w:rsidRPr="00DE71B4" w:rsidRDefault="009E2F06" w:rsidP="00DE71B4">
      <w:pPr>
        <w:pBdr>
          <w:top w:val="nil"/>
          <w:left w:val="nil"/>
          <w:bottom w:val="nil"/>
          <w:right w:val="nil"/>
          <w:between w:val="nil"/>
        </w:pBdr>
        <w:spacing w:before="0" w:after="0" w:line="240" w:lineRule="auto"/>
        <w:rPr>
          <w:color w:val="auto"/>
          <w:sz w:val="20"/>
          <w:szCs w:val="20"/>
        </w:rPr>
      </w:pPr>
      <w:r w:rsidRPr="00DE71B4">
        <w:rPr>
          <w:color w:val="auto"/>
          <w:sz w:val="20"/>
          <w:szCs w:val="20"/>
          <w:vertAlign w:val="superscript"/>
        </w:rPr>
        <w:footnoteRef/>
      </w:r>
      <w:r w:rsidRPr="00DE71B4">
        <w:rPr>
          <w:color w:val="auto"/>
          <w:sz w:val="20"/>
          <w:szCs w:val="20"/>
        </w:rPr>
        <w:t xml:space="preserve"> MAGODE, Joaquim; JOSÉ, Patrício.; CONGOLO, Frederico.; CADEADO, </w:t>
      </w:r>
      <w:proofErr w:type="spellStart"/>
      <w:r w:rsidRPr="00DE71B4">
        <w:rPr>
          <w:color w:val="auto"/>
          <w:sz w:val="20"/>
          <w:szCs w:val="20"/>
        </w:rPr>
        <w:t>Calton</w:t>
      </w:r>
      <w:proofErr w:type="spellEnd"/>
      <w:r w:rsidRPr="00DE71B4">
        <w:rPr>
          <w:color w:val="auto"/>
          <w:sz w:val="20"/>
          <w:szCs w:val="20"/>
        </w:rPr>
        <w:t xml:space="preserve">.; PATRÍCIO, António.; LINDY, Rafael. </w:t>
      </w:r>
      <w:r w:rsidRPr="00DE71B4">
        <w:rPr>
          <w:i/>
          <w:color w:val="auto"/>
          <w:sz w:val="20"/>
          <w:szCs w:val="20"/>
        </w:rPr>
        <w:t>Tráfico de Pessoas em Moçambique, em particular de crianças.</w:t>
      </w:r>
      <w:r w:rsidRPr="00DE71B4">
        <w:rPr>
          <w:color w:val="auto"/>
          <w:sz w:val="20"/>
          <w:szCs w:val="20"/>
        </w:rPr>
        <w:t xml:space="preserve"> Moçambique: Procuradoria Geral da República, 2014.</w:t>
      </w:r>
    </w:p>
  </w:footnote>
  <w:footnote w:id="76">
    <w:p w14:paraId="7F3D32CD" w14:textId="1E1A9207" w:rsidR="009E2F06" w:rsidRPr="00DE71B4" w:rsidRDefault="009E2F06" w:rsidP="00DE71B4">
      <w:pPr>
        <w:pBdr>
          <w:top w:val="nil"/>
          <w:left w:val="nil"/>
          <w:bottom w:val="nil"/>
          <w:right w:val="nil"/>
          <w:between w:val="nil"/>
        </w:pBdr>
        <w:spacing w:before="0" w:after="0" w:line="240" w:lineRule="auto"/>
        <w:rPr>
          <w:color w:val="auto"/>
          <w:sz w:val="20"/>
          <w:szCs w:val="20"/>
        </w:rPr>
      </w:pPr>
      <w:r w:rsidRPr="00DE71B4">
        <w:rPr>
          <w:color w:val="auto"/>
          <w:sz w:val="20"/>
          <w:szCs w:val="20"/>
          <w:vertAlign w:val="superscript"/>
        </w:rPr>
        <w:footnoteRef/>
      </w:r>
      <w:r w:rsidRPr="00DE71B4">
        <w:rPr>
          <w:color w:val="auto"/>
          <w:sz w:val="20"/>
          <w:szCs w:val="20"/>
        </w:rPr>
        <w:t xml:space="preserve"> MAGODE, Joaquim; JOSÉ, Patrício; CONGOLO, Frederico; CADEADO, </w:t>
      </w:r>
      <w:proofErr w:type="spellStart"/>
      <w:r w:rsidRPr="00DE71B4">
        <w:rPr>
          <w:color w:val="auto"/>
          <w:sz w:val="20"/>
          <w:szCs w:val="20"/>
        </w:rPr>
        <w:t>Calton</w:t>
      </w:r>
      <w:proofErr w:type="spellEnd"/>
      <w:r w:rsidRPr="00DE71B4">
        <w:rPr>
          <w:color w:val="auto"/>
          <w:sz w:val="20"/>
          <w:szCs w:val="20"/>
        </w:rPr>
        <w:t xml:space="preserve">; PATRÍCIO, António; LINDY, Rafael. </w:t>
      </w:r>
      <w:r w:rsidRPr="00DE71B4">
        <w:rPr>
          <w:i/>
          <w:color w:val="auto"/>
          <w:sz w:val="20"/>
          <w:szCs w:val="20"/>
        </w:rPr>
        <w:t>Tráfico de Pessoas em Moçambique, em particular de crianças.</w:t>
      </w:r>
      <w:r w:rsidRPr="00DE71B4">
        <w:rPr>
          <w:color w:val="auto"/>
          <w:sz w:val="20"/>
          <w:szCs w:val="20"/>
        </w:rPr>
        <w:t xml:space="preserve"> Moçambique: Procuradoria Geral da República, 2014. p. 28.</w:t>
      </w:r>
    </w:p>
  </w:footnote>
  <w:footnote w:id="77">
    <w:p w14:paraId="69D2DDA7" w14:textId="2E62B67C" w:rsidR="009E2F06" w:rsidRPr="00DE71B4" w:rsidRDefault="009E2F06" w:rsidP="00DE71B4">
      <w:pPr>
        <w:pBdr>
          <w:top w:val="nil"/>
          <w:left w:val="nil"/>
          <w:bottom w:val="nil"/>
          <w:right w:val="nil"/>
          <w:between w:val="nil"/>
        </w:pBdr>
        <w:spacing w:before="0" w:after="0" w:line="240" w:lineRule="auto"/>
        <w:rPr>
          <w:color w:val="auto"/>
          <w:sz w:val="20"/>
          <w:szCs w:val="20"/>
        </w:rPr>
      </w:pPr>
      <w:r w:rsidRPr="00DE71B4">
        <w:rPr>
          <w:color w:val="auto"/>
          <w:sz w:val="20"/>
          <w:szCs w:val="20"/>
          <w:vertAlign w:val="superscript"/>
        </w:rPr>
        <w:footnoteRef/>
      </w:r>
      <w:r w:rsidRPr="00DE71B4">
        <w:rPr>
          <w:color w:val="auto"/>
          <w:sz w:val="20"/>
          <w:szCs w:val="20"/>
        </w:rPr>
        <w:t xml:space="preserve"> O Protocolo da </w:t>
      </w:r>
      <w:r w:rsidRPr="00DE71B4">
        <w:rPr>
          <w:i/>
          <w:color w:val="auto"/>
          <w:sz w:val="20"/>
          <w:szCs w:val="20"/>
        </w:rPr>
        <w:t xml:space="preserve">Southern </w:t>
      </w:r>
      <w:proofErr w:type="spellStart"/>
      <w:r w:rsidRPr="00DE71B4">
        <w:rPr>
          <w:i/>
          <w:color w:val="auto"/>
          <w:sz w:val="20"/>
          <w:szCs w:val="20"/>
        </w:rPr>
        <w:t>African</w:t>
      </w:r>
      <w:proofErr w:type="spellEnd"/>
      <w:r w:rsidRPr="00DE71B4">
        <w:rPr>
          <w:i/>
          <w:color w:val="auto"/>
          <w:sz w:val="20"/>
          <w:szCs w:val="20"/>
        </w:rPr>
        <w:t xml:space="preserve"> </w:t>
      </w:r>
      <w:proofErr w:type="spellStart"/>
      <w:r w:rsidRPr="00DE71B4">
        <w:rPr>
          <w:i/>
          <w:color w:val="auto"/>
          <w:sz w:val="20"/>
          <w:szCs w:val="20"/>
        </w:rPr>
        <w:t>Development</w:t>
      </w:r>
      <w:proofErr w:type="spellEnd"/>
      <w:r w:rsidRPr="00DE71B4">
        <w:rPr>
          <w:i/>
          <w:color w:val="auto"/>
          <w:sz w:val="20"/>
          <w:szCs w:val="20"/>
        </w:rPr>
        <w:t xml:space="preserve"> Community (SADC) </w:t>
      </w:r>
      <w:r w:rsidRPr="00DE71B4">
        <w:rPr>
          <w:color w:val="auto"/>
          <w:sz w:val="20"/>
          <w:szCs w:val="20"/>
        </w:rPr>
        <w:t>sobre Gênero e Desenvolvimento foi</w:t>
      </w:r>
      <w:r w:rsidRPr="00DE71B4">
        <w:rPr>
          <w:i/>
          <w:color w:val="auto"/>
          <w:sz w:val="20"/>
          <w:szCs w:val="20"/>
        </w:rPr>
        <w:t xml:space="preserve"> </w:t>
      </w:r>
      <w:r w:rsidRPr="00DE71B4">
        <w:rPr>
          <w:color w:val="auto"/>
          <w:sz w:val="20"/>
          <w:szCs w:val="20"/>
        </w:rPr>
        <w:t xml:space="preserve">aprovado em Johannesburg, República da África do Sul, aos 17 de agosto de 2008 (SADC. </w:t>
      </w:r>
      <w:r w:rsidRPr="00DE71B4">
        <w:rPr>
          <w:i/>
          <w:color w:val="auto"/>
          <w:sz w:val="20"/>
          <w:szCs w:val="20"/>
        </w:rPr>
        <w:t>Protocolo da SADC sobre Gênero e Desenvolvimento.</w:t>
      </w:r>
      <w:r w:rsidRPr="00DE71B4">
        <w:rPr>
          <w:color w:val="auto"/>
          <w:sz w:val="20"/>
          <w:szCs w:val="20"/>
        </w:rPr>
        <w:t xml:space="preserve"> Johanesburgo: 2008. Disponível em:  &lt;</w:t>
      </w:r>
      <w:hyperlink r:id="rId27">
        <w:r w:rsidRPr="00DE71B4">
          <w:rPr>
            <w:color w:val="auto"/>
            <w:sz w:val="20"/>
            <w:szCs w:val="20"/>
            <w:u w:val="single"/>
          </w:rPr>
          <w:t>https://www.eisa.org.za/pdf/sadc2008protocol2.pdf</w:t>
        </w:r>
      </w:hyperlink>
      <w:r w:rsidRPr="00DE71B4">
        <w:rPr>
          <w:color w:val="auto"/>
          <w:sz w:val="20"/>
          <w:szCs w:val="20"/>
        </w:rPr>
        <w:t xml:space="preserve">&gt;. Acesso em: 10 jun. 2020). Foi ratificado por Moçambique por meio da Resolução n. 45/2010, de 2 de novembro de 2010. </w:t>
      </w:r>
    </w:p>
  </w:footnote>
  <w:footnote w:id="78">
    <w:p w14:paraId="598E412F" w14:textId="77777777" w:rsidR="009E2F06" w:rsidRPr="00DE71B4" w:rsidRDefault="009E2F06" w:rsidP="00DE71B4">
      <w:pPr>
        <w:pBdr>
          <w:top w:val="nil"/>
          <w:left w:val="nil"/>
          <w:bottom w:val="nil"/>
          <w:right w:val="nil"/>
          <w:between w:val="nil"/>
        </w:pBdr>
        <w:spacing w:before="0" w:after="0" w:line="240" w:lineRule="auto"/>
        <w:rPr>
          <w:color w:val="auto"/>
          <w:sz w:val="20"/>
          <w:szCs w:val="20"/>
        </w:rPr>
      </w:pPr>
      <w:r w:rsidRPr="00DE71B4">
        <w:rPr>
          <w:color w:val="auto"/>
          <w:sz w:val="20"/>
          <w:szCs w:val="20"/>
          <w:vertAlign w:val="superscript"/>
        </w:rPr>
        <w:footnoteRef/>
      </w:r>
      <w:r w:rsidRPr="00DE71B4">
        <w:rPr>
          <w:color w:val="auto"/>
          <w:sz w:val="20"/>
          <w:szCs w:val="20"/>
        </w:rPr>
        <w:t xml:space="preserve"> SADC. </w:t>
      </w:r>
      <w:r w:rsidRPr="00DE71B4">
        <w:rPr>
          <w:i/>
          <w:color w:val="auto"/>
          <w:sz w:val="20"/>
          <w:szCs w:val="20"/>
        </w:rPr>
        <w:t>Protocolo da SADC sobre Gênero e Desenvolvimento.</w:t>
      </w:r>
      <w:r w:rsidRPr="00DE71B4">
        <w:rPr>
          <w:color w:val="auto"/>
          <w:sz w:val="20"/>
          <w:szCs w:val="20"/>
        </w:rPr>
        <w:t xml:space="preserve"> Joanesburgo, 2008. Disponível em:  &lt;</w:t>
      </w:r>
      <w:hyperlink r:id="rId28">
        <w:r w:rsidRPr="00DE71B4">
          <w:rPr>
            <w:color w:val="auto"/>
            <w:sz w:val="20"/>
            <w:szCs w:val="20"/>
            <w:u w:val="single"/>
          </w:rPr>
          <w:t>https://www.eisa.org.za/pdf/sadc2008protocol2.pdf</w:t>
        </w:r>
      </w:hyperlink>
      <w:r w:rsidRPr="00DE71B4">
        <w:rPr>
          <w:color w:val="auto"/>
          <w:sz w:val="20"/>
          <w:szCs w:val="20"/>
        </w:rPr>
        <w:t>&gt;. Acesso em: 10 jun. 2020.</w:t>
      </w:r>
    </w:p>
  </w:footnote>
  <w:footnote w:id="79">
    <w:p w14:paraId="41678908" w14:textId="77777777" w:rsidR="009E2F06" w:rsidRPr="00DE71B4" w:rsidRDefault="009E2F06" w:rsidP="00DE71B4">
      <w:pPr>
        <w:pBdr>
          <w:top w:val="nil"/>
          <w:left w:val="nil"/>
          <w:bottom w:val="nil"/>
          <w:right w:val="nil"/>
          <w:between w:val="nil"/>
        </w:pBdr>
        <w:spacing w:before="0" w:after="0" w:line="240" w:lineRule="auto"/>
        <w:rPr>
          <w:color w:val="auto"/>
          <w:sz w:val="20"/>
          <w:szCs w:val="20"/>
        </w:rPr>
      </w:pPr>
      <w:r w:rsidRPr="00DE71B4">
        <w:rPr>
          <w:color w:val="auto"/>
          <w:sz w:val="20"/>
          <w:szCs w:val="20"/>
          <w:vertAlign w:val="superscript"/>
        </w:rPr>
        <w:footnoteRef/>
      </w:r>
      <w:r w:rsidRPr="00DE71B4">
        <w:rPr>
          <w:color w:val="auto"/>
          <w:sz w:val="20"/>
          <w:szCs w:val="20"/>
        </w:rPr>
        <w:t xml:space="preserve"> O Tratado da SADC foi adotado em Windhoek, na Namíbia, aos 17 de agosto de 1992 e ratificado pela Resolução n. 3/1993, de 1 de junho de 1983 (SADC. </w:t>
      </w:r>
      <w:r w:rsidRPr="00DE71B4">
        <w:rPr>
          <w:i/>
          <w:color w:val="auto"/>
          <w:sz w:val="20"/>
          <w:szCs w:val="20"/>
        </w:rPr>
        <w:t>Manual institucional de Identidade Institucional da SADC</w:t>
      </w:r>
      <w:r w:rsidRPr="00DE71B4">
        <w:rPr>
          <w:color w:val="auto"/>
          <w:sz w:val="20"/>
          <w:szCs w:val="20"/>
        </w:rPr>
        <w:t>. Gaborone: Secretariado da SADC, 2017).</w:t>
      </w:r>
    </w:p>
  </w:footnote>
  <w:footnote w:id="80">
    <w:p w14:paraId="3C00D365" w14:textId="77777777" w:rsidR="009E2F06" w:rsidRPr="00DE71B4" w:rsidRDefault="009E2F06" w:rsidP="00DE71B4">
      <w:pPr>
        <w:pBdr>
          <w:top w:val="nil"/>
          <w:left w:val="nil"/>
          <w:bottom w:val="nil"/>
          <w:right w:val="nil"/>
          <w:between w:val="nil"/>
        </w:pBdr>
        <w:spacing w:before="0" w:after="0" w:line="240" w:lineRule="auto"/>
        <w:rPr>
          <w:color w:val="auto"/>
          <w:sz w:val="20"/>
          <w:szCs w:val="20"/>
        </w:rPr>
      </w:pPr>
      <w:r w:rsidRPr="00DE71B4">
        <w:rPr>
          <w:color w:val="auto"/>
          <w:sz w:val="20"/>
          <w:szCs w:val="20"/>
          <w:vertAlign w:val="superscript"/>
        </w:rPr>
        <w:footnoteRef/>
      </w:r>
      <w:r w:rsidRPr="00DE71B4">
        <w:rPr>
          <w:color w:val="auto"/>
          <w:sz w:val="20"/>
          <w:szCs w:val="20"/>
        </w:rPr>
        <w:t xml:space="preserve"> A </w:t>
      </w:r>
      <w:r w:rsidRPr="00DE71B4">
        <w:rPr>
          <w:color w:val="auto"/>
          <w:sz w:val="20"/>
          <w:szCs w:val="20"/>
          <w:highlight w:val="white"/>
        </w:rPr>
        <w:t>Convenção das Nações Unidas sobre a Eliminação de Todas as Formas de Discriminação Contra as Mulheres (CEDAW)</w:t>
      </w:r>
      <w:r w:rsidRPr="00DE71B4">
        <w:rPr>
          <w:color w:val="auto"/>
          <w:sz w:val="20"/>
          <w:szCs w:val="20"/>
        </w:rPr>
        <w:t xml:space="preserve"> foi </w:t>
      </w:r>
      <w:r w:rsidRPr="00DE71B4">
        <w:rPr>
          <w:color w:val="auto"/>
          <w:sz w:val="20"/>
          <w:szCs w:val="20"/>
          <w:highlight w:val="white"/>
        </w:rPr>
        <w:t>aprovada pela Assembleia Geral das Nações Unidas, aos 18 de dezembro de 1979 e ratificado pela Resolução n. 4/93, de 2 de junho de 1993</w:t>
      </w:r>
      <w:r w:rsidRPr="00DE71B4">
        <w:rPr>
          <w:color w:val="auto"/>
          <w:sz w:val="20"/>
          <w:szCs w:val="20"/>
        </w:rPr>
        <w:t xml:space="preserve"> (ONU MULHERES. </w:t>
      </w:r>
      <w:r w:rsidRPr="00DE71B4">
        <w:rPr>
          <w:i/>
          <w:color w:val="auto"/>
          <w:sz w:val="20"/>
          <w:szCs w:val="20"/>
          <w:highlight w:val="white"/>
        </w:rPr>
        <w:t>Convenção das Nações Unidas sobre a Eliminação de Todas as Formas de Discriminação Contra as Mulheres</w:t>
      </w:r>
      <w:r w:rsidRPr="00DE71B4">
        <w:rPr>
          <w:color w:val="auto"/>
          <w:sz w:val="20"/>
          <w:szCs w:val="20"/>
        </w:rPr>
        <w:t xml:space="preserve">. Disponível em: &lt; </w:t>
      </w:r>
      <w:hyperlink r:id="rId29">
        <w:r w:rsidRPr="00DE71B4">
          <w:rPr>
            <w:color w:val="auto"/>
            <w:sz w:val="20"/>
            <w:szCs w:val="20"/>
            <w:u w:val="single"/>
          </w:rPr>
          <w:t>http://www.onumulheres.org.br/wp-content/uploads/2013/03/convencao_cedaw.pdf</w:t>
        </w:r>
      </w:hyperlink>
      <w:r w:rsidRPr="00DE71B4">
        <w:rPr>
          <w:color w:val="auto"/>
          <w:sz w:val="20"/>
          <w:szCs w:val="20"/>
        </w:rPr>
        <w:t xml:space="preserve"> &gt;. Acesso em: 15 jun. 2020).</w:t>
      </w:r>
    </w:p>
  </w:footnote>
  <w:footnote w:id="81">
    <w:p w14:paraId="06BA9B38" w14:textId="77777777" w:rsidR="009E2F06" w:rsidRPr="00DE71B4" w:rsidRDefault="009E2F06" w:rsidP="00DE71B4">
      <w:pPr>
        <w:pBdr>
          <w:top w:val="nil"/>
          <w:left w:val="nil"/>
          <w:bottom w:val="nil"/>
          <w:right w:val="nil"/>
          <w:between w:val="nil"/>
        </w:pBdr>
        <w:spacing w:before="0" w:after="0" w:line="240" w:lineRule="auto"/>
        <w:rPr>
          <w:color w:val="auto"/>
          <w:sz w:val="20"/>
          <w:szCs w:val="20"/>
        </w:rPr>
      </w:pPr>
      <w:r w:rsidRPr="00DE71B4">
        <w:rPr>
          <w:color w:val="auto"/>
          <w:sz w:val="20"/>
          <w:szCs w:val="20"/>
          <w:vertAlign w:val="superscript"/>
        </w:rPr>
        <w:footnoteRef/>
      </w:r>
      <w:r w:rsidRPr="00DE71B4">
        <w:rPr>
          <w:color w:val="auto"/>
          <w:sz w:val="20"/>
          <w:szCs w:val="20"/>
        </w:rPr>
        <w:t xml:space="preserve"> SADC. </w:t>
      </w:r>
      <w:r w:rsidRPr="00DE71B4">
        <w:rPr>
          <w:i/>
          <w:color w:val="auto"/>
          <w:sz w:val="20"/>
          <w:szCs w:val="20"/>
        </w:rPr>
        <w:t>Protocolo da SADC sobre Gênero e Desenvolvimento.</w:t>
      </w:r>
      <w:r w:rsidRPr="00DE71B4">
        <w:rPr>
          <w:color w:val="auto"/>
          <w:sz w:val="20"/>
          <w:szCs w:val="20"/>
        </w:rPr>
        <w:t xml:space="preserve"> Joanesburgo, 2008. Disponível em:  &lt;</w:t>
      </w:r>
      <w:hyperlink r:id="rId30">
        <w:r w:rsidRPr="00DE71B4">
          <w:rPr>
            <w:color w:val="auto"/>
            <w:sz w:val="20"/>
            <w:szCs w:val="20"/>
            <w:u w:val="single"/>
          </w:rPr>
          <w:t>https://www.eisa.org.za/pdf/sadc2008protocol2.pdf</w:t>
        </w:r>
      </w:hyperlink>
      <w:r w:rsidRPr="00DE71B4">
        <w:rPr>
          <w:color w:val="auto"/>
          <w:sz w:val="20"/>
          <w:szCs w:val="20"/>
        </w:rPr>
        <w:t>&gt;. Acesso em: 10 jun. 2020.</w:t>
      </w:r>
    </w:p>
  </w:footnote>
  <w:footnote w:id="82">
    <w:p w14:paraId="3FE1586F" w14:textId="4F6A556D" w:rsidR="009E2F06" w:rsidRPr="00DE71B4" w:rsidRDefault="009E2F06" w:rsidP="00DE71B4">
      <w:pPr>
        <w:pBdr>
          <w:top w:val="nil"/>
          <w:left w:val="nil"/>
          <w:bottom w:val="nil"/>
          <w:right w:val="nil"/>
          <w:between w:val="nil"/>
        </w:pBdr>
        <w:spacing w:before="0" w:after="0" w:line="240" w:lineRule="auto"/>
        <w:rPr>
          <w:color w:val="auto"/>
          <w:sz w:val="20"/>
          <w:szCs w:val="20"/>
        </w:rPr>
      </w:pPr>
      <w:r w:rsidRPr="00DE71B4">
        <w:rPr>
          <w:color w:val="auto"/>
          <w:sz w:val="20"/>
          <w:szCs w:val="20"/>
          <w:vertAlign w:val="superscript"/>
        </w:rPr>
        <w:footnoteRef/>
      </w:r>
      <w:r w:rsidRPr="00DE71B4">
        <w:rPr>
          <w:color w:val="auto"/>
          <w:sz w:val="20"/>
          <w:szCs w:val="20"/>
        </w:rPr>
        <w:t xml:space="preserve"> MOÇAMBIQUE. </w:t>
      </w:r>
      <w:r w:rsidRPr="00DE71B4">
        <w:rPr>
          <w:i/>
          <w:color w:val="auto"/>
          <w:sz w:val="20"/>
          <w:szCs w:val="20"/>
        </w:rPr>
        <w:t>Constituição da República de Moçambique (CRM)</w:t>
      </w:r>
      <w:r w:rsidRPr="00DE71B4">
        <w:rPr>
          <w:color w:val="auto"/>
          <w:sz w:val="20"/>
          <w:szCs w:val="20"/>
        </w:rPr>
        <w:t>. Maputo: Plural, 2004. Disponível em: &lt;</w:t>
      </w:r>
      <w:hyperlink r:id="rId31">
        <w:r w:rsidRPr="00DE71B4">
          <w:rPr>
            <w:color w:val="auto"/>
            <w:sz w:val="20"/>
            <w:szCs w:val="20"/>
            <w:u w:val="single"/>
          </w:rPr>
          <w:t>https://www.portaldogoverno.gov.mz/por/Media/Files/Constituicao-da-Republica-PDF</w:t>
        </w:r>
      </w:hyperlink>
      <w:r w:rsidRPr="00DE71B4">
        <w:rPr>
          <w:color w:val="auto"/>
          <w:sz w:val="20"/>
          <w:szCs w:val="20"/>
        </w:rPr>
        <w:t>&gt;. Acesso em: 8 maio 2020.</w:t>
      </w:r>
    </w:p>
  </w:footnote>
  <w:footnote w:id="83">
    <w:p w14:paraId="430A70CB" w14:textId="3D5C17DB" w:rsidR="009E2F06" w:rsidRPr="00DE71B4" w:rsidRDefault="009E2F06" w:rsidP="00DE71B4">
      <w:pPr>
        <w:pBdr>
          <w:top w:val="nil"/>
          <w:left w:val="nil"/>
          <w:bottom w:val="nil"/>
          <w:right w:val="nil"/>
          <w:between w:val="nil"/>
        </w:pBdr>
        <w:spacing w:before="0" w:after="0" w:line="240" w:lineRule="auto"/>
        <w:rPr>
          <w:color w:val="auto"/>
          <w:sz w:val="20"/>
          <w:szCs w:val="20"/>
        </w:rPr>
      </w:pPr>
      <w:r w:rsidRPr="00DE71B4">
        <w:rPr>
          <w:color w:val="auto"/>
          <w:sz w:val="20"/>
          <w:szCs w:val="20"/>
          <w:vertAlign w:val="superscript"/>
        </w:rPr>
        <w:footnoteRef/>
      </w:r>
      <w:r w:rsidRPr="00DE71B4">
        <w:rPr>
          <w:color w:val="auto"/>
          <w:sz w:val="20"/>
          <w:szCs w:val="20"/>
        </w:rPr>
        <w:t xml:space="preserve"> DUDH. </w:t>
      </w:r>
      <w:r w:rsidRPr="00DE71B4">
        <w:rPr>
          <w:i/>
          <w:color w:val="auto"/>
          <w:sz w:val="20"/>
          <w:szCs w:val="20"/>
        </w:rPr>
        <w:t>Declaração Universal dos Direitos Humanos</w:t>
      </w:r>
      <w:r w:rsidRPr="00DE71B4">
        <w:rPr>
          <w:color w:val="auto"/>
          <w:sz w:val="20"/>
          <w:szCs w:val="20"/>
        </w:rPr>
        <w:t xml:space="preserve">. Nova York: 1948. Disponível em: &lt; </w:t>
      </w:r>
      <w:hyperlink r:id="rId32">
        <w:r w:rsidRPr="00DE71B4">
          <w:rPr>
            <w:color w:val="auto"/>
            <w:sz w:val="20"/>
            <w:szCs w:val="20"/>
            <w:u w:val="single"/>
          </w:rPr>
          <w:t>https://nacoesunidas.org/wp-content/uploads/2018/10/DUDH.pdf</w:t>
        </w:r>
      </w:hyperlink>
      <w:r w:rsidRPr="00DE71B4">
        <w:rPr>
          <w:color w:val="auto"/>
          <w:sz w:val="20"/>
          <w:szCs w:val="20"/>
        </w:rPr>
        <w:t>&gt;. Acesso em: 5 maio 2020.</w:t>
      </w:r>
    </w:p>
  </w:footnote>
  <w:footnote w:id="84">
    <w:p w14:paraId="0295E6C1" w14:textId="7B2A787C" w:rsidR="009E2F06" w:rsidRPr="00DE71B4" w:rsidRDefault="009E2F06" w:rsidP="00DE71B4">
      <w:pPr>
        <w:pBdr>
          <w:top w:val="nil"/>
          <w:left w:val="nil"/>
          <w:bottom w:val="nil"/>
          <w:right w:val="nil"/>
          <w:between w:val="nil"/>
        </w:pBdr>
        <w:spacing w:before="0" w:after="0" w:line="240" w:lineRule="auto"/>
        <w:rPr>
          <w:color w:val="auto"/>
          <w:sz w:val="20"/>
          <w:szCs w:val="20"/>
        </w:rPr>
      </w:pPr>
      <w:r w:rsidRPr="00DE71B4">
        <w:rPr>
          <w:color w:val="auto"/>
          <w:sz w:val="20"/>
          <w:szCs w:val="20"/>
          <w:vertAlign w:val="superscript"/>
        </w:rPr>
        <w:footnoteRef/>
      </w:r>
      <w:r w:rsidRPr="00DE71B4">
        <w:rPr>
          <w:color w:val="auto"/>
          <w:sz w:val="20"/>
          <w:szCs w:val="20"/>
        </w:rPr>
        <w:t xml:space="preserve">  De acordo com o art. 1º, da Convenção sobre a Escravatura, assinada em Genebra, em 25 de setembro 1926, a escravatura, denominada também de escravidão, é o estado ou condição de um indivíduo sobre o qual se exercem, total ou parcialmente, os atributos do direito de propriedade.</w:t>
      </w:r>
    </w:p>
  </w:footnote>
  <w:footnote w:id="85">
    <w:p w14:paraId="4BC226C5" w14:textId="77777777" w:rsidR="009E2F06" w:rsidRPr="00DE71B4" w:rsidRDefault="009E2F06" w:rsidP="00DE71B4">
      <w:pPr>
        <w:pBdr>
          <w:top w:val="nil"/>
          <w:left w:val="nil"/>
          <w:bottom w:val="nil"/>
          <w:right w:val="nil"/>
          <w:between w:val="nil"/>
        </w:pBdr>
        <w:spacing w:before="0" w:after="0" w:line="240" w:lineRule="auto"/>
        <w:rPr>
          <w:color w:val="auto"/>
          <w:sz w:val="20"/>
          <w:szCs w:val="20"/>
        </w:rPr>
      </w:pPr>
      <w:r w:rsidRPr="00DE71B4">
        <w:rPr>
          <w:color w:val="auto"/>
          <w:sz w:val="20"/>
          <w:szCs w:val="20"/>
          <w:vertAlign w:val="superscript"/>
        </w:rPr>
        <w:footnoteRef/>
      </w:r>
      <w:r w:rsidRPr="00DE71B4">
        <w:rPr>
          <w:color w:val="auto"/>
          <w:sz w:val="20"/>
          <w:szCs w:val="20"/>
        </w:rPr>
        <w:t xml:space="preserve"> CARTA AFRICANA. Resolução n. 9/88, de 25 de agosto de 1981. </w:t>
      </w:r>
      <w:r w:rsidRPr="00DE71B4">
        <w:rPr>
          <w:i/>
          <w:color w:val="auto"/>
          <w:sz w:val="20"/>
          <w:szCs w:val="20"/>
        </w:rPr>
        <w:t>Ratifica a Carta africana dos Direitos Humanos e dos Povos</w:t>
      </w:r>
      <w:r w:rsidRPr="00DE71B4">
        <w:rPr>
          <w:color w:val="auto"/>
          <w:sz w:val="20"/>
          <w:szCs w:val="20"/>
        </w:rPr>
        <w:t>. Boletim da República – Conselho de Ministros. Maputo: Imprensa Nacional.</w:t>
      </w:r>
    </w:p>
  </w:footnote>
  <w:footnote w:id="86">
    <w:p w14:paraId="7256374C" w14:textId="77777777" w:rsidR="009E2F06" w:rsidRPr="00DE71B4" w:rsidRDefault="009E2F06" w:rsidP="00DE71B4">
      <w:pPr>
        <w:pBdr>
          <w:top w:val="nil"/>
          <w:left w:val="nil"/>
          <w:bottom w:val="nil"/>
          <w:right w:val="nil"/>
          <w:between w:val="nil"/>
        </w:pBdr>
        <w:spacing w:before="0" w:after="0" w:line="240" w:lineRule="auto"/>
        <w:rPr>
          <w:color w:val="auto"/>
          <w:sz w:val="20"/>
          <w:szCs w:val="20"/>
        </w:rPr>
      </w:pPr>
      <w:r w:rsidRPr="00DE71B4">
        <w:rPr>
          <w:color w:val="auto"/>
          <w:sz w:val="20"/>
          <w:szCs w:val="20"/>
          <w:vertAlign w:val="superscript"/>
        </w:rPr>
        <w:footnoteRef/>
      </w:r>
      <w:r w:rsidRPr="00DE71B4">
        <w:rPr>
          <w:color w:val="auto"/>
          <w:sz w:val="20"/>
          <w:szCs w:val="20"/>
        </w:rPr>
        <w:t xml:space="preserve"> MOÇAMBIQUE. Resolução n. 32/2010, de 30 de agosto de 2010. </w:t>
      </w:r>
      <w:r w:rsidRPr="00DE71B4">
        <w:rPr>
          <w:i/>
          <w:color w:val="auto"/>
          <w:sz w:val="20"/>
          <w:szCs w:val="20"/>
        </w:rPr>
        <w:t>Aprova a Política Externa de Moçambique</w:t>
      </w:r>
      <w:r w:rsidRPr="00DE71B4">
        <w:rPr>
          <w:color w:val="auto"/>
          <w:sz w:val="20"/>
          <w:szCs w:val="20"/>
        </w:rPr>
        <w:t>. Boletim da República- Conselho de Ministros. Maputo: Imprensa Nacional.</w:t>
      </w:r>
    </w:p>
  </w:footnote>
  <w:footnote w:id="87">
    <w:p w14:paraId="70944662" w14:textId="77777777" w:rsidR="009E2F06" w:rsidRPr="00DE71B4" w:rsidRDefault="009E2F06" w:rsidP="00DE71B4">
      <w:pPr>
        <w:pBdr>
          <w:top w:val="nil"/>
          <w:left w:val="nil"/>
          <w:bottom w:val="nil"/>
          <w:right w:val="nil"/>
          <w:between w:val="nil"/>
        </w:pBdr>
        <w:spacing w:before="0" w:after="0" w:line="240" w:lineRule="auto"/>
        <w:rPr>
          <w:color w:val="auto"/>
          <w:sz w:val="20"/>
          <w:szCs w:val="20"/>
        </w:rPr>
      </w:pPr>
      <w:r w:rsidRPr="00DE71B4">
        <w:rPr>
          <w:color w:val="auto"/>
          <w:sz w:val="20"/>
          <w:szCs w:val="20"/>
          <w:vertAlign w:val="superscript"/>
        </w:rPr>
        <w:footnoteRef/>
      </w:r>
      <w:r w:rsidRPr="00DE71B4">
        <w:rPr>
          <w:color w:val="auto"/>
          <w:sz w:val="20"/>
          <w:szCs w:val="20"/>
        </w:rPr>
        <w:t xml:space="preserve"> MOÇAMBIQUE. Resolução n. 32/2010, de 30 de agosto de 2010. </w:t>
      </w:r>
      <w:r w:rsidRPr="00DE71B4">
        <w:rPr>
          <w:i/>
          <w:color w:val="auto"/>
          <w:sz w:val="20"/>
          <w:szCs w:val="20"/>
        </w:rPr>
        <w:t>Aprova a Política Externa de Moçambique</w:t>
      </w:r>
      <w:r w:rsidRPr="00DE71B4">
        <w:rPr>
          <w:color w:val="auto"/>
          <w:sz w:val="20"/>
          <w:szCs w:val="20"/>
        </w:rPr>
        <w:t>. Boletim da República- Conselho de Ministros. Maputo: Imprensa Nacional.</w:t>
      </w:r>
    </w:p>
  </w:footnote>
  <w:footnote w:id="88">
    <w:p w14:paraId="035D0D79" w14:textId="0E3A5263" w:rsidR="009E2F06" w:rsidRPr="00DE71B4" w:rsidRDefault="009E2F06" w:rsidP="00DE71B4">
      <w:pPr>
        <w:spacing w:before="0" w:after="0" w:line="240" w:lineRule="auto"/>
        <w:rPr>
          <w:color w:val="auto"/>
          <w:sz w:val="20"/>
          <w:szCs w:val="20"/>
        </w:rPr>
      </w:pPr>
      <w:r w:rsidRPr="00DE71B4">
        <w:rPr>
          <w:color w:val="auto"/>
          <w:sz w:val="20"/>
          <w:szCs w:val="20"/>
          <w:vertAlign w:val="superscript"/>
        </w:rPr>
        <w:footnoteRef/>
      </w:r>
      <w:r w:rsidRPr="00DE71B4">
        <w:rPr>
          <w:color w:val="auto"/>
          <w:sz w:val="20"/>
          <w:szCs w:val="20"/>
        </w:rPr>
        <w:t xml:space="preserve">  NHATAVE, Guirino Dinis José. Tráfico de Pessoas na SADC: Um Olhar Sobre a Construção da Agenda de Moçambique na Prevenção e Combate ao Tráfico de Pessoas na SADC. In: Revista Moçambicana de Estudos Internacionais. v. 1, n. 1, Instituto Superior de Relações Internacionais. Moçambique. p. 187-204, </w:t>
      </w:r>
      <w:proofErr w:type="gramStart"/>
      <w:r w:rsidRPr="00DE71B4">
        <w:rPr>
          <w:color w:val="auto"/>
          <w:sz w:val="20"/>
          <w:szCs w:val="20"/>
        </w:rPr>
        <w:t>Janeiro</w:t>
      </w:r>
      <w:proofErr w:type="gramEnd"/>
      <w:r w:rsidRPr="00DE71B4">
        <w:rPr>
          <w:color w:val="auto"/>
          <w:sz w:val="20"/>
          <w:szCs w:val="20"/>
        </w:rPr>
        <w:t xml:space="preserve">, 2019. Disponível em: &lt; </w:t>
      </w:r>
      <w:hyperlink r:id="rId33">
        <w:r w:rsidRPr="00DE71B4">
          <w:rPr>
            <w:color w:val="auto"/>
            <w:sz w:val="20"/>
            <w:szCs w:val="20"/>
            <w:u w:val="single"/>
          </w:rPr>
          <w:t>https://www.academia.edu/39408387/Revista_Mo%C3%A7ambicana_de_Estudos_Internacionais_Vol_1_no_1_Janeiro-Junho_2019</w:t>
        </w:r>
      </w:hyperlink>
      <w:r w:rsidRPr="00DE71B4">
        <w:rPr>
          <w:color w:val="auto"/>
          <w:sz w:val="20"/>
          <w:szCs w:val="20"/>
        </w:rPr>
        <w:t>&gt;. Acesso em: 2 jun. 2020.</w:t>
      </w:r>
    </w:p>
  </w:footnote>
  <w:footnote w:id="89">
    <w:p w14:paraId="23DA95C7" w14:textId="77777777" w:rsidR="009E2F06" w:rsidRPr="00DE71B4" w:rsidRDefault="009E2F06" w:rsidP="00DE71B4">
      <w:pPr>
        <w:pBdr>
          <w:top w:val="nil"/>
          <w:left w:val="nil"/>
          <w:bottom w:val="nil"/>
          <w:right w:val="nil"/>
          <w:between w:val="nil"/>
        </w:pBdr>
        <w:spacing w:before="0" w:after="0" w:line="240" w:lineRule="auto"/>
        <w:rPr>
          <w:color w:val="auto"/>
          <w:sz w:val="20"/>
          <w:szCs w:val="20"/>
        </w:rPr>
      </w:pPr>
      <w:r w:rsidRPr="00DE71B4">
        <w:rPr>
          <w:color w:val="auto"/>
          <w:sz w:val="20"/>
          <w:szCs w:val="20"/>
          <w:vertAlign w:val="superscript"/>
        </w:rPr>
        <w:footnoteRef/>
      </w:r>
      <w:r w:rsidRPr="00DE71B4">
        <w:rPr>
          <w:color w:val="auto"/>
          <w:sz w:val="20"/>
          <w:szCs w:val="20"/>
        </w:rPr>
        <w:t xml:space="preserve"> O Plano Estratégico Decenal de Combate ao Tráfico de Pessoas especialmente Mulheres e Crianças foi elaborado em cumprimento das recomendações do Protocolo de Palermo (2000) para atender a questão do tráfico de pessoas com enfoque nas especificidades da região da África Austral.</w:t>
      </w:r>
    </w:p>
  </w:footnote>
  <w:footnote w:id="90">
    <w:p w14:paraId="13B0BD53" w14:textId="125A89EA" w:rsidR="009E2F06" w:rsidRPr="00DE71B4" w:rsidRDefault="009E2F06" w:rsidP="00DE71B4">
      <w:pPr>
        <w:pBdr>
          <w:top w:val="nil"/>
          <w:left w:val="nil"/>
          <w:bottom w:val="nil"/>
          <w:right w:val="nil"/>
          <w:between w:val="nil"/>
        </w:pBdr>
        <w:spacing w:before="0" w:after="0" w:line="240" w:lineRule="auto"/>
        <w:rPr>
          <w:color w:val="auto"/>
          <w:sz w:val="20"/>
          <w:szCs w:val="20"/>
        </w:rPr>
      </w:pPr>
      <w:r w:rsidRPr="00DE71B4">
        <w:rPr>
          <w:color w:val="auto"/>
          <w:sz w:val="20"/>
          <w:szCs w:val="20"/>
          <w:vertAlign w:val="superscript"/>
        </w:rPr>
        <w:footnoteRef/>
      </w:r>
      <w:r w:rsidRPr="00DE71B4">
        <w:rPr>
          <w:color w:val="auto"/>
          <w:sz w:val="20"/>
          <w:szCs w:val="20"/>
        </w:rPr>
        <w:t xml:space="preserve"> NHATAVE, Guirino Dinis José. Tráfico de Pessoas na SADC: Um Olhar Sobre a Construção da Agenda de Moçambique na Prevenção e Combate ao Tráfico de Pessoas na SADC. In: Revista Moçambicana de Estudos Internacionais. v. 1, n. 1, Instituto Superior de Relações Internacionais. Moçambique. p. 187-204, janeiro, 2019. Disponível em: &lt; </w:t>
      </w:r>
      <w:hyperlink r:id="rId34">
        <w:r w:rsidRPr="00DE71B4">
          <w:rPr>
            <w:color w:val="auto"/>
            <w:sz w:val="20"/>
            <w:szCs w:val="20"/>
            <w:u w:val="single"/>
          </w:rPr>
          <w:t>https://www.academia.edu/39408387/Revista_Mo%C3%A7ambicana_de_Estudos_Internacionais_Vol_1_no_1_Janeiro-Junho_2019</w:t>
        </w:r>
      </w:hyperlink>
      <w:r w:rsidRPr="00DE71B4">
        <w:rPr>
          <w:color w:val="auto"/>
          <w:sz w:val="20"/>
          <w:szCs w:val="20"/>
        </w:rPr>
        <w:t>&gt;. Acesso em: 2 jun. 2020.</w:t>
      </w:r>
    </w:p>
  </w:footnote>
  <w:footnote w:id="91">
    <w:p w14:paraId="7E5BDE4F" w14:textId="140B17FD" w:rsidR="009E2F06" w:rsidRPr="00DE71B4" w:rsidRDefault="009E2F06" w:rsidP="00DE71B4">
      <w:pPr>
        <w:pBdr>
          <w:top w:val="nil"/>
          <w:left w:val="nil"/>
          <w:bottom w:val="nil"/>
          <w:right w:val="nil"/>
          <w:between w:val="nil"/>
        </w:pBdr>
        <w:spacing w:before="0" w:after="0" w:line="240" w:lineRule="auto"/>
        <w:rPr>
          <w:color w:val="auto"/>
          <w:sz w:val="20"/>
          <w:szCs w:val="20"/>
        </w:rPr>
      </w:pPr>
      <w:r w:rsidRPr="00DE71B4">
        <w:rPr>
          <w:color w:val="auto"/>
          <w:sz w:val="20"/>
          <w:szCs w:val="20"/>
          <w:vertAlign w:val="superscript"/>
        </w:rPr>
        <w:footnoteRef/>
      </w:r>
      <w:r w:rsidRPr="00DE71B4">
        <w:rPr>
          <w:color w:val="auto"/>
          <w:sz w:val="20"/>
          <w:szCs w:val="20"/>
        </w:rPr>
        <w:t xml:space="preserve"> EMBAIXADA DOS EUA. </w:t>
      </w:r>
      <w:r w:rsidRPr="00DE71B4">
        <w:rPr>
          <w:i/>
          <w:color w:val="auto"/>
          <w:sz w:val="20"/>
          <w:szCs w:val="20"/>
        </w:rPr>
        <w:t>Relatório sobre o Tráfico de Pessoas em Moçambique de 2018</w:t>
      </w:r>
      <w:r w:rsidRPr="00DE71B4">
        <w:rPr>
          <w:color w:val="auto"/>
          <w:sz w:val="20"/>
          <w:szCs w:val="20"/>
        </w:rPr>
        <w:t xml:space="preserve">. Maputo: Departamento do Estado. 2019. </w:t>
      </w:r>
      <w:proofErr w:type="spellStart"/>
      <w:r w:rsidRPr="00DE71B4">
        <w:rPr>
          <w:color w:val="auto"/>
          <w:sz w:val="20"/>
          <w:szCs w:val="20"/>
        </w:rPr>
        <w:t>Deisponível</w:t>
      </w:r>
      <w:proofErr w:type="spellEnd"/>
      <w:r w:rsidRPr="00DE71B4">
        <w:rPr>
          <w:color w:val="auto"/>
          <w:sz w:val="20"/>
          <w:szCs w:val="20"/>
        </w:rPr>
        <w:t xml:space="preserve"> em: &lt;</w:t>
      </w:r>
      <w:hyperlink r:id="rId35">
        <w:r w:rsidRPr="00DE71B4">
          <w:rPr>
            <w:color w:val="auto"/>
            <w:sz w:val="20"/>
            <w:szCs w:val="20"/>
            <w:u w:val="single"/>
          </w:rPr>
          <w:t>https://mz.usembassy.gov/wp-content/uploads/sites/182/MOZAMBIQUE-2018-TIP-Report-Narrative-FINAL-18JUNE2018-Port-004.pdf</w:t>
        </w:r>
      </w:hyperlink>
      <w:r w:rsidRPr="00DE71B4">
        <w:rPr>
          <w:color w:val="auto"/>
          <w:sz w:val="20"/>
          <w:szCs w:val="20"/>
        </w:rPr>
        <w:t>&gt;. Acesso em: 1 maio 2020.</w:t>
      </w:r>
    </w:p>
  </w:footnote>
  <w:footnote w:id="92">
    <w:p w14:paraId="256C6FA4" w14:textId="194E13AB" w:rsidR="009E2F06" w:rsidRPr="00DE71B4" w:rsidRDefault="009E2F06" w:rsidP="00DE71B4">
      <w:pPr>
        <w:pBdr>
          <w:top w:val="nil"/>
          <w:left w:val="nil"/>
          <w:bottom w:val="nil"/>
          <w:right w:val="nil"/>
          <w:between w:val="nil"/>
        </w:pBdr>
        <w:spacing w:before="0" w:after="0" w:line="240" w:lineRule="auto"/>
        <w:rPr>
          <w:color w:val="auto"/>
          <w:sz w:val="20"/>
          <w:szCs w:val="20"/>
        </w:rPr>
      </w:pPr>
      <w:r w:rsidRPr="00DE71B4">
        <w:rPr>
          <w:color w:val="auto"/>
          <w:sz w:val="20"/>
          <w:szCs w:val="20"/>
          <w:vertAlign w:val="superscript"/>
        </w:rPr>
        <w:footnoteRef/>
      </w:r>
      <w:r w:rsidRPr="00DE71B4">
        <w:rPr>
          <w:color w:val="auto"/>
          <w:sz w:val="20"/>
          <w:szCs w:val="20"/>
        </w:rPr>
        <w:t xml:space="preserve"> PAPADAKIS, Vitalina Carmo. </w:t>
      </w:r>
      <w:r w:rsidRPr="00DE71B4">
        <w:rPr>
          <w:i/>
          <w:color w:val="auto"/>
          <w:sz w:val="20"/>
          <w:szCs w:val="20"/>
        </w:rPr>
        <w:t>Moçambique: Tráfico Humano e Crime Organizado</w:t>
      </w:r>
      <w:r w:rsidRPr="00DE71B4">
        <w:rPr>
          <w:color w:val="auto"/>
          <w:sz w:val="20"/>
          <w:szCs w:val="20"/>
        </w:rPr>
        <w:t xml:space="preserve">. In: </w:t>
      </w:r>
      <w:r w:rsidRPr="00DE71B4">
        <w:rPr>
          <w:i/>
          <w:color w:val="auto"/>
          <w:sz w:val="20"/>
          <w:szCs w:val="20"/>
        </w:rPr>
        <w:t xml:space="preserve">The Pontifical </w:t>
      </w:r>
      <w:proofErr w:type="spellStart"/>
      <w:r w:rsidRPr="00DE71B4">
        <w:rPr>
          <w:i/>
          <w:color w:val="auto"/>
          <w:sz w:val="20"/>
          <w:szCs w:val="20"/>
        </w:rPr>
        <w:t>Academy</w:t>
      </w:r>
      <w:proofErr w:type="spellEnd"/>
      <w:r w:rsidRPr="00DE71B4">
        <w:rPr>
          <w:i/>
          <w:color w:val="auto"/>
          <w:sz w:val="20"/>
          <w:szCs w:val="20"/>
        </w:rPr>
        <w:t xml:space="preserve"> </w:t>
      </w:r>
      <w:proofErr w:type="spellStart"/>
      <w:r w:rsidRPr="00DE71B4">
        <w:rPr>
          <w:i/>
          <w:color w:val="auto"/>
          <w:sz w:val="20"/>
          <w:szCs w:val="20"/>
        </w:rPr>
        <w:t>of</w:t>
      </w:r>
      <w:proofErr w:type="spellEnd"/>
      <w:r w:rsidRPr="00DE71B4">
        <w:rPr>
          <w:i/>
          <w:color w:val="auto"/>
          <w:sz w:val="20"/>
          <w:szCs w:val="20"/>
        </w:rPr>
        <w:t xml:space="preserve"> </w:t>
      </w:r>
      <w:proofErr w:type="spellStart"/>
      <w:r w:rsidRPr="00DE71B4">
        <w:rPr>
          <w:i/>
          <w:color w:val="auto"/>
          <w:sz w:val="20"/>
          <w:szCs w:val="20"/>
        </w:rPr>
        <w:t>Sciences</w:t>
      </w:r>
      <w:proofErr w:type="spellEnd"/>
      <w:r w:rsidRPr="00DE71B4">
        <w:rPr>
          <w:i/>
          <w:color w:val="auto"/>
          <w:sz w:val="20"/>
          <w:szCs w:val="20"/>
        </w:rPr>
        <w:t xml:space="preserve">. </w:t>
      </w:r>
      <w:r w:rsidRPr="00DE71B4">
        <w:rPr>
          <w:color w:val="auto"/>
          <w:sz w:val="20"/>
          <w:szCs w:val="20"/>
        </w:rPr>
        <w:t>Vaticano, 2019. Disponível em: &lt;</w:t>
      </w:r>
      <w:hyperlink r:id="rId36">
        <w:r w:rsidRPr="00DE71B4">
          <w:rPr>
            <w:color w:val="auto"/>
            <w:sz w:val="20"/>
            <w:szCs w:val="20"/>
            <w:u w:val="single"/>
          </w:rPr>
          <w:t>http://www.pas.va/content/accademia/en/publications/scriptavaria/africanwomenjudges/papadakis.pdf</w:t>
        </w:r>
      </w:hyperlink>
      <w:r w:rsidRPr="00DE71B4">
        <w:rPr>
          <w:color w:val="auto"/>
          <w:sz w:val="20"/>
          <w:szCs w:val="20"/>
        </w:rPr>
        <w:t>&gt;. Acesso em: 27 maio 2020.</w:t>
      </w:r>
    </w:p>
  </w:footnote>
  <w:footnote w:id="93">
    <w:p w14:paraId="4C03B2A1" w14:textId="5A61F279" w:rsidR="009E2F06" w:rsidRPr="00DE71B4" w:rsidRDefault="009E2F06" w:rsidP="00DE71B4">
      <w:pPr>
        <w:pBdr>
          <w:top w:val="nil"/>
          <w:left w:val="nil"/>
          <w:bottom w:val="nil"/>
          <w:right w:val="nil"/>
          <w:between w:val="nil"/>
        </w:pBdr>
        <w:spacing w:before="0" w:after="0" w:line="240" w:lineRule="auto"/>
        <w:rPr>
          <w:color w:val="auto"/>
          <w:sz w:val="20"/>
          <w:szCs w:val="20"/>
        </w:rPr>
      </w:pPr>
      <w:r w:rsidRPr="00DE71B4">
        <w:rPr>
          <w:color w:val="auto"/>
          <w:sz w:val="20"/>
          <w:szCs w:val="20"/>
          <w:vertAlign w:val="superscript"/>
        </w:rPr>
        <w:footnoteRef/>
      </w:r>
      <w:r w:rsidRPr="00DE71B4">
        <w:rPr>
          <w:color w:val="auto"/>
          <w:sz w:val="20"/>
          <w:szCs w:val="20"/>
        </w:rPr>
        <w:t xml:space="preserve"> EMBAIXADA DOS EUA. </w:t>
      </w:r>
      <w:r w:rsidRPr="00DE71B4">
        <w:rPr>
          <w:i/>
          <w:color w:val="auto"/>
          <w:sz w:val="20"/>
          <w:szCs w:val="20"/>
        </w:rPr>
        <w:t>Relatório sobre o Tráfico de Pessoas em Moçambique de 2018.</w:t>
      </w:r>
      <w:r w:rsidRPr="00DE71B4">
        <w:rPr>
          <w:color w:val="auto"/>
          <w:sz w:val="20"/>
          <w:szCs w:val="20"/>
        </w:rPr>
        <w:t xml:space="preserve"> Maputo: Departamento do Estado. 2019. </w:t>
      </w:r>
      <w:proofErr w:type="spellStart"/>
      <w:r w:rsidRPr="00DE71B4">
        <w:rPr>
          <w:color w:val="auto"/>
          <w:sz w:val="20"/>
          <w:szCs w:val="20"/>
        </w:rPr>
        <w:t>Deisponível</w:t>
      </w:r>
      <w:proofErr w:type="spellEnd"/>
      <w:r w:rsidRPr="00DE71B4">
        <w:rPr>
          <w:color w:val="auto"/>
          <w:sz w:val="20"/>
          <w:szCs w:val="20"/>
        </w:rPr>
        <w:t xml:space="preserve"> em: &lt;</w:t>
      </w:r>
      <w:hyperlink r:id="rId37">
        <w:r w:rsidRPr="00DE71B4">
          <w:rPr>
            <w:color w:val="auto"/>
            <w:sz w:val="20"/>
            <w:szCs w:val="20"/>
            <w:u w:val="single"/>
          </w:rPr>
          <w:t>https://mz.usembassy.gov/wp-content/uploads/sites/182/MOZAMBIQUE-2018-TIP-Report-Narrative-FINAL-18JUNE2018-Port-004.pdf</w:t>
        </w:r>
      </w:hyperlink>
      <w:r w:rsidRPr="00DE71B4">
        <w:rPr>
          <w:color w:val="auto"/>
          <w:sz w:val="20"/>
          <w:szCs w:val="20"/>
        </w:rPr>
        <w:t>&gt;. Acesso em: 1 maio 2020.</w:t>
      </w:r>
    </w:p>
  </w:footnote>
  <w:footnote w:id="94">
    <w:p w14:paraId="44E8B257" w14:textId="6B8AD5A1" w:rsidR="009E2F06" w:rsidRPr="00DE71B4" w:rsidRDefault="009E2F06" w:rsidP="00DE71B4">
      <w:pPr>
        <w:pBdr>
          <w:top w:val="nil"/>
          <w:left w:val="nil"/>
          <w:bottom w:val="nil"/>
          <w:right w:val="nil"/>
          <w:between w:val="nil"/>
        </w:pBdr>
        <w:spacing w:before="0" w:after="0" w:line="240" w:lineRule="auto"/>
        <w:rPr>
          <w:color w:val="auto"/>
          <w:sz w:val="20"/>
          <w:szCs w:val="20"/>
        </w:rPr>
      </w:pPr>
      <w:r w:rsidRPr="00DE71B4">
        <w:rPr>
          <w:color w:val="auto"/>
          <w:sz w:val="20"/>
          <w:szCs w:val="20"/>
          <w:vertAlign w:val="superscript"/>
        </w:rPr>
        <w:footnoteRef/>
      </w:r>
      <w:r w:rsidRPr="00DE71B4">
        <w:rPr>
          <w:color w:val="auto"/>
          <w:sz w:val="20"/>
          <w:szCs w:val="20"/>
        </w:rPr>
        <w:t xml:space="preserve"> O Nível 2 corresponde aos países cujos governos cumprem totalmente os padrões mínimos de legislação de proteção às vítimas de tráfico, mas estão envidando esforços significativos para o seu cumprimento. O Nível 2 Lista em observação, designado em inglês </w:t>
      </w:r>
      <w:proofErr w:type="spellStart"/>
      <w:r w:rsidRPr="00DE71B4">
        <w:rPr>
          <w:i/>
          <w:color w:val="auto"/>
          <w:sz w:val="20"/>
          <w:szCs w:val="20"/>
        </w:rPr>
        <w:t>Tier</w:t>
      </w:r>
      <w:proofErr w:type="spellEnd"/>
      <w:r w:rsidRPr="00DE71B4">
        <w:rPr>
          <w:i/>
          <w:color w:val="auto"/>
          <w:sz w:val="20"/>
          <w:szCs w:val="20"/>
        </w:rPr>
        <w:t xml:space="preserve"> 2 </w:t>
      </w:r>
      <w:proofErr w:type="spellStart"/>
      <w:r w:rsidRPr="00DE71B4">
        <w:rPr>
          <w:i/>
          <w:color w:val="auto"/>
          <w:sz w:val="20"/>
          <w:szCs w:val="20"/>
        </w:rPr>
        <w:t>Watch</w:t>
      </w:r>
      <w:proofErr w:type="spellEnd"/>
      <w:r w:rsidRPr="00DE71B4">
        <w:rPr>
          <w:i/>
          <w:color w:val="auto"/>
          <w:sz w:val="20"/>
          <w:szCs w:val="20"/>
        </w:rPr>
        <w:t xml:space="preserve"> </w:t>
      </w:r>
      <w:proofErr w:type="spellStart"/>
      <w:r w:rsidRPr="00DE71B4">
        <w:rPr>
          <w:i/>
          <w:color w:val="auto"/>
          <w:sz w:val="20"/>
          <w:szCs w:val="20"/>
        </w:rPr>
        <w:t>List</w:t>
      </w:r>
      <w:proofErr w:type="spellEnd"/>
      <w:r w:rsidRPr="00DE71B4">
        <w:rPr>
          <w:i/>
          <w:color w:val="auto"/>
          <w:sz w:val="20"/>
          <w:szCs w:val="20"/>
        </w:rPr>
        <w:t xml:space="preserve"> </w:t>
      </w:r>
      <w:r w:rsidRPr="00DE71B4">
        <w:rPr>
          <w:color w:val="auto"/>
          <w:sz w:val="20"/>
          <w:szCs w:val="20"/>
        </w:rPr>
        <w:t xml:space="preserve">corresponde ao mesmo que o Nível 2, mas apresentam o aumento significativo de vítimas, não apresentam esforços significativos do enfrentamento à problemática, em relação aos períodos anteriores, mas já demonstra o compromisso de adotar medidas futuras. O Nível 3, corresponde aos países, cujos governos não cumprem totalmente os padrões mínimos e não estão fazendo esforços significativos para fazê-lo. O Nível 1, designado em inglês </w:t>
      </w:r>
      <w:proofErr w:type="spellStart"/>
      <w:r w:rsidRPr="00DE71B4">
        <w:rPr>
          <w:i/>
          <w:color w:val="auto"/>
          <w:sz w:val="20"/>
          <w:szCs w:val="20"/>
        </w:rPr>
        <w:t>Tier</w:t>
      </w:r>
      <w:proofErr w:type="spellEnd"/>
      <w:r w:rsidRPr="00DE71B4">
        <w:rPr>
          <w:i/>
          <w:color w:val="auto"/>
          <w:sz w:val="20"/>
          <w:szCs w:val="20"/>
        </w:rPr>
        <w:t xml:space="preserve"> 1, </w:t>
      </w:r>
      <w:r w:rsidRPr="00DE71B4">
        <w:rPr>
          <w:color w:val="auto"/>
          <w:sz w:val="20"/>
          <w:szCs w:val="20"/>
        </w:rPr>
        <w:t>corresponde aos países, cujos governos cumprem integralmente os padrões mínimos de legislação de proteção às vítimas de tráfico.</w:t>
      </w:r>
    </w:p>
  </w:footnote>
  <w:footnote w:id="95">
    <w:p w14:paraId="2E0E8401" w14:textId="65AC78D8" w:rsidR="009E2F06" w:rsidRPr="00DE71B4" w:rsidRDefault="009E2F06" w:rsidP="00DE71B4">
      <w:pPr>
        <w:pBdr>
          <w:top w:val="nil"/>
          <w:left w:val="nil"/>
          <w:bottom w:val="nil"/>
          <w:right w:val="nil"/>
          <w:between w:val="nil"/>
        </w:pBdr>
        <w:spacing w:before="0" w:after="0" w:line="240" w:lineRule="auto"/>
        <w:rPr>
          <w:color w:val="auto"/>
          <w:sz w:val="20"/>
          <w:szCs w:val="20"/>
        </w:rPr>
      </w:pPr>
      <w:r w:rsidRPr="00DE71B4">
        <w:rPr>
          <w:color w:val="auto"/>
          <w:sz w:val="20"/>
          <w:szCs w:val="20"/>
          <w:vertAlign w:val="superscript"/>
        </w:rPr>
        <w:footnoteRef/>
      </w:r>
      <w:r w:rsidRPr="00DE71B4">
        <w:rPr>
          <w:color w:val="auto"/>
          <w:sz w:val="20"/>
          <w:szCs w:val="20"/>
        </w:rPr>
        <w:t xml:space="preserve"> PAPADAKIS, Vitalina Carmo. </w:t>
      </w:r>
      <w:r w:rsidRPr="00DE71B4">
        <w:rPr>
          <w:i/>
          <w:color w:val="auto"/>
          <w:sz w:val="20"/>
          <w:szCs w:val="20"/>
        </w:rPr>
        <w:t>Moçambique: Tráfico Humano e Crime Organizado</w:t>
      </w:r>
      <w:r w:rsidRPr="00DE71B4">
        <w:rPr>
          <w:color w:val="auto"/>
          <w:sz w:val="20"/>
          <w:szCs w:val="20"/>
        </w:rPr>
        <w:t xml:space="preserve">. </w:t>
      </w:r>
      <w:r w:rsidRPr="00DE71B4">
        <w:rPr>
          <w:iCs/>
          <w:color w:val="auto"/>
          <w:sz w:val="20"/>
          <w:szCs w:val="20"/>
        </w:rPr>
        <w:t>In</w:t>
      </w:r>
      <w:r w:rsidRPr="00DE71B4">
        <w:rPr>
          <w:color w:val="auto"/>
          <w:sz w:val="20"/>
          <w:szCs w:val="20"/>
        </w:rPr>
        <w:t xml:space="preserve">: </w:t>
      </w:r>
      <w:r w:rsidRPr="00DE71B4">
        <w:rPr>
          <w:i/>
          <w:color w:val="auto"/>
          <w:sz w:val="20"/>
          <w:szCs w:val="20"/>
        </w:rPr>
        <w:t xml:space="preserve">The Pontifical </w:t>
      </w:r>
      <w:proofErr w:type="spellStart"/>
      <w:r w:rsidRPr="00DE71B4">
        <w:rPr>
          <w:i/>
          <w:color w:val="auto"/>
          <w:sz w:val="20"/>
          <w:szCs w:val="20"/>
        </w:rPr>
        <w:t>Academy</w:t>
      </w:r>
      <w:proofErr w:type="spellEnd"/>
      <w:r w:rsidRPr="00DE71B4">
        <w:rPr>
          <w:i/>
          <w:color w:val="auto"/>
          <w:sz w:val="20"/>
          <w:szCs w:val="20"/>
        </w:rPr>
        <w:t xml:space="preserve"> </w:t>
      </w:r>
      <w:proofErr w:type="spellStart"/>
      <w:r w:rsidRPr="00DE71B4">
        <w:rPr>
          <w:i/>
          <w:color w:val="auto"/>
          <w:sz w:val="20"/>
          <w:szCs w:val="20"/>
        </w:rPr>
        <w:t>of</w:t>
      </w:r>
      <w:proofErr w:type="spellEnd"/>
      <w:r w:rsidRPr="00DE71B4">
        <w:rPr>
          <w:i/>
          <w:color w:val="auto"/>
          <w:sz w:val="20"/>
          <w:szCs w:val="20"/>
        </w:rPr>
        <w:t xml:space="preserve"> </w:t>
      </w:r>
      <w:proofErr w:type="spellStart"/>
      <w:r w:rsidRPr="00DE71B4">
        <w:rPr>
          <w:i/>
          <w:color w:val="auto"/>
          <w:sz w:val="20"/>
          <w:szCs w:val="20"/>
        </w:rPr>
        <w:t>Sciences</w:t>
      </w:r>
      <w:proofErr w:type="spellEnd"/>
      <w:r w:rsidRPr="00DE71B4">
        <w:rPr>
          <w:i/>
          <w:color w:val="auto"/>
          <w:sz w:val="20"/>
          <w:szCs w:val="20"/>
        </w:rPr>
        <w:t xml:space="preserve">. </w:t>
      </w:r>
      <w:r w:rsidRPr="00DE71B4">
        <w:rPr>
          <w:color w:val="auto"/>
          <w:sz w:val="20"/>
          <w:szCs w:val="20"/>
        </w:rPr>
        <w:t>Vaticano, 2019. Disponível em: &lt;</w:t>
      </w:r>
      <w:hyperlink r:id="rId38">
        <w:r w:rsidRPr="00DE71B4">
          <w:rPr>
            <w:color w:val="auto"/>
            <w:sz w:val="20"/>
            <w:szCs w:val="20"/>
            <w:u w:val="single"/>
          </w:rPr>
          <w:t>http://www.pas.va/content/accademia/en/publications/scriptavaria/africanwomenjudges/papadakis.pdf</w:t>
        </w:r>
      </w:hyperlink>
      <w:r w:rsidRPr="00DE71B4">
        <w:rPr>
          <w:color w:val="auto"/>
          <w:sz w:val="20"/>
          <w:szCs w:val="20"/>
        </w:rPr>
        <w:t>&gt;. Acesso em: 27 maio 2020.</w:t>
      </w:r>
    </w:p>
  </w:footnote>
  <w:footnote w:id="96">
    <w:p w14:paraId="7DEAF061" w14:textId="6661841F" w:rsidR="009E2F06" w:rsidRPr="00DE71B4" w:rsidRDefault="009E2F06" w:rsidP="00DE71B4">
      <w:pPr>
        <w:pBdr>
          <w:top w:val="nil"/>
          <w:left w:val="nil"/>
          <w:bottom w:val="nil"/>
          <w:right w:val="nil"/>
          <w:between w:val="nil"/>
        </w:pBdr>
        <w:spacing w:before="0" w:after="0" w:line="240" w:lineRule="auto"/>
        <w:rPr>
          <w:color w:val="auto"/>
          <w:sz w:val="20"/>
          <w:szCs w:val="20"/>
        </w:rPr>
      </w:pPr>
      <w:r w:rsidRPr="00DE71B4">
        <w:rPr>
          <w:color w:val="auto"/>
          <w:sz w:val="20"/>
          <w:szCs w:val="20"/>
          <w:vertAlign w:val="superscript"/>
        </w:rPr>
        <w:footnoteRef/>
      </w:r>
      <w:r w:rsidRPr="00DE71B4">
        <w:rPr>
          <w:color w:val="auto"/>
          <w:sz w:val="20"/>
          <w:szCs w:val="20"/>
        </w:rPr>
        <w:t xml:space="preserve"> EMBAIXADA DOS EUA. </w:t>
      </w:r>
      <w:r w:rsidRPr="00DE71B4">
        <w:rPr>
          <w:i/>
          <w:color w:val="auto"/>
          <w:sz w:val="20"/>
          <w:szCs w:val="20"/>
        </w:rPr>
        <w:t>Relatório sobre o Tráfico de Pessoas em Moçambique de 2018</w:t>
      </w:r>
      <w:r w:rsidRPr="00DE71B4">
        <w:rPr>
          <w:color w:val="auto"/>
          <w:sz w:val="20"/>
          <w:szCs w:val="20"/>
        </w:rPr>
        <w:t xml:space="preserve">. Maputo: Departamento do Estado. 2019. </w:t>
      </w:r>
      <w:proofErr w:type="spellStart"/>
      <w:r w:rsidRPr="00DE71B4">
        <w:rPr>
          <w:color w:val="auto"/>
          <w:sz w:val="20"/>
          <w:szCs w:val="20"/>
        </w:rPr>
        <w:t>Deisponível</w:t>
      </w:r>
      <w:proofErr w:type="spellEnd"/>
      <w:r w:rsidRPr="00DE71B4">
        <w:rPr>
          <w:color w:val="auto"/>
          <w:sz w:val="20"/>
          <w:szCs w:val="20"/>
        </w:rPr>
        <w:t xml:space="preserve"> em: &lt;</w:t>
      </w:r>
      <w:hyperlink r:id="rId39">
        <w:r w:rsidRPr="00DE71B4">
          <w:rPr>
            <w:color w:val="auto"/>
            <w:sz w:val="20"/>
            <w:szCs w:val="20"/>
            <w:u w:val="single"/>
          </w:rPr>
          <w:t>https://mz.usembassy.gov/wp-content/uploads/sites/182/MOZAMBIQUE-2018-TIP-Report-Narrative-FINAL-18JUNE2018-Port-004.pdf</w:t>
        </w:r>
      </w:hyperlink>
      <w:r w:rsidRPr="00DE71B4">
        <w:rPr>
          <w:color w:val="auto"/>
          <w:sz w:val="20"/>
          <w:szCs w:val="20"/>
        </w:rPr>
        <w:t>&gt;. Acesso em: 1 maio 2020.</w:t>
      </w:r>
    </w:p>
  </w:footnote>
  <w:footnote w:id="97">
    <w:p w14:paraId="3914A729" w14:textId="69AE970F" w:rsidR="009E2F06" w:rsidRPr="00DE71B4" w:rsidRDefault="009E2F06" w:rsidP="00DE71B4">
      <w:pPr>
        <w:pBdr>
          <w:top w:val="nil"/>
          <w:left w:val="nil"/>
          <w:bottom w:val="nil"/>
          <w:right w:val="nil"/>
          <w:between w:val="nil"/>
        </w:pBdr>
        <w:spacing w:before="0" w:after="0" w:line="240" w:lineRule="auto"/>
        <w:rPr>
          <w:color w:val="auto"/>
          <w:sz w:val="20"/>
          <w:szCs w:val="20"/>
        </w:rPr>
      </w:pPr>
      <w:r w:rsidRPr="00DE71B4">
        <w:rPr>
          <w:color w:val="auto"/>
          <w:sz w:val="20"/>
          <w:szCs w:val="20"/>
          <w:vertAlign w:val="superscript"/>
        </w:rPr>
        <w:footnoteRef/>
      </w:r>
      <w:r w:rsidRPr="00DE71B4">
        <w:rPr>
          <w:color w:val="auto"/>
          <w:sz w:val="20"/>
          <w:szCs w:val="20"/>
        </w:rPr>
        <w:t xml:space="preserve"> UNODC. </w:t>
      </w:r>
      <w:r w:rsidRPr="00DE71B4">
        <w:rPr>
          <w:i/>
          <w:color w:val="auto"/>
          <w:sz w:val="20"/>
          <w:szCs w:val="20"/>
        </w:rPr>
        <w:t>Relatório Global sobre o Tráfico de Pessoas 2018</w:t>
      </w:r>
      <w:r w:rsidRPr="00DE71B4">
        <w:rPr>
          <w:color w:val="auto"/>
          <w:sz w:val="20"/>
          <w:szCs w:val="20"/>
        </w:rPr>
        <w:t>. Nova York: Publicação das Nações Unidas. 2018. Disponível em: &lt;</w:t>
      </w:r>
      <w:hyperlink r:id="rId40">
        <w:r w:rsidRPr="00DE71B4">
          <w:rPr>
            <w:color w:val="auto"/>
            <w:sz w:val="20"/>
            <w:szCs w:val="20"/>
            <w:u w:val="single"/>
          </w:rPr>
          <w:t>https://www.unodc.org/documents/lpo-brazil//Topics_TIP/Publicacoes/TiP_PT.pdf</w:t>
        </w:r>
      </w:hyperlink>
      <w:r w:rsidRPr="00DE71B4">
        <w:rPr>
          <w:color w:val="auto"/>
          <w:sz w:val="20"/>
          <w:szCs w:val="20"/>
        </w:rPr>
        <w:t>&gt;. Acesso em: 22 maio 2020. </w:t>
      </w:r>
    </w:p>
    <w:p w14:paraId="685D955A" w14:textId="77777777" w:rsidR="009E2F06" w:rsidRPr="00DE71B4" w:rsidRDefault="009E2F06" w:rsidP="00DE71B4">
      <w:pPr>
        <w:pBdr>
          <w:top w:val="nil"/>
          <w:left w:val="nil"/>
          <w:bottom w:val="nil"/>
          <w:right w:val="nil"/>
          <w:between w:val="nil"/>
        </w:pBdr>
        <w:spacing w:before="0" w:after="0" w:line="240" w:lineRule="auto"/>
        <w:rPr>
          <w:color w:val="auto"/>
          <w:sz w:val="20"/>
          <w:szCs w:val="20"/>
        </w:rPr>
      </w:pPr>
    </w:p>
  </w:footnote>
  <w:footnote w:id="98">
    <w:p w14:paraId="69378625" w14:textId="38FE6858" w:rsidR="009E2F06" w:rsidRPr="00DE71B4" w:rsidRDefault="009E2F06" w:rsidP="00DE71B4">
      <w:pPr>
        <w:pBdr>
          <w:top w:val="nil"/>
          <w:left w:val="nil"/>
          <w:bottom w:val="nil"/>
          <w:right w:val="nil"/>
          <w:between w:val="nil"/>
        </w:pBdr>
        <w:spacing w:before="0" w:after="0" w:line="240" w:lineRule="auto"/>
        <w:rPr>
          <w:color w:val="auto"/>
          <w:sz w:val="20"/>
          <w:szCs w:val="20"/>
        </w:rPr>
      </w:pPr>
      <w:r w:rsidRPr="00DE71B4">
        <w:rPr>
          <w:color w:val="auto"/>
          <w:sz w:val="20"/>
          <w:szCs w:val="20"/>
          <w:vertAlign w:val="superscript"/>
        </w:rPr>
        <w:footnoteRef/>
      </w:r>
      <w:r w:rsidRPr="00DE71B4">
        <w:rPr>
          <w:color w:val="auto"/>
          <w:sz w:val="20"/>
          <w:szCs w:val="20"/>
        </w:rPr>
        <w:t xml:space="preserve"> UNODC. </w:t>
      </w:r>
      <w:r w:rsidRPr="00DE71B4">
        <w:rPr>
          <w:i/>
          <w:color w:val="auto"/>
          <w:sz w:val="20"/>
          <w:szCs w:val="20"/>
        </w:rPr>
        <w:t>Relatório Global sobre o Tráfico de Pessoas 2018</w:t>
      </w:r>
      <w:r w:rsidRPr="00DE71B4">
        <w:rPr>
          <w:color w:val="auto"/>
          <w:sz w:val="20"/>
          <w:szCs w:val="20"/>
        </w:rPr>
        <w:t>. Nova York: Publicação das Nações Unidas. 2018. Disponível em: &lt;</w:t>
      </w:r>
      <w:hyperlink r:id="rId41">
        <w:r w:rsidRPr="00DE71B4">
          <w:rPr>
            <w:color w:val="auto"/>
            <w:sz w:val="20"/>
            <w:szCs w:val="20"/>
            <w:u w:val="single"/>
          </w:rPr>
          <w:t>https://www.unodc.org/documents/lpo-brazil//Topics_TIP/Publicacoes/TiP_PT.pdf</w:t>
        </w:r>
      </w:hyperlink>
      <w:r w:rsidRPr="00DE71B4">
        <w:rPr>
          <w:color w:val="auto"/>
          <w:sz w:val="20"/>
          <w:szCs w:val="20"/>
        </w:rPr>
        <w:t>&gt;. Acesso em: 22 maio 2020. </w:t>
      </w:r>
    </w:p>
  </w:footnote>
  <w:footnote w:id="99">
    <w:p w14:paraId="12221B3A" w14:textId="7AFA89D1" w:rsidR="009E2F06" w:rsidRPr="00DE71B4" w:rsidRDefault="009E2F06" w:rsidP="00DE71B4">
      <w:pPr>
        <w:pBdr>
          <w:top w:val="nil"/>
          <w:left w:val="nil"/>
          <w:bottom w:val="nil"/>
          <w:right w:val="nil"/>
          <w:between w:val="nil"/>
        </w:pBdr>
        <w:spacing w:before="0" w:after="0" w:line="240" w:lineRule="auto"/>
        <w:rPr>
          <w:color w:val="auto"/>
          <w:sz w:val="20"/>
          <w:szCs w:val="20"/>
        </w:rPr>
      </w:pPr>
      <w:r w:rsidRPr="00DE71B4">
        <w:rPr>
          <w:color w:val="auto"/>
          <w:sz w:val="20"/>
          <w:szCs w:val="20"/>
          <w:vertAlign w:val="superscript"/>
        </w:rPr>
        <w:footnoteRef/>
      </w:r>
      <w:r w:rsidRPr="00DE71B4">
        <w:rPr>
          <w:color w:val="auto"/>
          <w:sz w:val="20"/>
          <w:szCs w:val="20"/>
        </w:rPr>
        <w:t xml:space="preserve"> UNODC. </w:t>
      </w:r>
      <w:proofErr w:type="spellStart"/>
      <w:r w:rsidRPr="00DE71B4">
        <w:rPr>
          <w:i/>
          <w:color w:val="auto"/>
          <w:sz w:val="20"/>
          <w:szCs w:val="20"/>
        </w:rPr>
        <w:t>Human</w:t>
      </w:r>
      <w:proofErr w:type="spellEnd"/>
      <w:r w:rsidRPr="00DE71B4">
        <w:rPr>
          <w:i/>
          <w:color w:val="auto"/>
          <w:sz w:val="20"/>
          <w:szCs w:val="20"/>
        </w:rPr>
        <w:t xml:space="preserve"> </w:t>
      </w:r>
      <w:proofErr w:type="spellStart"/>
      <w:r w:rsidRPr="00DE71B4">
        <w:rPr>
          <w:i/>
          <w:color w:val="auto"/>
          <w:sz w:val="20"/>
          <w:szCs w:val="20"/>
        </w:rPr>
        <w:t>Trafficking</w:t>
      </w:r>
      <w:proofErr w:type="spellEnd"/>
      <w:r w:rsidRPr="00DE71B4">
        <w:rPr>
          <w:i/>
          <w:color w:val="auto"/>
          <w:sz w:val="20"/>
          <w:szCs w:val="20"/>
        </w:rPr>
        <w:t xml:space="preserve"> </w:t>
      </w:r>
      <w:proofErr w:type="spellStart"/>
      <w:r w:rsidRPr="00DE71B4">
        <w:rPr>
          <w:i/>
          <w:color w:val="auto"/>
          <w:sz w:val="20"/>
          <w:szCs w:val="20"/>
        </w:rPr>
        <w:t>Knowledge</w:t>
      </w:r>
      <w:proofErr w:type="spellEnd"/>
      <w:r w:rsidRPr="00DE71B4">
        <w:rPr>
          <w:i/>
          <w:color w:val="auto"/>
          <w:sz w:val="20"/>
          <w:szCs w:val="20"/>
        </w:rPr>
        <w:t xml:space="preserve"> Portal. </w:t>
      </w:r>
      <w:r w:rsidRPr="00DE71B4">
        <w:rPr>
          <w:color w:val="auto"/>
          <w:sz w:val="20"/>
          <w:szCs w:val="20"/>
        </w:rPr>
        <w:t>Disponível em: &lt;</w:t>
      </w:r>
      <w:hyperlink r:id="rId42">
        <w:r w:rsidRPr="00DE71B4">
          <w:rPr>
            <w:color w:val="auto"/>
            <w:sz w:val="20"/>
            <w:szCs w:val="20"/>
            <w:u w:val="single"/>
          </w:rPr>
          <w:t>https://sherloc.unodc.org/cld/en/v3/htms/index.html</w:t>
        </w:r>
      </w:hyperlink>
      <w:r w:rsidRPr="00DE71B4">
        <w:rPr>
          <w:color w:val="auto"/>
          <w:sz w:val="20"/>
          <w:szCs w:val="20"/>
        </w:rPr>
        <w:t>. Acesso em: 15 maio 2020.</w:t>
      </w:r>
    </w:p>
  </w:footnote>
  <w:footnote w:id="100">
    <w:p w14:paraId="417B351F" w14:textId="4ACAA364" w:rsidR="009E2F06" w:rsidRPr="00DE71B4" w:rsidRDefault="009E2F06" w:rsidP="00DE71B4">
      <w:pPr>
        <w:spacing w:before="0" w:after="0" w:line="240" w:lineRule="auto"/>
        <w:rPr>
          <w:color w:val="auto"/>
          <w:sz w:val="20"/>
          <w:szCs w:val="20"/>
          <w:lang w:val="en-US"/>
        </w:rPr>
      </w:pPr>
      <w:r w:rsidRPr="00DE71B4">
        <w:rPr>
          <w:color w:val="auto"/>
          <w:sz w:val="20"/>
          <w:szCs w:val="20"/>
          <w:vertAlign w:val="superscript"/>
        </w:rPr>
        <w:footnoteRef/>
      </w:r>
      <w:r w:rsidRPr="00DE71B4">
        <w:rPr>
          <w:color w:val="auto"/>
          <w:sz w:val="20"/>
          <w:szCs w:val="20"/>
        </w:rPr>
        <w:t xml:space="preserve"> UNODC. </w:t>
      </w:r>
      <w:proofErr w:type="spellStart"/>
      <w:r w:rsidRPr="00DE71B4">
        <w:rPr>
          <w:i/>
          <w:color w:val="auto"/>
          <w:sz w:val="20"/>
          <w:szCs w:val="20"/>
        </w:rPr>
        <w:t>Human</w:t>
      </w:r>
      <w:proofErr w:type="spellEnd"/>
      <w:r w:rsidRPr="00DE71B4">
        <w:rPr>
          <w:i/>
          <w:color w:val="auto"/>
          <w:sz w:val="20"/>
          <w:szCs w:val="20"/>
        </w:rPr>
        <w:t xml:space="preserve"> </w:t>
      </w:r>
      <w:proofErr w:type="spellStart"/>
      <w:r w:rsidRPr="00DE71B4">
        <w:rPr>
          <w:i/>
          <w:color w:val="auto"/>
          <w:sz w:val="20"/>
          <w:szCs w:val="20"/>
        </w:rPr>
        <w:t>Trafficking</w:t>
      </w:r>
      <w:proofErr w:type="spellEnd"/>
      <w:r w:rsidRPr="00DE71B4">
        <w:rPr>
          <w:i/>
          <w:color w:val="auto"/>
          <w:sz w:val="20"/>
          <w:szCs w:val="20"/>
        </w:rPr>
        <w:t xml:space="preserve"> </w:t>
      </w:r>
      <w:proofErr w:type="spellStart"/>
      <w:r w:rsidRPr="00DE71B4">
        <w:rPr>
          <w:i/>
          <w:color w:val="auto"/>
          <w:sz w:val="20"/>
          <w:szCs w:val="20"/>
        </w:rPr>
        <w:t>Knowledge</w:t>
      </w:r>
      <w:proofErr w:type="spellEnd"/>
      <w:r w:rsidRPr="00DE71B4">
        <w:rPr>
          <w:i/>
          <w:color w:val="auto"/>
          <w:sz w:val="20"/>
          <w:szCs w:val="20"/>
        </w:rPr>
        <w:t xml:space="preserve"> Portal. </w:t>
      </w:r>
      <w:r w:rsidRPr="00DE71B4">
        <w:rPr>
          <w:color w:val="auto"/>
          <w:sz w:val="20"/>
          <w:szCs w:val="20"/>
        </w:rPr>
        <w:t>Disponível em: &lt;</w:t>
      </w:r>
      <w:hyperlink r:id="rId43">
        <w:r w:rsidRPr="00DE71B4">
          <w:rPr>
            <w:color w:val="auto"/>
            <w:sz w:val="20"/>
            <w:szCs w:val="20"/>
            <w:u w:val="single"/>
          </w:rPr>
          <w:t>https://sherloc.unodc.org/cld/en/v3/htms/index.html</w:t>
        </w:r>
      </w:hyperlink>
      <w:r w:rsidRPr="00DE71B4">
        <w:rPr>
          <w:color w:val="auto"/>
          <w:sz w:val="20"/>
          <w:szCs w:val="20"/>
        </w:rPr>
        <w:t xml:space="preserve">. </w:t>
      </w:r>
      <w:proofErr w:type="spellStart"/>
      <w:r w:rsidRPr="00DE71B4">
        <w:rPr>
          <w:color w:val="auto"/>
          <w:sz w:val="20"/>
          <w:szCs w:val="20"/>
          <w:lang w:val="en-US"/>
        </w:rPr>
        <w:t>Acesso</w:t>
      </w:r>
      <w:proofErr w:type="spellEnd"/>
      <w:r w:rsidRPr="00DE71B4">
        <w:rPr>
          <w:color w:val="auto"/>
          <w:sz w:val="20"/>
          <w:szCs w:val="20"/>
          <w:lang w:val="en-US"/>
        </w:rPr>
        <w:t xml:space="preserve"> </w:t>
      </w:r>
      <w:proofErr w:type="spellStart"/>
      <w:r w:rsidRPr="00DE71B4">
        <w:rPr>
          <w:color w:val="auto"/>
          <w:sz w:val="20"/>
          <w:szCs w:val="20"/>
          <w:lang w:val="en-US"/>
        </w:rPr>
        <w:t>em</w:t>
      </w:r>
      <w:proofErr w:type="spellEnd"/>
      <w:r w:rsidRPr="00DE71B4">
        <w:rPr>
          <w:color w:val="auto"/>
          <w:sz w:val="20"/>
          <w:szCs w:val="20"/>
          <w:lang w:val="en-US"/>
        </w:rPr>
        <w:t xml:space="preserve">: 15 </w:t>
      </w:r>
      <w:proofErr w:type="spellStart"/>
      <w:r w:rsidRPr="00DE71B4">
        <w:rPr>
          <w:color w:val="auto"/>
          <w:sz w:val="20"/>
          <w:szCs w:val="20"/>
          <w:lang w:val="en-US"/>
        </w:rPr>
        <w:t>maio</w:t>
      </w:r>
      <w:proofErr w:type="spellEnd"/>
      <w:r w:rsidRPr="00DE71B4">
        <w:rPr>
          <w:color w:val="auto"/>
          <w:sz w:val="20"/>
          <w:szCs w:val="20"/>
          <w:lang w:val="en-US"/>
        </w:rPr>
        <w:t xml:space="preserve"> 2020.</w:t>
      </w:r>
    </w:p>
  </w:footnote>
  <w:footnote w:id="101">
    <w:p w14:paraId="2EB1B0D1" w14:textId="77777777" w:rsidR="009E2F06" w:rsidRPr="00DE71B4" w:rsidRDefault="009E2F06" w:rsidP="00DE71B4">
      <w:pPr>
        <w:spacing w:before="0" w:after="0" w:line="240" w:lineRule="auto"/>
        <w:rPr>
          <w:color w:val="auto"/>
          <w:sz w:val="20"/>
          <w:szCs w:val="20"/>
        </w:rPr>
      </w:pPr>
      <w:r w:rsidRPr="00DE71B4">
        <w:rPr>
          <w:color w:val="auto"/>
          <w:sz w:val="20"/>
          <w:szCs w:val="20"/>
          <w:vertAlign w:val="superscript"/>
        </w:rPr>
        <w:footnoteRef/>
      </w:r>
      <w:r w:rsidRPr="00DE71B4">
        <w:rPr>
          <w:color w:val="auto"/>
          <w:sz w:val="20"/>
          <w:szCs w:val="20"/>
          <w:lang w:val="en-US"/>
        </w:rPr>
        <w:t xml:space="preserve"> UNODC. </w:t>
      </w:r>
      <w:r w:rsidRPr="00DE71B4">
        <w:rPr>
          <w:i/>
          <w:color w:val="auto"/>
          <w:sz w:val="20"/>
          <w:szCs w:val="20"/>
          <w:lang w:val="en-US"/>
        </w:rPr>
        <w:t xml:space="preserve">Human Trafficking Knowledge Portal: Case Law Database. </w:t>
      </w:r>
      <w:r w:rsidRPr="00DE71B4">
        <w:rPr>
          <w:color w:val="auto"/>
          <w:sz w:val="20"/>
          <w:szCs w:val="20"/>
        </w:rPr>
        <w:t xml:space="preserve">Disponível em: &lt; </w:t>
      </w:r>
      <w:hyperlink r:id="rId44">
        <w:r w:rsidRPr="00DE71B4">
          <w:rPr>
            <w:color w:val="auto"/>
            <w:sz w:val="20"/>
            <w:szCs w:val="20"/>
            <w:u w:val="single"/>
          </w:rPr>
          <w:t>https://sherloc.unodc.org/cld/v3/htms/cldb/index.html?lng=en</w:t>
        </w:r>
      </w:hyperlink>
      <w:r w:rsidRPr="00DE71B4">
        <w:rPr>
          <w:color w:val="auto"/>
          <w:sz w:val="20"/>
          <w:szCs w:val="20"/>
        </w:rPr>
        <w:t>. Acesso em: 14 jun. 2020.</w:t>
      </w:r>
    </w:p>
  </w:footnote>
  <w:footnote w:id="102">
    <w:p w14:paraId="71D9117F" w14:textId="77777777" w:rsidR="009E2F06" w:rsidRPr="00DE71B4" w:rsidRDefault="009E2F06" w:rsidP="00DE71B4">
      <w:pPr>
        <w:pBdr>
          <w:top w:val="nil"/>
          <w:left w:val="nil"/>
          <w:bottom w:val="nil"/>
          <w:right w:val="nil"/>
          <w:between w:val="nil"/>
        </w:pBdr>
        <w:spacing w:before="0" w:after="0" w:line="240" w:lineRule="auto"/>
        <w:rPr>
          <w:color w:val="auto"/>
          <w:sz w:val="20"/>
          <w:szCs w:val="20"/>
        </w:rPr>
      </w:pPr>
      <w:r w:rsidRPr="00DE71B4">
        <w:rPr>
          <w:color w:val="auto"/>
          <w:sz w:val="20"/>
          <w:szCs w:val="20"/>
          <w:vertAlign w:val="superscript"/>
        </w:rPr>
        <w:footnoteRef/>
      </w:r>
      <w:r w:rsidRPr="00DE71B4">
        <w:rPr>
          <w:color w:val="auto"/>
          <w:sz w:val="20"/>
          <w:szCs w:val="20"/>
        </w:rPr>
        <w:t xml:space="preserve"> O Gráfico 1 representa, apenas, a compilação de dados sobre casos julgados na região da África Austral, região onde Moçambique está inserido e desenvolve ações em coordenação e cooperação com os países da região em cumprimento das recomendações, tanto do Protocolo, quanto do Plano Estratégico Decenal de Combate ao Tráfico de Pessoas especialmente Mulheres e Crianças.</w:t>
      </w:r>
    </w:p>
  </w:footnote>
  <w:footnote w:id="103">
    <w:p w14:paraId="2F813198" w14:textId="68002024" w:rsidR="009E2F06" w:rsidRPr="00DE71B4" w:rsidRDefault="009E2F06" w:rsidP="00DE71B4">
      <w:pPr>
        <w:pBdr>
          <w:top w:val="nil"/>
          <w:left w:val="nil"/>
          <w:bottom w:val="nil"/>
          <w:right w:val="nil"/>
          <w:between w:val="nil"/>
        </w:pBdr>
        <w:spacing w:before="0" w:after="0" w:line="240" w:lineRule="auto"/>
        <w:rPr>
          <w:color w:val="auto"/>
          <w:sz w:val="20"/>
          <w:szCs w:val="20"/>
        </w:rPr>
      </w:pPr>
      <w:r w:rsidRPr="00DE71B4">
        <w:rPr>
          <w:color w:val="auto"/>
          <w:sz w:val="20"/>
          <w:szCs w:val="20"/>
          <w:vertAlign w:val="superscript"/>
        </w:rPr>
        <w:footnoteRef/>
      </w:r>
      <w:r w:rsidRPr="00DE71B4">
        <w:rPr>
          <w:color w:val="auto"/>
          <w:sz w:val="20"/>
          <w:szCs w:val="20"/>
        </w:rPr>
        <w:t xml:space="preserve"> ZAR significa </w:t>
      </w:r>
      <w:proofErr w:type="spellStart"/>
      <w:r w:rsidRPr="00DE71B4">
        <w:rPr>
          <w:color w:val="auto"/>
          <w:sz w:val="20"/>
          <w:szCs w:val="20"/>
        </w:rPr>
        <w:t>Rand</w:t>
      </w:r>
      <w:proofErr w:type="spellEnd"/>
      <w:r w:rsidRPr="00DE71B4">
        <w:rPr>
          <w:color w:val="auto"/>
          <w:sz w:val="20"/>
          <w:szCs w:val="20"/>
        </w:rPr>
        <w:t xml:space="preserve"> - Moeda oficial da República da África do Sul. O </w:t>
      </w:r>
      <w:proofErr w:type="spellStart"/>
      <w:r w:rsidRPr="00DE71B4">
        <w:rPr>
          <w:color w:val="auto"/>
          <w:sz w:val="20"/>
          <w:szCs w:val="20"/>
        </w:rPr>
        <w:t>Rand</w:t>
      </w:r>
      <w:proofErr w:type="spellEnd"/>
      <w:r w:rsidRPr="00DE71B4">
        <w:rPr>
          <w:color w:val="auto"/>
          <w:sz w:val="20"/>
          <w:szCs w:val="20"/>
        </w:rPr>
        <w:t xml:space="preserve"> foi criado em 1961, cujo nome vem da abreviação de </w:t>
      </w:r>
      <w:proofErr w:type="spellStart"/>
      <w:r w:rsidRPr="00DE71B4">
        <w:rPr>
          <w:i/>
          <w:color w:val="auto"/>
          <w:sz w:val="20"/>
          <w:szCs w:val="20"/>
        </w:rPr>
        <w:t>Witwatersrand</w:t>
      </w:r>
      <w:proofErr w:type="spellEnd"/>
      <w:r w:rsidRPr="00DE71B4">
        <w:rPr>
          <w:color w:val="auto"/>
          <w:sz w:val="20"/>
          <w:szCs w:val="20"/>
        </w:rPr>
        <w:t xml:space="preserve">, que, por sua vez, é a abreviação de </w:t>
      </w:r>
      <w:r w:rsidRPr="00DE71B4">
        <w:rPr>
          <w:i/>
          <w:iCs/>
          <w:color w:val="auto"/>
          <w:sz w:val="20"/>
          <w:szCs w:val="20"/>
        </w:rPr>
        <w:t>White-</w:t>
      </w:r>
      <w:proofErr w:type="spellStart"/>
      <w:r w:rsidRPr="00DE71B4">
        <w:rPr>
          <w:i/>
          <w:iCs/>
          <w:color w:val="auto"/>
          <w:sz w:val="20"/>
          <w:szCs w:val="20"/>
        </w:rPr>
        <w:t>waters</w:t>
      </w:r>
      <w:proofErr w:type="spellEnd"/>
      <w:r w:rsidRPr="00DE71B4">
        <w:rPr>
          <w:i/>
          <w:iCs/>
          <w:color w:val="auto"/>
          <w:sz w:val="20"/>
          <w:szCs w:val="20"/>
        </w:rPr>
        <w:t>-</w:t>
      </w:r>
      <w:proofErr w:type="spellStart"/>
      <w:r w:rsidRPr="00DE71B4">
        <w:rPr>
          <w:i/>
          <w:iCs/>
          <w:color w:val="auto"/>
          <w:sz w:val="20"/>
          <w:szCs w:val="20"/>
        </w:rPr>
        <w:t>ridge</w:t>
      </w:r>
      <w:proofErr w:type="spellEnd"/>
      <w:r w:rsidRPr="00DE71B4">
        <w:rPr>
          <w:color w:val="auto"/>
          <w:sz w:val="20"/>
          <w:szCs w:val="20"/>
        </w:rPr>
        <w:t xml:space="preserve">, que significa “Montanha das Águas Brancas”, sendo uma referência a maior reserva de ouro do país.  </w:t>
      </w:r>
    </w:p>
  </w:footnote>
  <w:footnote w:id="104">
    <w:p w14:paraId="0A5862D2" w14:textId="77777777" w:rsidR="009E2F06" w:rsidRPr="00DE71B4" w:rsidRDefault="009E2F06" w:rsidP="00DE71B4">
      <w:pPr>
        <w:pBdr>
          <w:top w:val="nil"/>
          <w:left w:val="nil"/>
          <w:bottom w:val="nil"/>
          <w:right w:val="nil"/>
          <w:between w:val="nil"/>
        </w:pBdr>
        <w:spacing w:before="0" w:after="0" w:line="240" w:lineRule="auto"/>
        <w:rPr>
          <w:color w:val="auto"/>
          <w:sz w:val="20"/>
          <w:szCs w:val="20"/>
        </w:rPr>
      </w:pPr>
      <w:r w:rsidRPr="00DE71B4">
        <w:rPr>
          <w:color w:val="auto"/>
          <w:sz w:val="20"/>
          <w:szCs w:val="20"/>
          <w:vertAlign w:val="superscript"/>
        </w:rPr>
        <w:footnoteRef/>
      </w:r>
      <w:r w:rsidRPr="00DE71B4">
        <w:rPr>
          <w:color w:val="auto"/>
          <w:sz w:val="20"/>
          <w:szCs w:val="20"/>
          <w:lang w:val="en-US"/>
        </w:rPr>
        <w:t xml:space="preserve"> UNODC. </w:t>
      </w:r>
      <w:r w:rsidRPr="00DE71B4">
        <w:rPr>
          <w:i/>
          <w:color w:val="auto"/>
          <w:sz w:val="20"/>
          <w:szCs w:val="20"/>
          <w:lang w:val="en-US"/>
        </w:rPr>
        <w:t xml:space="preserve">Human Trafficking Knowledge Portal: Case Law Database. </w:t>
      </w:r>
      <w:r w:rsidRPr="00DE71B4">
        <w:rPr>
          <w:color w:val="auto"/>
          <w:sz w:val="20"/>
          <w:szCs w:val="20"/>
        </w:rPr>
        <w:t xml:space="preserve">Disponível em: &lt; </w:t>
      </w:r>
      <w:hyperlink r:id="rId45">
        <w:r w:rsidRPr="00DE71B4">
          <w:rPr>
            <w:color w:val="auto"/>
            <w:sz w:val="20"/>
            <w:szCs w:val="20"/>
            <w:u w:val="single"/>
          </w:rPr>
          <w:t>https://sherloc.unodc.org/cld/v3/htms/cldb/index.html?lng=en</w:t>
        </w:r>
      </w:hyperlink>
      <w:r w:rsidRPr="00DE71B4">
        <w:rPr>
          <w:color w:val="auto"/>
          <w:sz w:val="20"/>
          <w:szCs w:val="20"/>
        </w:rPr>
        <w:t>. Acesso em: 14 jun. 2020.</w:t>
      </w:r>
    </w:p>
  </w:footnote>
  <w:footnote w:id="105">
    <w:p w14:paraId="7BD3DA84" w14:textId="069E79B6" w:rsidR="009E2F06" w:rsidRPr="00DE71B4" w:rsidRDefault="009E2F06" w:rsidP="00DE71B4">
      <w:pPr>
        <w:spacing w:before="0" w:after="0" w:line="240" w:lineRule="auto"/>
        <w:rPr>
          <w:color w:val="auto"/>
          <w:sz w:val="20"/>
          <w:szCs w:val="20"/>
        </w:rPr>
      </w:pPr>
      <w:r w:rsidRPr="00DE71B4">
        <w:rPr>
          <w:color w:val="auto"/>
          <w:sz w:val="20"/>
          <w:szCs w:val="20"/>
          <w:vertAlign w:val="superscript"/>
        </w:rPr>
        <w:footnoteRef/>
      </w:r>
      <w:r w:rsidRPr="00DE71B4">
        <w:rPr>
          <w:color w:val="auto"/>
          <w:sz w:val="20"/>
          <w:szCs w:val="20"/>
        </w:rPr>
        <w:t xml:space="preserve"> PGR. </w:t>
      </w:r>
      <w:r w:rsidRPr="00DE71B4">
        <w:rPr>
          <w:i/>
          <w:color w:val="auto"/>
          <w:sz w:val="20"/>
          <w:szCs w:val="20"/>
        </w:rPr>
        <w:t>Informe Anual de 2017 da Procuradoria-geral à Assembleia da República</w:t>
      </w:r>
      <w:r w:rsidRPr="00DE71B4">
        <w:rPr>
          <w:color w:val="auto"/>
          <w:sz w:val="20"/>
          <w:szCs w:val="20"/>
        </w:rPr>
        <w:t xml:space="preserve">. Moçambique: Procuradoria Geral da República, 2017. p. 128. Disponível em: &lt; </w:t>
      </w:r>
      <w:hyperlink r:id="rId46">
        <w:r w:rsidRPr="00DE71B4">
          <w:rPr>
            <w:color w:val="auto"/>
            <w:sz w:val="20"/>
            <w:szCs w:val="20"/>
            <w:u w:val="single"/>
          </w:rPr>
          <w:t>http://www.pgr.gov.mz/images/documentos/informe-anual/Informe_pgr_2017.pdf</w:t>
        </w:r>
      </w:hyperlink>
      <w:r w:rsidRPr="00DE71B4">
        <w:rPr>
          <w:color w:val="auto"/>
          <w:sz w:val="20"/>
          <w:szCs w:val="20"/>
        </w:rPr>
        <w:t>&gt;. Acesso em: 23 maio 2020.</w:t>
      </w:r>
    </w:p>
  </w:footnote>
  <w:footnote w:id="106">
    <w:p w14:paraId="0972FE0E" w14:textId="5F75597E" w:rsidR="009E2F06" w:rsidRPr="00DE71B4" w:rsidRDefault="009E2F06" w:rsidP="00DE71B4">
      <w:pPr>
        <w:pBdr>
          <w:top w:val="nil"/>
          <w:left w:val="nil"/>
          <w:bottom w:val="nil"/>
          <w:right w:val="nil"/>
          <w:between w:val="nil"/>
        </w:pBdr>
        <w:spacing w:before="0" w:after="0" w:line="240" w:lineRule="auto"/>
        <w:rPr>
          <w:color w:val="auto"/>
          <w:sz w:val="20"/>
          <w:szCs w:val="20"/>
        </w:rPr>
      </w:pPr>
      <w:r w:rsidRPr="00DE71B4">
        <w:rPr>
          <w:color w:val="auto"/>
          <w:sz w:val="20"/>
          <w:szCs w:val="20"/>
          <w:vertAlign w:val="superscript"/>
        </w:rPr>
        <w:footnoteRef/>
      </w:r>
      <w:r w:rsidRPr="00DE71B4">
        <w:rPr>
          <w:color w:val="auto"/>
          <w:sz w:val="20"/>
          <w:szCs w:val="20"/>
        </w:rPr>
        <w:t xml:space="preserve"> PGR. </w:t>
      </w:r>
      <w:r w:rsidRPr="00DE71B4">
        <w:rPr>
          <w:i/>
          <w:color w:val="auto"/>
          <w:sz w:val="20"/>
          <w:szCs w:val="20"/>
        </w:rPr>
        <w:t>Informe Anual de 2017 da Procuradoria-geral à Assembleia da República</w:t>
      </w:r>
      <w:r w:rsidRPr="00DE71B4">
        <w:rPr>
          <w:color w:val="auto"/>
          <w:sz w:val="20"/>
          <w:szCs w:val="20"/>
        </w:rPr>
        <w:t xml:space="preserve">. Moçambique: Procuradoria Geral da República, 2017. Disponível em: &lt; </w:t>
      </w:r>
      <w:hyperlink r:id="rId47">
        <w:r w:rsidRPr="00DE71B4">
          <w:rPr>
            <w:color w:val="auto"/>
            <w:sz w:val="20"/>
            <w:szCs w:val="20"/>
            <w:u w:val="single"/>
          </w:rPr>
          <w:t>http://www.pgr.gov.mz/images/documentos/informe-anual/Informe_pgr_2017.pdf</w:t>
        </w:r>
      </w:hyperlink>
      <w:r w:rsidRPr="00DE71B4">
        <w:rPr>
          <w:color w:val="auto"/>
          <w:sz w:val="20"/>
          <w:szCs w:val="20"/>
        </w:rPr>
        <w:t>&gt;. Acesso em: 23 maio 2020.</w:t>
      </w:r>
    </w:p>
  </w:footnote>
  <w:footnote w:id="107">
    <w:p w14:paraId="1B891B8E" w14:textId="10D11D02" w:rsidR="009E2F06" w:rsidRPr="00DE71B4" w:rsidRDefault="009E2F06" w:rsidP="00DE71B4">
      <w:pPr>
        <w:pBdr>
          <w:top w:val="nil"/>
          <w:left w:val="nil"/>
          <w:bottom w:val="nil"/>
          <w:right w:val="nil"/>
          <w:between w:val="nil"/>
        </w:pBdr>
        <w:spacing w:before="0" w:after="0" w:line="240" w:lineRule="auto"/>
        <w:rPr>
          <w:color w:val="auto"/>
          <w:sz w:val="20"/>
          <w:szCs w:val="20"/>
        </w:rPr>
      </w:pPr>
      <w:r w:rsidRPr="00DE71B4">
        <w:rPr>
          <w:color w:val="auto"/>
          <w:sz w:val="20"/>
          <w:szCs w:val="20"/>
          <w:vertAlign w:val="superscript"/>
        </w:rPr>
        <w:footnoteRef/>
      </w:r>
      <w:r w:rsidRPr="00DE71B4">
        <w:rPr>
          <w:color w:val="auto"/>
          <w:sz w:val="20"/>
          <w:szCs w:val="20"/>
        </w:rPr>
        <w:t xml:space="preserve"> MAGODE, Joaquim; JOSÉ, Patrício; CONGOLO, Frederico; CADEADO, </w:t>
      </w:r>
      <w:proofErr w:type="spellStart"/>
      <w:r w:rsidRPr="00DE71B4">
        <w:rPr>
          <w:color w:val="auto"/>
          <w:sz w:val="20"/>
          <w:szCs w:val="20"/>
        </w:rPr>
        <w:t>Calton</w:t>
      </w:r>
      <w:proofErr w:type="spellEnd"/>
      <w:r w:rsidRPr="00DE71B4">
        <w:rPr>
          <w:color w:val="auto"/>
          <w:sz w:val="20"/>
          <w:szCs w:val="20"/>
        </w:rPr>
        <w:t xml:space="preserve">; PATRÍCIO, António; LINDY, Rafael. </w:t>
      </w:r>
      <w:r w:rsidRPr="00DE71B4">
        <w:rPr>
          <w:i/>
          <w:color w:val="auto"/>
          <w:sz w:val="20"/>
          <w:szCs w:val="20"/>
        </w:rPr>
        <w:t xml:space="preserve">Tráfico de Pessoas em Moçambique, em particular de crianças. </w:t>
      </w:r>
      <w:r w:rsidRPr="00DE71B4">
        <w:rPr>
          <w:color w:val="auto"/>
          <w:sz w:val="20"/>
          <w:szCs w:val="20"/>
        </w:rPr>
        <w:t xml:space="preserve">Moçambique: Procuradoria Geral da República, 2014. </w:t>
      </w:r>
    </w:p>
  </w:footnote>
  <w:footnote w:id="108">
    <w:p w14:paraId="75F2E076" w14:textId="40704489" w:rsidR="009E2F06" w:rsidRPr="00DE71B4" w:rsidRDefault="009E2F06" w:rsidP="00DE71B4">
      <w:pPr>
        <w:pBdr>
          <w:top w:val="nil"/>
          <w:left w:val="nil"/>
          <w:bottom w:val="nil"/>
          <w:right w:val="nil"/>
          <w:between w:val="nil"/>
        </w:pBdr>
        <w:spacing w:before="0" w:after="0" w:line="240" w:lineRule="auto"/>
        <w:rPr>
          <w:color w:val="auto"/>
          <w:sz w:val="20"/>
          <w:szCs w:val="20"/>
        </w:rPr>
      </w:pPr>
      <w:r w:rsidRPr="00DE71B4">
        <w:rPr>
          <w:color w:val="auto"/>
          <w:sz w:val="20"/>
          <w:szCs w:val="20"/>
          <w:vertAlign w:val="superscript"/>
        </w:rPr>
        <w:footnoteRef/>
      </w:r>
      <w:r w:rsidRPr="00DE71B4">
        <w:rPr>
          <w:color w:val="auto"/>
          <w:sz w:val="20"/>
          <w:szCs w:val="20"/>
        </w:rPr>
        <w:t xml:space="preserve"> PAPADAKIS, Vitalina Carmo. </w:t>
      </w:r>
      <w:r w:rsidRPr="00DE71B4">
        <w:rPr>
          <w:i/>
          <w:color w:val="auto"/>
          <w:sz w:val="20"/>
          <w:szCs w:val="20"/>
        </w:rPr>
        <w:t>Moçambique: Tráfico Humano e Crime Organizado</w:t>
      </w:r>
      <w:r w:rsidRPr="00DE71B4">
        <w:rPr>
          <w:color w:val="auto"/>
          <w:sz w:val="20"/>
          <w:szCs w:val="20"/>
        </w:rPr>
        <w:t xml:space="preserve">. </w:t>
      </w:r>
      <w:r w:rsidRPr="00DE71B4">
        <w:rPr>
          <w:i/>
          <w:iCs/>
          <w:color w:val="auto"/>
          <w:sz w:val="20"/>
          <w:szCs w:val="20"/>
        </w:rPr>
        <w:t>In</w:t>
      </w:r>
      <w:r w:rsidRPr="00DE71B4">
        <w:rPr>
          <w:color w:val="auto"/>
          <w:sz w:val="20"/>
          <w:szCs w:val="20"/>
        </w:rPr>
        <w:t xml:space="preserve">: </w:t>
      </w:r>
      <w:r w:rsidRPr="00DE71B4">
        <w:rPr>
          <w:i/>
          <w:color w:val="auto"/>
          <w:sz w:val="20"/>
          <w:szCs w:val="20"/>
        </w:rPr>
        <w:t xml:space="preserve">The Pontifical </w:t>
      </w:r>
      <w:proofErr w:type="spellStart"/>
      <w:r w:rsidRPr="00DE71B4">
        <w:rPr>
          <w:i/>
          <w:color w:val="auto"/>
          <w:sz w:val="20"/>
          <w:szCs w:val="20"/>
        </w:rPr>
        <w:t>Academy</w:t>
      </w:r>
      <w:proofErr w:type="spellEnd"/>
      <w:r w:rsidRPr="00DE71B4">
        <w:rPr>
          <w:i/>
          <w:color w:val="auto"/>
          <w:sz w:val="20"/>
          <w:szCs w:val="20"/>
        </w:rPr>
        <w:t xml:space="preserve"> </w:t>
      </w:r>
      <w:proofErr w:type="spellStart"/>
      <w:r w:rsidRPr="00DE71B4">
        <w:rPr>
          <w:i/>
          <w:color w:val="auto"/>
          <w:sz w:val="20"/>
          <w:szCs w:val="20"/>
        </w:rPr>
        <w:t>of</w:t>
      </w:r>
      <w:proofErr w:type="spellEnd"/>
      <w:r w:rsidRPr="00DE71B4">
        <w:rPr>
          <w:i/>
          <w:color w:val="auto"/>
          <w:sz w:val="20"/>
          <w:szCs w:val="20"/>
        </w:rPr>
        <w:t xml:space="preserve"> </w:t>
      </w:r>
      <w:proofErr w:type="spellStart"/>
      <w:r w:rsidRPr="00DE71B4">
        <w:rPr>
          <w:i/>
          <w:color w:val="auto"/>
          <w:sz w:val="20"/>
          <w:szCs w:val="20"/>
        </w:rPr>
        <w:t>Sciences</w:t>
      </w:r>
      <w:proofErr w:type="spellEnd"/>
      <w:r w:rsidRPr="00DE71B4">
        <w:rPr>
          <w:i/>
          <w:color w:val="auto"/>
          <w:sz w:val="20"/>
          <w:szCs w:val="20"/>
        </w:rPr>
        <w:t xml:space="preserve">. </w:t>
      </w:r>
      <w:r w:rsidRPr="00DE71B4">
        <w:rPr>
          <w:color w:val="auto"/>
          <w:sz w:val="20"/>
          <w:szCs w:val="20"/>
        </w:rPr>
        <w:t>Vaticano, 2019. p. 5. Disponível em: &lt;</w:t>
      </w:r>
      <w:hyperlink r:id="rId48">
        <w:r w:rsidRPr="00DE71B4">
          <w:rPr>
            <w:color w:val="auto"/>
            <w:sz w:val="20"/>
            <w:szCs w:val="20"/>
            <w:u w:val="single"/>
          </w:rPr>
          <w:t>http://www.pas.va/content/accademia/en/publications/scriptavaria/africanwomenjudges/papadakis.pdf</w:t>
        </w:r>
      </w:hyperlink>
      <w:r w:rsidRPr="00DE71B4">
        <w:rPr>
          <w:color w:val="auto"/>
          <w:sz w:val="20"/>
          <w:szCs w:val="20"/>
        </w:rPr>
        <w:t>&gt;. Acesso em: 27 maio 2020.</w:t>
      </w:r>
    </w:p>
  </w:footnote>
  <w:footnote w:id="109">
    <w:p w14:paraId="019A12D2" w14:textId="6FD095FC" w:rsidR="009E2F06" w:rsidRPr="00DE71B4" w:rsidRDefault="009E2F06" w:rsidP="00DE71B4">
      <w:pPr>
        <w:pBdr>
          <w:top w:val="nil"/>
          <w:left w:val="nil"/>
          <w:bottom w:val="nil"/>
          <w:right w:val="nil"/>
          <w:between w:val="nil"/>
        </w:pBdr>
        <w:spacing w:before="0" w:after="0" w:line="240" w:lineRule="auto"/>
        <w:rPr>
          <w:color w:val="auto"/>
          <w:sz w:val="20"/>
          <w:szCs w:val="20"/>
        </w:rPr>
      </w:pPr>
      <w:r w:rsidRPr="00DE71B4">
        <w:rPr>
          <w:color w:val="auto"/>
          <w:sz w:val="20"/>
          <w:szCs w:val="20"/>
          <w:vertAlign w:val="superscript"/>
        </w:rPr>
        <w:footnoteRef/>
      </w:r>
      <w:r w:rsidRPr="00DE71B4">
        <w:rPr>
          <w:color w:val="auto"/>
          <w:sz w:val="20"/>
          <w:szCs w:val="20"/>
        </w:rPr>
        <w:t xml:space="preserve"> PGR. </w:t>
      </w:r>
      <w:r w:rsidRPr="00DE71B4">
        <w:rPr>
          <w:i/>
          <w:color w:val="auto"/>
          <w:sz w:val="20"/>
          <w:szCs w:val="20"/>
        </w:rPr>
        <w:t>Informe Anual de 2017 da Procuradoria-geral à Assembleia da República</w:t>
      </w:r>
      <w:r w:rsidRPr="00DE71B4">
        <w:rPr>
          <w:color w:val="auto"/>
          <w:sz w:val="20"/>
          <w:szCs w:val="20"/>
        </w:rPr>
        <w:t xml:space="preserve">. Moçambique: Procuradoria Geral da República, 2017. Disponível em: &lt; </w:t>
      </w:r>
      <w:hyperlink r:id="rId49">
        <w:r w:rsidRPr="00DE71B4">
          <w:rPr>
            <w:color w:val="auto"/>
            <w:sz w:val="20"/>
            <w:szCs w:val="20"/>
            <w:u w:val="single"/>
          </w:rPr>
          <w:t>http://www.pgr.gov.mz/images/documentos/informe-anual/Informe_pgr_2017.pdf</w:t>
        </w:r>
      </w:hyperlink>
      <w:r w:rsidRPr="00DE71B4">
        <w:rPr>
          <w:color w:val="auto"/>
          <w:sz w:val="20"/>
          <w:szCs w:val="20"/>
        </w:rPr>
        <w:t>&gt;. Acesso em: 27 maio 2020.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92334A" w14:textId="77777777" w:rsidR="009E2F06" w:rsidRDefault="009E2F06"/>
  <w:p w14:paraId="3BC66A29" w14:textId="77777777" w:rsidR="009E2F06" w:rsidRDefault="009E2F0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8855250"/>
    <w:multiLevelType w:val="multilevel"/>
    <w:tmpl w:val="03B2121E"/>
    <w:lvl w:ilvl="0">
      <w:start w:val="1"/>
      <w:numFmt w:val="bullet"/>
      <w:lvlText w:val="–"/>
      <w:lvlJc w:val="left"/>
      <w:pPr>
        <w:ind w:left="530" w:hanging="360"/>
      </w:pPr>
      <w:rPr>
        <w:rFonts w:ascii="Times New Roman" w:eastAsia="Times New Roman" w:hAnsi="Times New Roman" w:cs="Times New Roman"/>
      </w:rPr>
    </w:lvl>
    <w:lvl w:ilvl="1">
      <w:start w:val="1"/>
      <w:numFmt w:val="bullet"/>
      <w:lvlText w:val="o"/>
      <w:lvlJc w:val="left"/>
      <w:pPr>
        <w:ind w:left="1250" w:hanging="360"/>
      </w:pPr>
      <w:rPr>
        <w:rFonts w:ascii="Courier New" w:eastAsia="Courier New" w:hAnsi="Courier New" w:cs="Courier New"/>
      </w:rPr>
    </w:lvl>
    <w:lvl w:ilvl="2">
      <w:start w:val="1"/>
      <w:numFmt w:val="bullet"/>
      <w:lvlText w:val="▪"/>
      <w:lvlJc w:val="left"/>
      <w:pPr>
        <w:ind w:left="1970" w:hanging="360"/>
      </w:pPr>
      <w:rPr>
        <w:rFonts w:ascii="Noto Sans Symbols" w:eastAsia="Noto Sans Symbols" w:hAnsi="Noto Sans Symbols" w:cs="Noto Sans Symbols"/>
      </w:rPr>
    </w:lvl>
    <w:lvl w:ilvl="3">
      <w:start w:val="1"/>
      <w:numFmt w:val="bullet"/>
      <w:lvlText w:val="●"/>
      <w:lvlJc w:val="left"/>
      <w:pPr>
        <w:ind w:left="2690" w:hanging="360"/>
      </w:pPr>
      <w:rPr>
        <w:rFonts w:ascii="Noto Sans Symbols" w:eastAsia="Noto Sans Symbols" w:hAnsi="Noto Sans Symbols" w:cs="Noto Sans Symbols"/>
      </w:rPr>
    </w:lvl>
    <w:lvl w:ilvl="4">
      <w:start w:val="1"/>
      <w:numFmt w:val="bullet"/>
      <w:lvlText w:val="o"/>
      <w:lvlJc w:val="left"/>
      <w:pPr>
        <w:ind w:left="3410" w:hanging="360"/>
      </w:pPr>
      <w:rPr>
        <w:rFonts w:ascii="Courier New" w:eastAsia="Courier New" w:hAnsi="Courier New" w:cs="Courier New"/>
      </w:rPr>
    </w:lvl>
    <w:lvl w:ilvl="5">
      <w:start w:val="1"/>
      <w:numFmt w:val="bullet"/>
      <w:lvlText w:val="▪"/>
      <w:lvlJc w:val="left"/>
      <w:pPr>
        <w:ind w:left="4130" w:hanging="360"/>
      </w:pPr>
      <w:rPr>
        <w:rFonts w:ascii="Noto Sans Symbols" w:eastAsia="Noto Sans Symbols" w:hAnsi="Noto Sans Symbols" w:cs="Noto Sans Symbols"/>
      </w:rPr>
    </w:lvl>
    <w:lvl w:ilvl="6">
      <w:start w:val="1"/>
      <w:numFmt w:val="bullet"/>
      <w:lvlText w:val="●"/>
      <w:lvlJc w:val="left"/>
      <w:pPr>
        <w:ind w:left="4850" w:hanging="360"/>
      </w:pPr>
      <w:rPr>
        <w:rFonts w:ascii="Noto Sans Symbols" w:eastAsia="Noto Sans Symbols" w:hAnsi="Noto Sans Symbols" w:cs="Noto Sans Symbols"/>
      </w:rPr>
    </w:lvl>
    <w:lvl w:ilvl="7">
      <w:start w:val="1"/>
      <w:numFmt w:val="bullet"/>
      <w:lvlText w:val="o"/>
      <w:lvlJc w:val="left"/>
      <w:pPr>
        <w:ind w:left="5570" w:hanging="360"/>
      </w:pPr>
      <w:rPr>
        <w:rFonts w:ascii="Courier New" w:eastAsia="Courier New" w:hAnsi="Courier New" w:cs="Courier New"/>
      </w:rPr>
    </w:lvl>
    <w:lvl w:ilvl="8">
      <w:start w:val="1"/>
      <w:numFmt w:val="bullet"/>
      <w:lvlText w:val="▪"/>
      <w:lvlJc w:val="left"/>
      <w:pPr>
        <w:ind w:left="6290" w:hanging="360"/>
      </w:pPr>
      <w:rPr>
        <w:rFonts w:ascii="Noto Sans Symbols" w:eastAsia="Noto Sans Symbols" w:hAnsi="Noto Sans Symbols" w:cs="Noto Sans Symbols"/>
      </w:rPr>
    </w:lvl>
  </w:abstractNum>
  <w:abstractNum w:abstractNumId="1" w15:restartNumberingAfterBreak="0">
    <w:nsid w:val="268F6AFD"/>
    <w:multiLevelType w:val="multilevel"/>
    <w:tmpl w:val="4E1C1E3C"/>
    <w:lvl w:ilvl="0">
      <w:start w:val="1"/>
      <w:numFmt w:val="bullet"/>
      <w:lvlText w:val="–"/>
      <w:lvlJc w:val="left"/>
      <w:pPr>
        <w:ind w:left="1440" w:hanging="360"/>
      </w:pPr>
      <w:rPr>
        <w:rFonts w:ascii="Times New Roman" w:eastAsia="Times New Roman" w:hAnsi="Times New Roman" w:cs="Times New Roman"/>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 w15:restartNumberingAfterBreak="0">
    <w:nsid w:val="40320B49"/>
    <w:multiLevelType w:val="multilevel"/>
    <w:tmpl w:val="5F244F4A"/>
    <w:lvl w:ilvl="0">
      <w:start w:val="1"/>
      <w:numFmt w:val="bullet"/>
      <w:lvlText w:val="–"/>
      <w:lvlJc w:val="left"/>
      <w:pPr>
        <w:ind w:left="53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72EF"/>
    <w:rsid w:val="00010675"/>
    <w:rsid w:val="000206C2"/>
    <w:rsid w:val="00033C07"/>
    <w:rsid w:val="000437FC"/>
    <w:rsid w:val="000505A9"/>
    <w:rsid w:val="00063816"/>
    <w:rsid w:val="00063C5D"/>
    <w:rsid w:val="00091C85"/>
    <w:rsid w:val="000C319E"/>
    <w:rsid w:val="000E1C35"/>
    <w:rsid w:val="001166B6"/>
    <w:rsid w:val="0013297C"/>
    <w:rsid w:val="001E1907"/>
    <w:rsid w:val="001E6627"/>
    <w:rsid w:val="00232216"/>
    <w:rsid w:val="002453C9"/>
    <w:rsid w:val="002529E8"/>
    <w:rsid w:val="002773B6"/>
    <w:rsid w:val="002A18EA"/>
    <w:rsid w:val="002B0090"/>
    <w:rsid w:val="002B5686"/>
    <w:rsid w:val="002C132C"/>
    <w:rsid w:val="002C5675"/>
    <w:rsid w:val="002D60CF"/>
    <w:rsid w:val="002E3389"/>
    <w:rsid w:val="002E6CDA"/>
    <w:rsid w:val="00307E45"/>
    <w:rsid w:val="0032093C"/>
    <w:rsid w:val="00326AEE"/>
    <w:rsid w:val="0033378D"/>
    <w:rsid w:val="00335074"/>
    <w:rsid w:val="003910E9"/>
    <w:rsid w:val="003974D4"/>
    <w:rsid w:val="003E6334"/>
    <w:rsid w:val="00406360"/>
    <w:rsid w:val="00410981"/>
    <w:rsid w:val="00417A89"/>
    <w:rsid w:val="00432563"/>
    <w:rsid w:val="00470433"/>
    <w:rsid w:val="00480631"/>
    <w:rsid w:val="00486788"/>
    <w:rsid w:val="00491AD3"/>
    <w:rsid w:val="004C6099"/>
    <w:rsid w:val="004E647C"/>
    <w:rsid w:val="0050349D"/>
    <w:rsid w:val="005134EF"/>
    <w:rsid w:val="00526420"/>
    <w:rsid w:val="0052649F"/>
    <w:rsid w:val="005472EF"/>
    <w:rsid w:val="0058324D"/>
    <w:rsid w:val="005D7310"/>
    <w:rsid w:val="0064289E"/>
    <w:rsid w:val="0065692B"/>
    <w:rsid w:val="0067571C"/>
    <w:rsid w:val="00676EA8"/>
    <w:rsid w:val="006A0C34"/>
    <w:rsid w:val="006B2626"/>
    <w:rsid w:val="006D3820"/>
    <w:rsid w:val="006F209E"/>
    <w:rsid w:val="006F66DB"/>
    <w:rsid w:val="00700DEB"/>
    <w:rsid w:val="00732F63"/>
    <w:rsid w:val="00743530"/>
    <w:rsid w:val="007628ED"/>
    <w:rsid w:val="007E1E8D"/>
    <w:rsid w:val="007E68DB"/>
    <w:rsid w:val="007F2142"/>
    <w:rsid w:val="00801A37"/>
    <w:rsid w:val="00842ED8"/>
    <w:rsid w:val="00860874"/>
    <w:rsid w:val="00872E01"/>
    <w:rsid w:val="0088679E"/>
    <w:rsid w:val="008B6380"/>
    <w:rsid w:val="008B7AAC"/>
    <w:rsid w:val="008C110F"/>
    <w:rsid w:val="008E15E4"/>
    <w:rsid w:val="00901223"/>
    <w:rsid w:val="00911D61"/>
    <w:rsid w:val="00932FD2"/>
    <w:rsid w:val="009332E0"/>
    <w:rsid w:val="00957F4D"/>
    <w:rsid w:val="00967F76"/>
    <w:rsid w:val="00981A54"/>
    <w:rsid w:val="009B7B42"/>
    <w:rsid w:val="009C0F04"/>
    <w:rsid w:val="009E2F06"/>
    <w:rsid w:val="009F350F"/>
    <w:rsid w:val="00A05C99"/>
    <w:rsid w:val="00A075E8"/>
    <w:rsid w:val="00A27E6D"/>
    <w:rsid w:val="00A306B4"/>
    <w:rsid w:val="00A32145"/>
    <w:rsid w:val="00A37A5C"/>
    <w:rsid w:val="00A827D1"/>
    <w:rsid w:val="00A9475E"/>
    <w:rsid w:val="00A95838"/>
    <w:rsid w:val="00AC47A8"/>
    <w:rsid w:val="00AC6D83"/>
    <w:rsid w:val="00AE1123"/>
    <w:rsid w:val="00AF6376"/>
    <w:rsid w:val="00B341D7"/>
    <w:rsid w:val="00B411AC"/>
    <w:rsid w:val="00B55557"/>
    <w:rsid w:val="00BC7179"/>
    <w:rsid w:val="00BE7A55"/>
    <w:rsid w:val="00BF3884"/>
    <w:rsid w:val="00C03027"/>
    <w:rsid w:val="00C2008C"/>
    <w:rsid w:val="00C42DA9"/>
    <w:rsid w:val="00C53EED"/>
    <w:rsid w:val="00C63A86"/>
    <w:rsid w:val="00C7431A"/>
    <w:rsid w:val="00CB7963"/>
    <w:rsid w:val="00CD5B66"/>
    <w:rsid w:val="00CE7D35"/>
    <w:rsid w:val="00D020B2"/>
    <w:rsid w:val="00D22461"/>
    <w:rsid w:val="00D4268C"/>
    <w:rsid w:val="00D5776D"/>
    <w:rsid w:val="00D6056F"/>
    <w:rsid w:val="00D77BBD"/>
    <w:rsid w:val="00D77DCC"/>
    <w:rsid w:val="00DB00F8"/>
    <w:rsid w:val="00DE71B4"/>
    <w:rsid w:val="00E03673"/>
    <w:rsid w:val="00E245CD"/>
    <w:rsid w:val="00E35292"/>
    <w:rsid w:val="00E9297C"/>
    <w:rsid w:val="00E940D4"/>
    <w:rsid w:val="00EA4BA0"/>
    <w:rsid w:val="00EA6CAC"/>
    <w:rsid w:val="00F01EBF"/>
    <w:rsid w:val="00F06F69"/>
    <w:rsid w:val="00F23316"/>
    <w:rsid w:val="00F25CD7"/>
    <w:rsid w:val="00F33D73"/>
    <w:rsid w:val="00F37949"/>
    <w:rsid w:val="00F90B0F"/>
    <w:rsid w:val="00F9666D"/>
    <w:rsid w:val="00FA2F34"/>
    <w:rsid w:val="00FA730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53B0FF"/>
  <w15:docId w15:val="{ED216E5B-2F6F-439E-8DDD-0E7BC93EF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color w:val="FF00FF"/>
        <w:sz w:val="24"/>
        <w:szCs w:val="24"/>
        <w:lang w:val="pt-BR" w:eastAsia="pt-BR" w:bidi="ar-SA"/>
      </w:rPr>
    </w:rPrDefault>
    <w:pPrDefault>
      <w:pPr>
        <w:tabs>
          <w:tab w:val="left" w:pos="709"/>
        </w:tabs>
        <w:spacing w:before="120" w:after="120" w:line="360" w:lineRule="auto"/>
        <w:ind w:right="113"/>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Ttulo1">
    <w:name w:val="heading 1"/>
    <w:basedOn w:val="Normal"/>
    <w:next w:val="Normal"/>
    <w:pPr>
      <w:keepNext/>
      <w:keepLines/>
      <w:spacing w:before="48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00" w:after="0"/>
      <w:outlineLvl w:val="2"/>
    </w:pPr>
    <w:rPr>
      <w:b/>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paragraph" w:styleId="Ttulo7">
    <w:name w:val="heading 7"/>
    <w:basedOn w:val="Normal"/>
    <w:next w:val="Normal"/>
    <w:link w:val="Ttulo7Char"/>
    <w:uiPriority w:val="9"/>
    <w:unhideWhenUsed/>
    <w:qFormat/>
    <w:rsid w:val="0065692B"/>
    <w:pPr>
      <w:keepNext/>
      <w:keepLines/>
      <w:spacing w:before="40" w:after="0"/>
      <w:outlineLvl w:val="6"/>
    </w:pPr>
    <w:rPr>
      <w:rFonts w:asciiTheme="majorHAnsi" w:eastAsiaTheme="majorEastAsia" w:hAnsiTheme="majorHAnsi" w:cstheme="majorBidi"/>
      <w:i/>
      <w:iCs/>
      <w:color w:val="243F60"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70" w:type="dxa"/>
        <w:right w:w="70" w:type="dxa"/>
      </w:tblCellMar>
    </w:tblPr>
  </w:style>
  <w:style w:type="paragraph" w:styleId="SemEspaamento">
    <w:name w:val="No Spacing"/>
    <w:uiPriority w:val="1"/>
    <w:qFormat/>
    <w:rsid w:val="003974D4"/>
    <w:pPr>
      <w:spacing w:before="0" w:after="0" w:line="240" w:lineRule="auto"/>
    </w:pPr>
  </w:style>
  <w:style w:type="paragraph" w:styleId="Textodebalo">
    <w:name w:val="Balloon Text"/>
    <w:basedOn w:val="Normal"/>
    <w:link w:val="TextodebaloChar"/>
    <w:uiPriority w:val="99"/>
    <w:semiHidden/>
    <w:unhideWhenUsed/>
    <w:rsid w:val="003974D4"/>
    <w:pPr>
      <w:spacing w:before="0"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3974D4"/>
    <w:rPr>
      <w:rFonts w:ascii="Tahoma" w:hAnsi="Tahoma" w:cs="Tahoma"/>
      <w:sz w:val="16"/>
      <w:szCs w:val="16"/>
    </w:rPr>
  </w:style>
  <w:style w:type="character" w:styleId="Refdecomentrio">
    <w:name w:val="annotation reference"/>
    <w:basedOn w:val="Fontepargpadro"/>
    <w:uiPriority w:val="99"/>
    <w:semiHidden/>
    <w:unhideWhenUsed/>
    <w:rsid w:val="006A0C34"/>
    <w:rPr>
      <w:sz w:val="16"/>
      <w:szCs w:val="16"/>
    </w:rPr>
  </w:style>
  <w:style w:type="paragraph" w:styleId="Textodecomentrio">
    <w:name w:val="annotation text"/>
    <w:basedOn w:val="Normal"/>
    <w:link w:val="TextodecomentrioChar"/>
    <w:uiPriority w:val="99"/>
    <w:semiHidden/>
    <w:unhideWhenUsed/>
    <w:rsid w:val="006A0C34"/>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6A0C34"/>
    <w:rPr>
      <w:sz w:val="20"/>
      <w:szCs w:val="20"/>
    </w:rPr>
  </w:style>
  <w:style w:type="paragraph" w:styleId="Assuntodocomentrio">
    <w:name w:val="annotation subject"/>
    <w:basedOn w:val="Textodecomentrio"/>
    <w:next w:val="Textodecomentrio"/>
    <w:link w:val="AssuntodocomentrioChar"/>
    <w:uiPriority w:val="99"/>
    <w:semiHidden/>
    <w:unhideWhenUsed/>
    <w:rsid w:val="006A0C34"/>
    <w:rPr>
      <w:b/>
      <w:bCs/>
    </w:rPr>
  </w:style>
  <w:style w:type="character" w:customStyle="1" w:styleId="AssuntodocomentrioChar">
    <w:name w:val="Assunto do comentário Char"/>
    <w:basedOn w:val="TextodecomentrioChar"/>
    <w:link w:val="Assuntodocomentrio"/>
    <w:uiPriority w:val="99"/>
    <w:semiHidden/>
    <w:rsid w:val="006A0C34"/>
    <w:rPr>
      <w:b/>
      <w:bCs/>
      <w:sz w:val="20"/>
      <w:szCs w:val="20"/>
    </w:rPr>
  </w:style>
  <w:style w:type="paragraph" w:styleId="Textodenotaderodap">
    <w:name w:val="footnote text"/>
    <w:basedOn w:val="Normal"/>
    <w:link w:val="TextodenotaderodapChar"/>
    <w:uiPriority w:val="99"/>
    <w:semiHidden/>
    <w:unhideWhenUsed/>
    <w:rsid w:val="00470433"/>
    <w:pPr>
      <w:spacing w:before="0"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470433"/>
    <w:rPr>
      <w:sz w:val="20"/>
      <w:szCs w:val="20"/>
    </w:rPr>
  </w:style>
  <w:style w:type="character" w:styleId="Refdenotaderodap">
    <w:name w:val="footnote reference"/>
    <w:basedOn w:val="Fontepargpadro"/>
    <w:uiPriority w:val="99"/>
    <w:semiHidden/>
    <w:unhideWhenUsed/>
    <w:rsid w:val="00470433"/>
    <w:rPr>
      <w:vertAlign w:val="superscript"/>
    </w:rPr>
  </w:style>
  <w:style w:type="character" w:customStyle="1" w:styleId="Ttulo7Char">
    <w:name w:val="Título 7 Char"/>
    <w:basedOn w:val="Fontepargpadro"/>
    <w:link w:val="Ttulo7"/>
    <w:uiPriority w:val="9"/>
    <w:rsid w:val="0065692B"/>
    <w:rPr>
      <w:rFonts w:asciiTheme="majorHAnsi" w:eastAsiaTheme="majorEastAsia" w:hAnsiTheme="majorHAnsi" w:cstheme="majorBidi"/>
      <w:i/>
      <w:iCs/>
      <w:color w:val="243F60" w:themeColor="accent1" w:themeShade="7F"/>
    </w:rPr>
  </w:style>
  <w:style w:type="paragraph" w:styleId="Cabealho">
    <w:name w:val="header"/>
    <w:basedOn w:val="Normal"/>
    <w:link w:val="CabealhoChar"/>
    <w:uiPriority w:val="99"/>
    <w:unhideWhenUsed/>
    <w:rsid w:val="0065692B"/>
    <w:pPr>
      <w:tabs>
        <w:tab w:val="clear" w:pos="709"/>
        <w:tab w:val="center" w:pos="4252"/>
        <w:tab w:val="right" w:pos="8504"/>
      </w:tabs>
      <w:spacing w:before="0" w:after="0" w:line="240" w:lineRule="auto"/>
    </w:pPr>
  </w:style>
  <w:style w:type="character" w:customStyle="1" w:styleId="CabealhoChar">
    <w:name w:val="Cabeçalho Char"/>
    <w:basedOn w:val="Fontepargpadro"/>
    <w:link w:val="Cabealho"/>
    <w:uiPriority w:val="99"/>
    <w:rsid w:val="0065692B"/>
  </w:style>
  <w:style w:type="paragraph" w:styleId="Rodap">
    <w:name w:val="footer"/>
    <w:basedOn w:val="Normal"/>
    <w:link w:val="RodapChar"/>
    <w:uiPriority w:val="99"/>
    <w:unhideWhenUsed/>
    <w:rsid w:val="0065692B"/>
    <w:pPr>
      <w:tabs>
        <w:tab w:val="clear" w:pos="709"/>
        <w:tab w:val="center" w:pos="4252"/>
        <w:tab w:val="right" w:pos="8504"/>
      </w:tabs>
      <w:spacing w:before="0" w:after="0" w:line="240" w:lineRule="auto"/>
    </w:pPr>
  </w:style>
  <w:style w:type="character" w:customStyle="1" w:styleId="RodapChar">
    <w:name w:val="Rodapé Char"/>
    <w:basedOn w:val="Fontepargpadro"/>
    <w:link w:val="Rodap"/>
    <w:uiPriority w:val="99"/>
    <w:rsid w:val="0065692B"/>
  </w:style>
  <w:style w:type="character" w:styleId="Forte">
    <w:name w:val="Strong"/>
    <w:basedOn w:val="Fontepargpadro"/>
    <w:uiPriority w:val="22"/>
    <w:qFormat/>
    <w:rsid w:val="009E2F0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uccla.pt/sites/default/files/mk_doc_enquadramento_18set_2.pdf" TargetMode="External"/><Relationship Id="rId18" Type="http://schemas.openxmlformats.org/officeDocument/2006/relationships/hyperlink" Target="http://www.onumulheres.org.br/wp-content/uploads/2013/03/convencao_cedaw.pdf" TargetMode="External"/><Relationship Id="rId26" Type="http://schemas.openxmlformats.org/officeDocument/2006/relationships/hyperlink" Target="https://www.unodc.org/documents/lpo-brazil/Topics_TIP/Publicacoes/GLOTIP_2014_full_report.pdf" TargetMode="External"/><Relationship Id="rId3" Type="http://schemas.openxmlformats.org/officeDocument/2006/relationships/styles" Target="styles.xml"/><Relationship Id="rId21" Type="http://schemas.openxmlformats.org/officeDocument/2006/relationships/hyperlink" Target="https://www.eisa.org.za/pdf/sadc2008protocol2.pdf"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uccla.pt/sites/default/files/mk_doc_enquadramento_18set_2.pdf" TargetMode="External"/><Relationship Id="rId17" Type="http://schemas.openxmlformats.org/officeDocument/2006/relationships/hyperlink" Target="https://www.academia.edu/39408387/Revista_Mo%C3%A7ambicana_de_Estudos_Internacionais_Vol_1_no_1_Janeiro-Junho_2019" TargetMode="External"/><Relationship Id="rId25" Type="http://schemas.openxmlformats.org/officeDocument/2006/relationships/hyperlink" Target="https://www.unodc.org/documents/data-and-analysis/glotip/Trafficking_in_Persons_2012_web.pdf" TargetMode="External"/><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nacoesunidas.org/direitoshumanos/declaracao/" TargetMode="External"/><Relationship Id="rId20" Type="http://schemas.openxmlformats.org/officeDocument/2006/relationships/hyperlink" Target="http://www.pgr.gov.mz/images/documentos/informe-anual/Informe_pgr_2017.pdf" TargetMode="External"/><Relationship Id="rId29" Type="http://schemas.openxmlformats.org/officeDocument/2006/relationships/hyperlink" Target="https://www.unodc.org/documents/lpo-brazil/Topics_TIP/Publicacoes/TiP_PT.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ortaldogoverno.gov.mz/por/Media/Files/Constituicao-da-Republica-PDF" TargetMode="External"/><Relationship Id="rId24" Type="http://schemas.openxmlformats.org/officeDocument/2006/relationships/hyperlink" Target="https://www.unodc.org/documents/data-and-analysis/glotip/Trafficking_in_Persons_2012_web.pdf" TargetMode="External"/><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www.ilo.ch/dyn/natlex/docs/ELECTRONIC/86030/96743/F88437680/MOZ86030.pdf" TargetMode="External"/><Relationship Id="rId23" Type="http://schemas.openxmlformats.org/officeDocument/2006/relationships/hyperlink" Target="https://www.unodc.org/documents/Global_Report_on_TIP.pdf" TargetMode="External"/><Relationship Id="rId28" Type="http://schemas.openxmlformats.org/officeDocument/2006/relationships/hyperlink" Target="https://sherloc.unodc.org/cld/v3/htms/cldb/index.html?lng=en" TargetMode="External"/><Relationship Id="rId10" Type="http://schemas.openxmlformats.org/officeDocument/2006/relationships/hyperlink" Target="https://mz.usembassy.gov/wp-content/uploads/sites/182/MOZAMBIQUE-2018-TIP-Report-Narrative-FINAL-18JUNE2018-Port-004.pdf" TargetMode="External"/><Relationship Id="rId19" Type="http://schemas.openxmlformats.org/officeDocument/2006/relationships/hyperlink" Target="http://www.pas.va/content/accademia/en/publications/scriptavaria/africanwomenjudges/papadakis.pdf" TargetMode="External"/><Relationship Id="rId31" Type="http://schemas.openxmlformats.org/officeDocument/2006/relationships/hyperlink" Target="https://www.ophenta.org.mz/wp-content/uploads/2017/03/Carta-Africana-Direitos-Humanos-1.pdf" TargetMode="External"/><Relationship Id="rId4" Type="http://schemas.openxmlformats.org/officeDocument/2006/relationships/settings" Target="settings.xml"/><Relationship Id="rId9" Type="http://schemas.openxmlformats.org/officeDocument/2006/relationships/hyperlink" Target="https://nacoesunidas.org/wp-content/uploads/2018/10/DUDH.pdf" TargetMode="External"/><Relationship Id="rId14" Type="http://schemas.openxmlformats.org/officeDocument/2006/relationships/hyperlink" Target="http://www.wlsa.org.mz/wp-content/uploads/2014/11/Lei-35_2014Codigo_Penal.pdf" TargetMode="External"/><Relationship Id="rId22" Type="http://schemas.openxmlformats.org/officeDocument/2006/relationships/hyperlink" Target="https://www.unodc.org/documents/data-and-analysis/glotip/2016_Global_Report_on_Trafficking_in_Persons.pdf" TargetMode="External"/><Relationship Id="rId27" Type="http://schemas.openxmlformats.org/officeDocument/2006/relationships/hyperlink" Target="https://sherloc.unodc.org/cld/en/v3/htms/index.html" TargetMode="External"/><Relationship Id="rId30" Type="http://schemas.openxmlformats.org/officeDocument/2006/relationships/hyperlink" Target="http://www.pensamientopenal.com.ar/system/files/2016/10/doctrina44188.pdf" TargetMode="External"/><Relationship Id="rId35" Type="http://schemas.openxmlformats.org/officeDocument/2006/relationships/theme" Target="theme/theme1.xml"/></Relationships>
</file>

<file path=word/_rels/footnotes.xml.rels><?xml version="1.0" encoding="UTF-8" standalone="yes"?>
<Relationships xmlns="http://schemas.openxmlformats.org/package/2006/relationships"><Relationship Id="rId13" Type="http://schemas.openxmlformats.org/officeDocument/2006/relationships/hyperlink" Target="https://nacoesunidas.org/direitoshumanos/declaracao/" TargetMode="External"/><Relationship Id="rId18" Type="http://schemas.openxmlformats.org/officeDocument/2006/relationships/hyperlink" Target="http://www.wlsa.org.mz/wp-content/uploads/2014/11/Lei-35_2014Codigo_Penal.pdf" TargetMode="External"/><Relationship Id="rId26" Type="http://schemas.openxmlformats.org/officeDocument/2006/relationships/hyperlink" Target="https://www.unodc.org/documents/Global_Report_on_TIP.pdf" TargetMode="External"/><Relationship Id="rId39" Type="http://schemas.openxmlformats.org/officeDocument/2006/relationships/hyperlink" Target="https://mz.usembassy.gov/wp-content/uploads/sites/182/MOZAMBIQUE-2018-TIP-Report-Narrative-FINAL-18JUNE2018-Port-004.pdf" TargetMode="External"/><Relationship Id="rId3" Type="http://schemas.openxmlformats.org/officeDocument/2006/relationships/hyperlink" Target="https://www.unodc.org/documents/lpo-brazil/Topics_TIP/Publicacoes/TiP_PT.pdf" TargetMode="External"/><Relationship Id="rId21" Type="http://schemas.openxmlformats.org/officeDocument/2006/relationships/hyperlink" Target="http://www.pensamientopenal.com.ar/system/files/2016/10/doctrina44188.pdf" TargetMode="External"/><Relationship Id="rId34" Type="http://schemas.openxmlformats.org/officeDocument/2006/relationships/hyperlink" Target="https://www.academia.edu/39408387/Revista_Mo%C3%A7ambicana_de_Estudos_Internacionais_Vol_1_no_1_Janeiro-Junho_2019" TargetMode="External"/><Relationship Id="rId42" Type="http://schemas.openxmlformats.org/officeDocument/2006/relationships/hyperlink" Target="https://sherloc.unodc.org/cld/en/v3/htms/index.html" TargetMode="External"/><Relationship Id="rId47" Type="http://schemas.openxmlformats.org/officeDocument/2006/relationships/hyperlink" Target="http://www.pgr.gov.mz/images/documentos/informe-anual/Informe_pgr_2017.pdf" TargetMode="External"/><Relationship Id="rId7" Type="http://schemas.openxmlformats.org/officeDocument/2006/relationships/hyperlink" Target="https://www.unodc.org/documents/data-and-analysis/glotip/Trafficking_in_Persons_2012_web.pdf" TargetMode="External"/><Relationship Id="rId12" Type="http://schemas.openxmlformats.org/officeDocument/2006/relationships/hyperlink" Target="https://www.uccla.pt/sites/default/files/mk_doc_enquadramento_18set_2.pdf" TargetMode="External"/><Relationship Id="rId17" Type="http://schemas.openxmlformats.org/officeDocument/2006/relationships/hyperlink" Target="http://www.wlsa.org.mz/wp-content/uploads/2014/11/Lei-35_2014Codigo_Penal.pdf" TargetMode="External"/><Relationship Id="rId25" Type="http://schemas.openxmlformats.org/officeDocument/2006/relationships/hyperlink" Target="https://www.unodc.org/documents/data-and-analysis/glotip/2016_Global_Report_on_Trafficking_in_Persons.pdf" TargetMode="External"/><Relationship Id="rId33" Type="http://schemas.openxmlformats.org/officeDocument/2006/relationships/hyperlink" Target="https://www.academia.edu/39408387/Revista_Mo%C3%A7ambicana_de_Estudos_Internacionais_Vol_1_no_1_Janeiro-Junho_2019" TargetMode="External"/><Relationship Id="rId38" Type="http://schemas.openxmlformats.org/officeDocument/2006/relationships/hyperlink" Target="http://www.pas.va/content/accademia/en/publications/scriptavaria/africanwomenjudges/papadakis.pdf" TargetMode="External"/><Relationship Id="rId46" Type="http://schemas.openxmlformats.org/officeDocument/2006/relationships/hyperlink" Target="http://www.pgr.gov.mz/images/documentos/informe-anual/Informe_pgr_2017.pdf" TargetMode="External"/><Relationship Id="rId2" Type="http://schemas.openxmlformats.org/officeDocument/2006/relationships/hyperlink" Target="https://www.unodc.org/documents/lpo-brazil/Topics_TIP/Publicacoes/TiP_PT.pdf" TargetMode="External"/><Relationship Id="rId16" Type="http://schemas.openxmlformats.org/officeDocument/2006/relationships/hyperlink" Target="http://www.ilo.ch/dyn/natlex/docs/ELECTRONIC/86030/96743/F88437680/MOZ86030.pdf" TargetMode="External"/><Relationship Id="rId20" Type="http://schemas.openxmlformats.org/officeDocument/2006/relationships/hyperlink" Target="http://www.wlsa.org.mz/wp-content/uploads/2014/11/Lei-35_2014Codigo_Penal.pdf" TargetMode="External"/><Relationship Id="rId29" Type="http://schemas.openxmlformats.org/officeDocument/2006/relationships/hyperlink" Target="http://www.onumulheres.org.br/wp-content/uploads/2013/03/convencao_cedaw.pdf" TargetMode="External"/><Relationship Id="rId41" Type="http://schemas.openxmlformats.org/officeDocument/2006/relationships/hyperlink" Target="https://www.unodc.org/documents/lpo-brazil/Topics_TIP/Publicacoes/TiP_PT.pdf" TargetMode="External"/><Relationship Id="rId1" Type="http://schemas.openxmlformats.org/officeDocument/2006/relationships/hyperlink" Target="https://www.unodc.org/lpo-brazil/pt/trafico-de-pessoas/publicacoes.html" TargetMode="External"/><Relationship Id="rId6" Type="http://schemas.openxmlformats.org/officeDocument/2006/relationships/hyperlink" Target="https://www.unodc.org/documents/lpo-brazil/Topics_TIP/Publicacoes/GLOTIP_2014_full_report.pdf" TargetMode="External"/><Relationship Id="rId11" Type="http://schemas.openxmlformats.org/officeDocument/2006/relationships/hyperlink" Target="https://www.uccla.pt/sites/default/files/mk_doc_enquadramento_18set_2.pdf" TargetMode="External"/><Relationship Id="rId24" Type="http://schemas.openxmlformats.org/officeDocument/2006/relationships/hyperlink" Target="https://www.unodc.org/documents/data-and-analysis/glotip/2016_Global_Report_on_Trafficking_in_Persons.pdf" TargetMode="External"/><Relationship Id="rId32" Type="http://schemas.openxmlformats.org/officeDocument/2006/relationships/hyperlink" Target="https://nacoesunidas.org/wp-content/uploads/2018/10/DUDH.pdf" TargetMode="External"/><Relationship Id="rId37" Type="http://schemas.openxmlformats.org/officeDocument/2006/relationships/hyperlink" Target="https://mz.usembassy.gov/wp-content/uploads/sites/182/MOZAMBIQUE-2018-TIP-Report-Narrative-FINAL-18JUNE2018-Port-004.pdf" TargetMode="External"/><Relationship Id="rId40" Type="http://schemas.openxmlformats.org/officeDocument/2006/relationships/hyperlink" Target="https://www.unodc.org/documents/lpo-brazil/Topics_TIP/Publicacoes/TiP_PT.pdf" TargetMode="External"/><Relationship Id="rId45" Type="http://schemas.openxmlformats.org/officeDocument/2006/relationships/hyperlink" Target="https://sherloc.unodc.org/cld/v3/htms/cldb/index.html?lng=en" TargetMode="External"/><Relationship Id="rId5" Type="http://schemas.openxmlformats.org/officeDocument/2006/relationships/hyperlink" Target="https://www.unodc.org/documents/data-and-analysis/glotip/Trafficking_in_Persons_2012_web.pdf" TargetMode="External"/><Relationship Id="rId15" Type="http://schemas.openxmlformats.org/officeDocument/2006/relationships/hyperlink" Target="https://www.portaldogoverno.gov.mz/por/Media/Files/Constituicao-da-Republica-PDF" TargetMode="External"/><Relationship Id="rId23" Type="http://schemas.openxmlformats.org/officeDocument/2006/relationships/hyperlink" Target="http://www.ilo.ch/dyn/natlex/docs/ELECTRONIC/86030/96743/F88437680/MOZ86030.pdf" TargetMode="External"/><Relationship Id="rId28" Type="http://schemas.openxmlformats.org/officeDocument/2006/relationships/hyperlink" Target="https://www.eisa.org.za/pdf/sadc2008protocol2.pdf" TargetMode="External"/><Relationship Id="rId36" Type="http://schemas.openxmlformats.org/officeDocument/2006/relationships/hyperlink" Target="http://www.pas.va/content/accademia/en/publications/scriptavaria/africanwomenjudges/papadakis.pdf" TargetMode="External"/><Relationship Id="rId49" Type="http://schemas.openxmlformats.org/officeDocument/2006/relationships/hyperlink" Target="http://www.pgr.gov.mz/images/documentos/informe-anual/Informe_pgr_2017.pdf" TargetMode="External"/><Relationship Id="rId10" Type="http://schemas.openxmlformats.org/officeDocument/2006/relationships/hyperlink" Target="https://www.unodc.org/documents/data-and-analysis/glotip/Trafficking_in_Persons_2012_web.pdf" TargetMode="External"/><Relationship Id="rId19" Type="http://schemas.openxmlformats.org/officeDocument/2006/relationships/hyperlink" Target="http://www.ilo.ch/dyn/natlex/docs/ELECTRONIC/86030/96743/F88437680/MOZ86030.pdf" TargetMode="External"/><Relationship Id="rId31" Type="http://schemas.openxmlformats.org/officeDocument/2006/relationships/hyperlink" Target="https://www.portaldogoverno.gov.mz/por/Media/Files/Constituicao-da-Republica-PDF" TargetMode="External"/><Relationship Id="rId44" Type="http://schemas.openxmlformats.org/officeDocument/2006/relationships/hyperlink" Target="https://sherloc.unodc.org/cld/v3/htms/cldb/index.html?lng=en" TargetMode="External"/><Relationship Id="rId4" Type="http://schemas.openxmlformats.org/officeDocument/2006/relationships/hyperlink" Target="https://www.unodc.org/documents/data-and-analysis/glotip/2016_Global_Report_on_Trafficking_in_Persons.pdf" TargetMode="External"/><Relationship Id="rId9" Type="http://schemas.openxmlformats.org/officeDocument/2006/relationships/hyperlink" Target="https://www.unodc.org/documents/lpo-brazil/Topics_TIP/Publicacoes/TiP_PT.pdf" TargetMode="External"/><Relationship Id="rId14" Type="http://schemas.openxmlformats.org/officeDocument/2006/relationships/hyperlink" Target="https://www.ophenta.org.mz/wp-content/uploads/2017/03/Carta-Africana-Direitos-Humanos-1.pdf" TargetMode="External"/><Relationship Id="rId22" Type="http://schemas.openxmlformats.org/officeDocument/2006/relationships/hyperlink" Target="http://www.ilo.ch/dyn/natlex/docs/ELECTRONIC/86030/96743/F88437680/MOZ86030.pdf" TargetMode="External"/><Relationship Id="rId27" Type="http://schemas.openxmlformats.org/officeDocument/2006/relationships/hyperlink" Target="https://www.eisa.org.za/pdf/sadc2008protocol2.pdf" TargetMode="External"/><Relationship Id="rId30" Type="http://schemas.openxmlformats.org/officeDocument/2006/relationships/hyperlink" Target="https://www.eisa.org.za/pdf/sadc2008protocol2.pdf" TargetMode="External"/><Relationship Id="rId35" Type="http://schemas.openxmlformats.org/officeDocument/2006/relationships/hyperlink" Target="https://mz.usembassy.gov/wp-content/uploads/sites/182/MOZAMBIQUE-2018-TIP-Report-Narrative-FINAL-18JUNE2018-Port-004.pdf" TargetMode="External"/><Relationship Id="rId43" Type="http://schemas.openxmlformats.org/officeDocument/2006/relationships/hyperlink" Target="https://sherloc.unodc.org/cld/en/v3/htms/index.html" TargetMode="External"/><Relationship Id="rId48" Type="http://schemas.openxmlformats.org/officeDocument/2006/relationships/hyperlink" Target="http://www.pas.va/content/accademia/en/publications/scriptavaria/africanwomenjudges/papadakis.pdf" TargetMode="External"/><Relationship Id="rId8" Type="http://schemas.openxmlformats.org/officeDocument/2006/relationships/hyperlink" Target="https://www.unodc.org/documents/lpo-brazil/Topics_TIP/Publicacoes/TiP_PT.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4E4C33-7D11-43D5-8815-8479588DDE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37</Pages>
  <Words>9206</Words>
  <Characters>49717</Characters>
  <Application>Microsoft Office Word</Application>
  <DocSecurity>0</DocSecurity>
  <Lines>414</Lines>
  <Paragraphs>117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58806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Mercia Souza</dc:creator>
  <cp:lastModifiedBy>Mércia Cardoso de Souza</cp:lastModifiedBy>
  <cp:revision>2</cp:revision>
  <dcterms:created xsi:type="dcterms:W3CDTF">2020-08-22T09:18:00Z</dcterms:created>
  <dcterms:modified xsi:type="dcterms:W3CDTF">2020-08-22T09:18:00Z</dcterms:modified>
</cp:coreProperties>
</file>