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A20" w:rsidRDefault="00C51408" w:rsidP="00A04933">
      <w:pPr>
        <w:spacing w:line="360" w:lineRule="auto"/>
        <w:rPr>
          <w:rFonts w:ascii="Times New Roman" w:hAnsi="Times New Roman" w:cs="Times New Roman"/>
          <w:b/>
          <w:sz w:val="24"/>
          <w:szCs w:val="24"/>
        </w:rPr>
      </w:pPr>
      <w:bookmarkStart w:id="0" w:name="_GoBack"/>
      <w:r w:rsidRPr="00C51408">
        <w:rPr>
          <w:rFonts w:ascii="Times New Roman" w:hAnsi="Times New Roman" w:cs="Times New Roman"/>
          <w:b/>
          <w:sz w:val="24"/>
          <w:szCs w:val="24"/>
        </w:rPr>
        <w:t>Summary</w:t>
      </w:r>
    </w:p>
    <w:p w:rsidR="00C51408" w:rsidRPr="00C51408" w:rsidRDefault="00C51408" w:rsidP="00A04933">
      <w:pPr>
        <w:spacing w:after="0" w:line="360" w:lineRule="auto"/>
        <w:jc w:val="both"/>
        <w:rPr>
          <w:rFonts w:ascii="Times New Roman" w:hAnsi="Times New Roman" w:cs="Times New Roman"/>
          <w:sz w:val="24"/>
          <w:szCs w:val="24"/>
        </w:rPr>
      </w:pPr>
      <w:r w:rsidRPr="00C51408">
        <w:rPr>
          <w:rFonts w:ascii="Times New Roman" w:hAnsi="Times New Roman" w:cs="Times New Roman"/>
          <w:sz w:val="24"/>
          <w:szCs w:val="24"/>
        </w:rPr>
        <w:t>The purpose of this article is to identify and analyze current issues related to the detention of a person who allegedly committed a criminal offence outside the territory of Ukraine. The research was conducted through the prism of national legislation and relevant case law of the European Court of Human Rights. In the article it is stated that from the point of view of national legislation of Ukraine and European Court of Human Rights, the consideration of issues of detention outside of Ukrainian territory is complementary. The opinion is expressed that the legal grounds for extradition of the persons, who have committed a crime outside the territory of Ukraine, are determined. The features of normative regulation of detention of a person who has committed a criminal offence outside the territory of Ukraine, enshrined in the current criminal procedural legislation, have been analyzed. The issues of implementation of the rights of the detainee, including the right to protection, are considered separately. As a result of the study certain ways to improve the provisions of the Criminal Procedure Code of Ukraine were formulated.</w:t>
      </w:r>
      <w:bookmarkEnd w:id="0"/>
    </w:p>
    <w:sectPr w:rsidR="00C51408" w:rsidRPr="00C5140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296"/>
    <w:rsid w:val="005C3A20"/>
    <w:rsid w:val="00A04933"/>
    <w:rsid w:val="00C51408"/>
    <w:rsid w:val="00C74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72D5B-A143-4CF4-A513-6C1C54FA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60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981</Characters>
  <Application>Microsoft Office Word</Application>
  <DocSecurity>0</DocSecurity>
  <Lines>8</Lines>
  <Paragraphs>2</Paragraphs>
  <ScaleCrop>false</ScaleCrop>
  <Company>SPecialiST RePack</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ПК8</dc:creator>
  <cp:keywords/>
  <dc:description/>
  <cp:lastModifiedBy>ПК8</cp:lastModifiedBy>
  <cp:revision>3</cp:revision>
  <dcterms:created xsi:type="dcterms:W3CDTF">2021-05-24T08:20:00Z</dcterms:created>
  <dcterms:modified xsi:type="dcterms:W3CDTF">2021-05-27T12:54:00Z</dcterms:modified>
</cp:coreProperties>
</file>