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92A2E" w14:textId="5C34F4CF" w:rsidR="003042B8" w:rsidRPr="00D45870" w:rsidRDefault="00FC5713" w:rsidP="003042B8">
      <w:pPr>
        <w:pStyle w:val="Ttulo2"/>
        <w:numPr>
          <w:ilvl w:val="1"/>
          <w:numId w:val="2"/>
        </w:numPr>
        <w:jc w:val="center"/>
        <w:rPr>
          <w:i/>
          <w:iCs/>
        </w:rPr>
      </w:pPr>
      <w:bookmarkStart w:id="0" w:name="_Toc122633228"/>
      <w:r>
        <w:t>OS</w:t>
      </w:r>
      <w:r w:rsidR="003042B8">
        <w:t xml:space="preserve"> ATRIBUTOS DA NORMA APLICADOS AO </w:t>
      </w:r>
      <w:bookmarkEnd w:id="0"/>
      <w:r w:rsidR="003042B8">
        <w:t>MODELO DE PRODUÇÃO TRADICIONAL DO DIREITO INTERNACIONAL</w:t>
      </w:r>
      <w:r w:rsidR="00D45870">
        <w:t xml:space="preserve"> E O DEBATE SOBRE A </w:t>
      </w:r>
      <w:r w:rsidR="00D45870" w:rsidRPr="00D45870">
        <w:rPr>
          <w:i/>
          <w:iCs/>
        </w:rPr>
        <w:t>SOFT LAW</w:t>
      </w:r>
    </w:p>
    <w:p w14:paraId="0A70A8DF" w14:textId="77777777" w:rsidR="003042B8" w:rsidRDefault="003042B8" w:rsidP="00FC5713">
      <w:pPr>
        <w:widowControl w:val="0"/>
        <w:ind w:firstLine="709"/>
        <w:jc w:val="center"/>
      </w:pPr>
    </w:p>
    <w:p w14:paraId="276AE105" w14:textId="4E90B21D" w:rsidR="00861131" w:rsidRPr="00641533" w:rsidRDefault="00861131" w:rsidP="00861131">
      <w:pPr>
        <w:widowControl w:val="0"/>
        <w:rPr>
          <w:b/>
          <w:bCs/>
        </w:rPr>
      </w:pPr>
      <w:r w:rsidRPr="00641533">
        <w:rPr>
          <w:b/>
          <w:bCs/>
        </w:rPr>
        <w:t>RESUMO</w:t>
      </w:r>
    </w:p>
    <w:p w14:paraId="4E19E891" w14:textId="77777777" w:rsidR="00861131" w:rsidRPr="00641533" w:rsidRDefault="00861131" w:rsidP="00861131">
      <w:pPr>
        <w:widowControl w:val="0"/>
        <w:rPr>
          <w:b/>
          <w:bCs/>
        </w:rPr>
      </w:pPr>
    </w:p>
    <w:p w14:paraId="21421CE8" w14:textId="37EC0CC8" w:rsidR="00861131" w:rsidRDefault="00861131" w:rsidP="00861131">
      <w:pPr>
        <w:widowControl w:val="0"/>
      </w:pPr>
      <w:r w:rsidRPr="00861131">
        <w:t xml:space="preserve">A </w:t>
      </w:r>
      <w:r w:rsidRPr="00861131">
        <w:rPr>
          <w:i/>
          <w:iCs/>
        </w:rPr>
        <w:t xml:space="preserve">soft </w:t>
      </w:r>
      <w:proofErr w:type="spellStart"/>
      <w:r w:rsidRPr="00861131">
        <w:rPr>
          <w:i/>
          <w:iCs/>
        </w:rPr>
        <w:t>law</w:t>
      </w:r>
      <w:proofErr w:type="spellEnd"/>
      <w:r w:rsidRPr="00861131">
        <w:t xml:space="preserve"> é constante</w:t>
      </w:r>
      <w:r>
        <w:t xml:space="preserve">mente excluída do debate acerca do sistema normativo internacional por carecer, dentro de uma ótica positivista clássica, dos atributos típicos da norma jurídica, como a juridicidade, a legalidade, a validade, a legitimidade e a obrigatoriedade. </w:t>
      </w:r>
    </w:p>
    <w:p w14:paraId="7739623A" w14:textId="546EAA78" w:rsidR="00861131" w:rsidRDefault="00861131" w:rsidP="00861131">
      <w:pPr>
        <w:widowControl w:val="0"/>
      </w:pPr>
      <w:r>
        <w:t xml:space="preserve">O presente artigo busca propor uma reflexão mais ampla destes atributos a fim de indicar em que medida a </w:t>
      </w:r>
      <w:r w:rsidRPr="00861131">
        <w:rPr>
          <w:i/>
          <w:iCs/>
        </w:rPr>
        <w:t xml:space="preserve">soft </w:t>
      </w:r>
      <w:proofErr w:type="spellStart"/>
      <w:r w:rsidRPr="00861131">
        <w:rPr>
          <w:i/>
          <w:iCs/>
        </w:rPr>
        <w:t>law</w:t>
      </w:r>
      <w:proofErr w:type="spellEnd"/>
      <w:r>
        <w:t xml:space="preserve"> possa contê-los e seu estudo se justificar dentro do sistema normativo internacional. </w:t>
      </w:r>
    </w:p>
    <w:p w14:paraId="5EC71E50" w14:textId="592A3506" w:rsidR="005B77AE" w:rsidRDefault="005B77AE" w:rsidP="00861131">
      <w:pPr>
        <w:widowControl w:val="0"/>
      </w:pPr>
      <w:r>
        <w:t xml:space="preserve">A metodologia utilizada é a jurídico-dogmática possibilitando uma </w:t>
      </w:r>
      <w:r w:rsidR="00A42A0E">
        <w:t xml:space="preserve">investigação de caráter descritivo e propositivo. </w:t>
      </w:r>
    </w:p>
    <w:p w14:paraId="2F881892" w14:textId="3C7AC9DA" w:rsidR="00FF2CD1" w:rsidRDefault="00FF2CD1" w:rsidP="00861131">
      <w:pPr>
        <w:widowControl w:val="0"/>
      </w:pPr>
      <w:r>
        <w:t xml:space="preserve">Verificar-se-á que é possível redimensionar na contemporaneidade o entendimento </w:t>
      </w:r>
      <w:r w:rsidR="00A219CC">
        <w:t xml:space="preserve">acerca destes atributos quando diante da categoria </w:t>
      </w:r>
      <w:r>
        <w:t xml:space="preserve">da </w:t>
      </w:r>
      <w:r w:rsidRPr="00A219CC">
        <w:rPr>
          <w:i/>
          <w:iCs/>
        </w:rPr>
        <w:t xml:space="preserve">soft </w:t>
      </w:r>
      <w:proofErr w:type="spellStart"/>
      <w:r w:rsidRPr="00A219CC">
        <w:rPr>
          <w:i/>
          <w:iCs/>
        </w:rPr>
        <w:t>law</w:t>
      </w:r>
      <w:proofErr w:type="spellEnd"/>
      <w:r>
        <w:t xml:space="preserve"> </w:t>
      </w:r>
      <w:r w:rsidR="00A219CC">
        <w:t xml:space="preserve">a fim de legitimar o seu estudo dentro da formação do direito internacional. </w:t>
      </w:r>
    </w:p>
    <w:p w14:paraId="3223F3B8" w14:textId="093350F0" w:rsidR="00A42A0E" w:rsidRDefault="00A42A0E" w:rsidP="00861131">
      <w:pPr>
        <w:widowControl w:val="0"/>
      </w:pPr>
      <w:r>
        <w:t xml:space="preserve">Este trabalho é original e se propõe como alternativa </w:t>
      </w:r>
      <w:r w:rsidR="00A219CC">
        <w:t xml:space="preserve">ao entendimento binário de </w:t>
      </w:r>
      <w:r w:rsidR="00B0207B">
        <w:t xml:space="preserve">se classificar meramente </w:t>
      </w:r>
      <w:r w:rsidR="00A219CC">
        <w:t xml:space="preserve">a </w:t>
      </w:r>
      <w:r w:rsidR="00A219CC" w:rsidRPr="00A219CC">
        <w:rPr>
          <w:i/>
          <w:iCs/>
        </w:rPr>
        <w:t xml:space="preserve">soft </w:t>
      </w:r>
      <w:proofErr w:type="spellStart"/>
      <w:r w:rsidR="00A219CC" w:rsidRPr="00A219CC">
        <w:rPr>
          <w:i/>
          <w:iCs/>
        </w:rPr>
        <w:t>law</w:t>
      </w:r>
      <w:proofErr w:type="spellEnd"/>
      <w:r w:rsidR="00A219CC">
        <w:t xml:space="preserve"> </w:t>
      </w:r>
      <w:r w:rsidR="00B0207B">
        <w:t>como “</w:t>
      </w:r>
      <w:r w:rsidR="00A219CC">
        <w:t>não direito</w:t>
      </w:r>
      <w:r w:rsidR="00B0207B">
        <w:t>”</w:t>
      </w:r>
      <w:r w:rsidR="00353255">
        <w:t xml:space="preserve"> na medida em que questiona de modo crítico os atributos da </w:t>
      </w:r>
      <w:r w:rsidR="00353255" w:rsidRPr="00353255">
        <w:rPr>
          <w:i/>
          <w:iCs/>
        </w:rPr>
        <w:t>norma jurídica</w:t>
      </w:r>
      <w:r w:rsidR="00613CB0">
        <w:t xml:space="preserve"> e defende o estudo da </w:t>
      </w:r>
      <w:r w:rsidR="00613CB0" w:rsidRPr="00613CB0">
        <w:rPr>
          <w:i/>
          <w:iCs/>
        </w:rPr>
        <w:t xml:space="preserve">soft </w:t>
      </w:r>
      <w:proofErr w:type="spellStart"/>
      <w:r w:rsidR="00613CB0" w:rsidRPr="00613CB0">
        <w:rPr>
          <w:i/>
          <w:iCs/>
        </w:rPr>
        <w:t>law</w:t>
      </w:r>
      <w:proofErr w:type="spellEnd"/>
      <w:r w:rsidR="00613CB0">
        <w:t xml:space="preserve"> no âmbito de uma teoria geral sistêmica do direito internacional. </w:t>
      </w:r>
    </w:p>
    <w:p w14:paraId="3276BB9F" w14:textId="77777777" w:rsidR="00861131" w:rsidRDefault="00861131" w:rsidP="00861131">
      <w:pPr>
        <w:widowControl w:val="0"/>
      </w:pPr>
    </w:p>
    <w:p w14:paraId="3275B3C3" w14:textId="0485D1FF" w:rsidR="00861131" w:rsidRDefault="00861131" w:rsidP="00861131">
      <w:pPr>
        <w:widowControl w:val="0"/>
      </w:pPr>
      <w:r>
        <w:t xml:space="preserve">Palavras-chave: </w:t>
      </w:r>
      <w:r w:rsidRPr="00861131">
        <w:rPr>
          <w:i/>
          <w:iCs/>
        </w:rPr>
        <w:t xml:space="preserve">soft </w:t>
      </w:r>
      <w:proofErr w:type="spellStart"/>
      <w:r w:rsidRPr="00861131">
        <w:rPr>
          <w:i/>
          <w:iCs/>
        </w:rPr>
        <w:t>law</w:t>
      </w:r>
      <w:proofErr w:type="spellEnd"/>
      <w:r>
        <w:t xml:space="preserve"> – legalidade – validade – obrigatoriedade - legitimidade</w:t>
      </w:r>
    </w:p>
    <w:p w14:paraId="21C2F0F0" w14:textId="77777777" w:rsidR="00861131" w:rsidRPr="00861131" w:rsidRDefault="00861131" w:rsidP="00861131">
      <w:pPr>
        <w:widowControl w:val="0"/>
      </w:pPr>
    </w:p>
    <w:p w14:paraId="3E87905D" w14:textId="7884C209" w:rsidR="003042B8" w:rsidRPr="00861131" w:rsidRDefault="003042B8" w:rsidP="003042B8">
      <w:pPr>
        <w:widowControl w:val="0"/>
        <w:rPr>
          <w:b/>
          <w:bCs/>
        </w:rPr>
      </w:pPr>
      <w:r w:rsidRPr="00861131">
        <w:rPr>
          <w:b/>
          <w:bCs/>
        </w:rPr>
        <w:t>1.INTRODUÇÃO</w:t>
      </w:r>
    </w:p>
    <w:p w14:paraId="55F08737" w14:textId="77777777" w:rsidR="003042B8" w:rsidRPr="00861131" w:rsidRDefault="003042B8" w:rsidP="003042B8">
      <w:pPr>
        <w:widowControl w:val="0"/>
        <w:rPr>
          <w:b/>
          <w:bCs/>
        </w:rPr>
      </w:pPr>
    </w:p>
    <w:p w14:paraId="0EDCF1DD" w14:textId="0C2D3CF1" w:rsidR="003042B8" w:rsidRDefault="003042B8" w:rsidP="003042B8">
      <w:pPr>
        <w:widowControl w:val="0"/>
        <w:ind w:firstLine="708"/>
      </w:pPr>
      <w:r>
        <w:t xml:space="preserve">O direito pode ser, simploriamente, definido como um conjunto de normas que se aplica dentro de um determinado Estado em um dado momento. </w:t>
      </w:r>
    </w:p>
    <w:p w14:paraId="4D3763B5" w14:textId="77777777" w:rsidR="003042B8" w:rsidRDefault="003042B8" w:rsidP="003042B8">
      <w:pPr>
        <w:widowControl w:val="0"/>
        <w:ind w:firstLine="709"/>
      </w:pPr>
      <w:r>
        <w:t xml:space="preserve">Estas normas, na perspectiva do Estado Moderno, são produzidas por um poder soberano que concentra em si a competência para a produção deste direito. No âmbito doméstico esta produção é conferida a um poder legislativo que racionaliza os procedimentos de modo a produzir leis que materializam este </w:t>
      </w:r>
      <w:r>
        <w:lastRenderedPageBreak/>
        <w:t>espaço de controle da vida social.</w:t>
      </w:r>
      <w:r>
        <w:rPr>
          <w:rStyle w:val="ncoradanotaderodap"/>
        </w:rPr>
        <w:footnoteReference w:id="1"/>
      </w:r>
      <w:r>
        <w:t xml:space="preserve"> </w:t>
      </w:r>
    </w:p>
    <w:p w14:paraId="60F8E7F9" w14:textId="77777777" w:rsidR="003042B8" w:rsidRDefault="003042B8" w:rsidP="003042B8">
      <w:pPr>
        <w:ind w:firstLine="708"/>
      </w:pPr>
      <w:r>
        <w:t xml:space="preserve">No âmbito internacional, devido à ausência de um poder legislativo central, a produção normativa é fragmentada, mas guarda em si os atributos da soberania que se manifesta nas formas de expressão do consentimento dos Estados ao estipular com outros, acordos, tratados ou convenções, sendo estes a forma mais racional e palpável de produção de normas no direito internacional. </w:t>
      </w:r>
    </w:p>
    <w:p w14:paraId="47E837C3" w14:textId="2F5CE140" w:rsidR="003042B8" w:rsidRDefault="003042B8" w:rsidP="003042B8">
      <w:pPr>
        <w:ind w:firstLine="708"/>
      </w:pPr>
      <w:r>
        <w:t xml:space="preserve">A teoria das fontes consolidou no âmbito internacional a teoria positivista e a vontade do Estado como um ‘validador objetivo’ do direito internacional. Assim, a perspectiva pela qual o direito internacional se manifesta, por meio de suas fontes, emerge </w:t>
      </w:r>
      <w:r w:rsidR="00C668C6">
        <w:t xml:space="preserve">como mais uma das consequências da centralização </w:t>
      </w:r>
      <w:r>
        <w:t>da vontade do Estad</w:t>
      </w:r>
      <w:r w:rsidR="00C668C6">
        <w:t>o</w:t>
      </w:r>
      <w:r>
        <w:rPr>
          <w:rStyle w:val="ncoradanotaderodap"/>
        </w:rPr>
        <w:footnoteReference w:id="2"/>
      </w:r>
      <w:r>
        <w:t xml:space="preserve">. </w:t>
      </w:r>
    </w:p>
    <w:p w14:paraId="6BE0821C" w14:textId="6563786B" w:rsidR="00C668C6" w:rsidRDefault="002A5DC9" w:rsidP="003042B8">
      <w:pPr>
        <w:ind w:firstLine="708"/>
      </w:pPr>
      <w:r>
        <w:t xml:space="preserve">Contudo, hodiernamente, grande parte da produção normativa internacional é realizada pelas Organizações Internacionais que por meio de recomendações, </w:t>
      </w:r>
      <w:r w:rsidR="00C668C6">
        <w:t xml:space="preserve">atas finais, programas ou planos de ação, dentre outros, tem impactado o tradicional modelo de produção do direito internacional conforme preconizado pelo artigo 38 do Estatuto da Corte Internacional de Justiça. </w:t>
      </w:r>
    </w:p>
    <w:p w14:paraId="4C0301BA" w14:textId="22A39816" w:rsidR="00C668C6" w:rsidRDefault="00C668C6" w:rsidP="003042B8">
      <w:pPr>
        <w:ind w:firstLine="708"/>
      </w:pPr>
      <w:r>
        <w:t xml:space="preserve">A proliferação de tipos normativos de cunho </w:t>
      </w:r>
      <w:r w:rsidRPr="00C668C6">
        <w:rPr>
          <w:i/>
          <w:iCs/>
        </w:rPr>
        <w:t>soft,</w:t>
      </w:r>
      <w:r>
        <w:t xml:space="preserve"> contudo, é relegada a segundo plano pela doutrina tradicional. Isto porque as chamadas normas de </w:t>
      </w:r>
      <w:r w:rsidRPr="00C668C6">
        <w:rPr>
          <w:i/>
          <w:iCs/>
        </w:rPr>
        <w:t xml:space="preserve">soft </w:t>
      </w:r>
      <w:proofErr w:type="spellStart"/>
      <w:r w:rsidRPr="00C668C6">
        <w:rPr>
          <w:i/>
          <w:iCs/>
        </w:rPr>
        <w:t>law</w:t>
      </w:r>
      <w:proofErr w:type="spellEnd"/>
      <w:r>
        <w:t xml:space="preserve"> não seriam direito propriamente </w:t>
      </w:r>
      <w:proofErr w:type="gramStart"/>
      <w:r>
        <w:t>dito</w:t>
      </w:r>
      <w:proofErr w:type="gramEnd"/>
      <w:r w:rsidR="002E476B">
        <w:t>,</w:t>
      </w:r>
      <w:r w:rsidR="000509AC">
        <w:t xml:space="preserve"> pois</w:t>
      </w:r>
      <w:r>
        <w:t xml:space="preserve"> não possuiriam os atributos </w:t>
      </w:r>
      <w:r w:rsidR="000509AC">
        <w:t>clássicos do fazer jurídico tradicional, a saber, a</w:t>
      </w:r>
      <w:r>
        <w:t xml:space="preserve"> legalidade, </w:t>
      </w:r>
      <w:r w:rsidR="00AD10F6">
        <w:t xml:space="preserve">a </w:t>
      </w:r>
      <w:r>
        <w:t xml:space="preserve">validade, </w:t>
      </w:r>
      <w:r w:rsidR="00AD10F6">
        <w:t xml:space="preserve">a </w:t>
      </w:r>
      <w:r>
        <w:t xml:space="preserve">legitimidade e </w:t>
      </w:r>
      <w:r w:rsidR="00AD10F6">
        <w:t xml:space="preserve">a </w:t>
      </w:r>
      <w:r>
        <w:t>obrigatoriedade</w:t>
      </w:r>
      <w:r w:rsidR="000509AC">
        <w:t>.</w:t>
      </w:r>
    </w:p>
    <w:p w14:paraId="15DC9EF4" w14:textId="711202AF" w:rsidR="00C668C6" w:rsidRDefault="00C668C6" w:rsidP="003042B8">
      <w:pPr>
        <w:ind w:firstLine="708"/>
      </w:pPr>
      <w:r>
        <w:t xml:space="preserve">No nosso entendimento tal perspectiva não prospera pois, de um lado, a </w:t>
      </w:r>
      <w:r w:rsidRPr="00C668C6">
        <w:rPr>
          <w:i/>
          <w:iCs/>
        </w:rPr>
        <w:t xml:space="preserve">soft </w:t>
      </w:r>
      <w:proofErr w:type="spellStart"/>
      <w:r w:rsidRPr="00C668C6">
        <w:rPr>
          <w:i/>
          <w:iCs/>
        </w:rPr>
        <w:t>law</w:t>
      </w:r>
      <w:proofErr w:type="spellEnd"/>
      <w:r>
        <w:t xml:space="preserve"> assume, </w:t>
      </w:r>
      <w:r>
        <w:t>na contemporaneidade</w:t>
      </w:r>
      <w:r>
        <w:t>,</w:t>
      </w:r>
      <w:r>
        <w:t xml:space="preserve"> </w:t>
      </w:r>
      <w:r>
        <w:t xml:space="preserve">um papel fundamental no sistema normativo internacional e, de outro lado, os atributos supramencionados podem ser redimensionados no seu entendimento e extensão a partir da perspectiva científica adotada. </w:t>
      </w:r>
    </w:p>
    <w:p w14:paraId="32B01ACB" w14:textId="6E816879" w:rsidR="003042B8" w:rsidRDefault="00C668C6" w:rsidP="003042B8">
      <w:pPr>
        <w:ind w:firstLine="708"/>
      </w:pPr>
      <w:r>
        <w:t xml:space="preserve">Para buscar desatar os nós que impedem o estudo da </w:t>
      </w:r>
      <w:r w:rsidRPr="00C668C6">
        <w:rPr>
          <w:i/>
          <w:iCs/>
        </w:rPr>
        <w:t xml:space="preserve">soft </w:t>
      </w:r>
      <w:proofErr w:type="spellStart"/>
      <w:r w:rsidRPr="00C668C6">
        <w:rPr>
          <w:i/>
          <w:iCs/>
        </w:rPr>
        <w:t>law</w:t>
      </w:r>
      <w:proofErr w:type="spellEnd"/>
      <w:r>
        <w:t xml:space="preserve"> no âmbito de uma teoria geral do direito internacional este artigo propõe uma readequação da interpretação desses atributos</w:t>
      </w:r>
      <w:r w:rsidR="000509AC">
        <w:t xml:space="preserve">. </w:t>
      </w:r>
      <w:r>
        <w:t xml:space="preserve">Isto porque é </w:t>
      </w:r>
      <w:r w:rsidR="00AD10F6">
        <w:t>consolidada</w:t>
      </w:r>
      <w:r>
        <w:t xml:space="preserve"> e evidente a ideia </w:t>
      </w:r>
      <w:r w:rsidR="00AD10F6">
        <w:lastRenderedPageBreak/>
        <w:t xml:space="preserve">de </w:t>
      </w:r>
      <w:r>
        <w:t xml:space="preserve">que o direito </w:t>
      </w:r>
      <w:r w:rsidR="00AD10F6">
        <w:t>internacional</w:t>
      </w:r>
      <w:r>
        <w:t xml:space="preserve"> se difere do direito interno tanto </w:t>
      </w:r>
      <w:r w:rsidR="00AD10F6">
        <w:t>pelo</w:t>
      </w:r>
      <w:r>
        <w:t xml:space="preserve"> seu modo de formação quanto </w:t>
      </w:r>
      <w:r w:rsidR="00AD10F6">
        <w:t>pelos</w:t>
      </w:r>
      <w:r>
        <w:t xml:space="preserve"> seus meios de aplicação. </w:t>
      </w:r>
    </w:p>
    <w:p w14:paraId="505BCC13" w14:textId="33D77DAF" w:rsidR="002C0A96" w:rsidRDefault="00AD10F6" w:rsidP="003042B8">
      <w:pPr>
        <w:ind w:firstLine="708"/>
      </w:pPr>
      <w:r>
        <w:t xml:space="preserve">É partindo desta constatação que </w:t>
      </w:r>
      <w:r w:rsidR="002C0A96">
        <w:t xml:space="preserve">o </w:t>
      </w:r>
      <w:r>
        <w:t xml:space="preserve">presente </w:t>
      </w:r>
      <w:r w:rsidR="002C0A96">
        <w:t xml:space="preserve">artigo se propõe a debater de forma crítica </w:t>
      </w:r>
      <w:r>
        <w:t xml:space="preserve">os atributos da legalidade, da validade, legitimidade e obrigatoriedade a fim de se acomodar o estudo da </w:t>
      </w:r>
      <w:r w:rsidRPr="00AD10F6">
        <w:rPr>
          <w:i/>
          <w:iCs/>
        </w:rPr>
        <w:t xml:space="preserve">soft </w:t>
      </w:r>
      <w:proofErr w:type="spellStart"/>
      <w:r w:rsidRPr="00AD10F6">
        <w:rPr>
          <w:i/>
          <w:iCs/>
        </w:rPr>
        <w:t>law</w:t>
      </w:r>
      <w:proofErr w:type="spellEnd"/>
      <w:r>
        <w:t xml:space="preserve"> dentro do sistema normativo internacional. </w:t>
      </w:r>
      <w:r w:rsidR="002C0A96">
        <w:t xml:space="preserve"> </w:t>
      </w:r>
    </w:p>
    <w:p w14:paraId="0DE2437C" w14:textId="77777777" w:rsidR="003042B8" w:rsidRPr="003042B8" w:rsidRDefault="003042B8" w:rsidP="003042B8">
      <w:pPr>
        <w:rPr>
          <w:b/>
          <w:bCs/>
        </w:rPr>
      </w:pPr>
    </w:p>
    <w:p w14:paraId="090428B7" w14:textId="77777777" w:rsidR="003042B8" w:rsidRDefault="003042B8" w:rsidP="003042B8">
      <w:pPr>
        <w:pStyle w:val="Ttulo3"/>
        <w:numPr>
          <w:ilvl w:val="2"/>
          <w:numId w:val="2"/>
        </w:numPr>
        <w:rPr>
          <w:b/>
          <w:bCs/>
          <w:i w:val="0"/>
          <w:iCs/>
        </w:rPr>
      </w:pPr>
      <w:bookmarkStart w:id="1" w:name="__RefHeading___Toc122561928"/>
      <w:bookmarkStart w:id="2" w:name="_Toc122633229"/>
      <w:bookmarkEnd w:id="1"/>
      <w:r w:rsidRPr="003042B8">
        <w:rPr>
          <w:b/>
          <w:bCs/>
          <w:i w:val="0"/>
          <w:iCs/>
        </w:rPr>
        <w:t>2. DESENVOLVIMENTO</w:t>
      </w:r>
    </w:p>
    <w:p w14:paraId="30126E67" w14:textId="77777777" w:rsidR="00B80E75" w:rsidRPr="00B80E75" w:rsidRDefault="00B80E75" w:rsidP="00B80E75"/>
    <w:p w14:paraId="12E60ADE" w14:textId="13D700A9" w:rsidR="00B80E75" w:rsidRDefault="00B80E75" w:rsidP="00B80E75">
      <w:pPr>
        <w:ind w:firstLine="708"/>
      </w:pPr>
      <w:r>
        <w:t>Ao longo do desenvolvimento discorrer-se-á a respeito d</w:t>
      </w:r>
      <w:r w:rsidR="00720489">
        <w:t>os atributos d</w:t>
      </w:r>
      <w:r w:rsidR="00544925">
        <w:t>a</w:t>
      </w:r>
      <w:r>
        <w:t xml:space="preserve"> juridicidade, legalidade, validade, legitimidade e obrigatoriedade da norma</w:t>
      </w:r>
      <w:r w:rsidR="00500333">
        <w:t xml:space="preserve"> </w:t>
      </w:r>
      <w:r w:rsidR="00720489">
        <w:t xml:space="preserve">em uma perspectiva positivista clássica a fim de se propor uma reflexão crítica do enquadramento das normas de </w:t>
      </w:r>
      <w:r w:rsidR="00720489" w:rsidRPr="00720489">
        <w:rPr>
          <w:i/>
          <w:iCs/>
        </w:rPr>
        <w:t xml:space="preserve">soft </w:t>
      </w:r>
      <w:proofErr w:type="spellStart"/>
      <w:r w:rsidR="00720489" w:rsidRPr="00720489">
        <w:rPr>
          <w:i/>
          <w:iCs/>
        </w:rPr>
        <w:t>law</w:t>
      </w:r>
      <w:proofErr w:type="spellEnd"/>
      <w:r w:rsidR="00720489">
        <w:t xml:space="preserve"> neste contexto. </w:t>
      </w:r>
    </w:p>
    <w:p w14:paraId="241FEC8F" w14:textId="77777777" w:rsidR="00B80E75" w:rsidRPr="00B80E75" w:rsidRDefault="00B80E75" w:rsidP="00B80E75">
      <w:pPr>
        <w:ind w:left="708"/>
      </w:pPr>
    </w:p>
    <w:p w14:paraId="3C43B554" w14:textId="1B8F3615" w:rsidR="003042B8" w:rsidRPr="003A68E4" w:rsidRDefault="003042B8" w:rsidP="003042B8">
      <w:pPr>
        <w:pStyle w:val="Ttulo3"/>
        <w:numPr>
          <w:ilvl w:val="2"/>
          <w:numId w:val="2"/>
        </w:numPr>
        <w:rPr>
          <w:b/>
          <w:bCs/>
          <w:i w:val="0"/>
          <w:iCs/>
        </w:rPr>
      </w:pPr>
      <w:r w:rsidRPr="003A68E4">
        <w:rPr>
          <w:b/>
          <w:bCs/>
          <w:i w:val="0"/>
          <w:iCs/>
        </w:rPr>
        <w:t>2.1 A norma jurídica legal</w:t>
      </w:r>
      <w:bookmarkEnd w:id="2"/>
    </w:p>
    <w:p w14:paraId="0C9023B9" w14:textId="77777777" w:rsidR="003042B8" w:rsidRDefault="003042B8" w:rsidP="003042B8">
      <w:pPr>
        <w:ind w:firstLine="708"/>
        <w:rPr>
          <w:b/>
          <w:bCs/>
        </w:rPr>
      </w:pPr>
    </w:p>
    <w:p w14:paraId="10B71945" w14:textId="77777777" w:rsidR="003042B8" w:rsidRDefault="003042B8" w:rsidP="003042B8">
      <w:pPr>
        <w:ind w:firstLine="708"/>
      </w:pPr>
      <w:r>
        <w:t>Norma é aquilo que predispõe a respeito de uma conduta. Kelsen</w:t>
      </w:r>
      <w:r>
        <w:rPr>
          <w:rStyle w:val="ncoradanotaderodap"/>
          <w:sz w:val="20"/>
          <w:szCs w:val="20"/>
        </w:rPr>
        <w:footnoteReference w:id="3"/>
      </w:r>
      <w:r>
        <w:t xml:space="preserve"> simplifica afirmando que uma norma é um comando, mas nem todo comando é uma norma. Assim:</w:t>
      </w:r>
    </w:p>
    <w:p w14:paraId="5B513439" w14:textId="77777777" w:rsidR="003042B8" w:rsidRDefault="003042B8" w:rsidP="003042B8"/>
    <w:p w14:paraId="554D4579" w14:textId="77777777" w:rsidR="003042B8" w:rsidRDefault="003042B8" w:rsidP="003042B8">
      <w:pPr>
        <w:spacing w:line="240" w:lineRule="auto"/>
        <w:ind w:left="2268"/>
      </w:pPr>
      <w:r>
        <w:rPr>
          <w:sz w:val="20"/>
          <w:szCs w:val="20"/>
        </w:rPr>
        <w:t>Um comando é uma norma apenas quando esta é vinculante para o indivíduo à qual é direcionada. [...] Se um comando é vinculante ou não depende se o indivíduo que está comandado é “autorizado” para emitir o comando. [...] E ele é “autorizado” ou “empoderado” apenas se a ordem normativa, cujo pressuposto é o de ser vinculante, confere a ele a capacidade, a competência para emanar comandos vinculantes. [..] A força vinculante de um comando não deriva do comando em si, mas das condições sobre as quais o comando é emitido.</w:t>
      </w:r>
      <w:r>
        <w:rPr>
          <w:rStyle w:val="ncoradanotaderodap"/>
          <w:sz w:val="20"/>
          <w:szCs w:val="20"/>
        </w:rPr>
        <w:footnoteReference w:id="4"/>
      </w:r>
      <w:r>
        <w:rPr>
          <w:sz w:val="20"/>
          <w:szCs w:val="20"/>
        </w:rPr>
        <w:t xml:space="preserve"> (</w:t>
      </w:r>
      <w:r>
        <w:rPr>
          <w:iCs/>
          <w:sz w:val="20"/>
          <w:szCs w:val="20"/>
        </w:rPr>
        <w:t>tradução nossa</w:t>
      </w:r>
      <w:r>
        <w:rPr>
          <w:sz w:val="20"/>
          <w:szCs w:val="20"/>
        </w:rPr>
        <w:t>).</w:t>
      </w:r>
    </w:p>
    <w:p w14:paraId="106F19D6" w14:textId="77777777" w:rsidR="003042B8" w:rsidRPr="005A07DB" w:rsidRDefault="003042B8" w:rsidP="003042B8">
      <w:pPr>
        <w:rPr>
          <w:i/>
        </w:rPr>
      </w:pPr>
    </w:p>
    <w:p w14:paraId="113EE948" w14:textId="77777777" w:rsidR="003042B8" w:rsidRPr="005A07DB" w:rsidRDefault="003042B8" w:rsidP="003042B8">
      <w:r>
        <w:lastRenderedPageBreak/>
        <w:tab/>
        <w:t>Kelsen continua sua análise do conteúdo do comando, dizendo que este deve ser considerado como tal na presença de dois elementos: um ato de vontade e uma expressão desta vontade</w:t>
      </w:r>
      <w:r>
        <w:rPr>
          <w:rStyle w:val="ncoradanotaderodap"/>
        </w:rPr>
        <w:footnoteReference w:id="5"/>
      </w:r>
      <w:r>
        <w:t>. A vontade aqui considerada, muito cuidadosamente pelo autor, não tem um sentido psicológico. Ele define uma norma “como uma regra que expressa a forma como alguém deve agir numa certa maneira”</w:t>
      </w:r>
      <w:r>
        <w:rPr>
          <w:rStyle w:val="ncoradanotaderodap"/>
        </w:rPr>
        <w:footnoteReference w:id="6"/>
      </w:r>
      <w:r>
        <w:t xml:space="preserve">. </w:t>
      </w:r>
      <w:r w:rsidRPr="005A07DB">
        <w:t>(</w:t>
      </w:r>
      <w:r w:rsidRPr="005A07DB">
        <w:rPr>
          <w:iCs/>
        </w:rPr>
        <w:t>tradução nossa</w:t>
      </w:r>
      <w:r w:rsidRPr="005A07DB">
        <w:t>).</w:t>
      </w:r>
    </w:p>
    <w:p w14:paraId="35882E06" w14:textId="77777777" w:rsidR="003042B8" w:rsidRDefault="003042B8" w:rsidP="003042B8">
      <w:pPr>
        <w:ind w:firstLine="708"/>
      </w:pPr>
      <w:r>
        <w:t>Kelsen afirma que o direito é caracterizado como “regras”, mas prefere o termo “norma” para se referir ao direito para evitar mal-entendidos em relação à natureza do direito, no sentido que a palavra “norma” nos remete a prescrições em relação ao comportamento do ser humano, diferentemente do termo “regras” que pode ser utilizado para descrever como os eventos naturais ocorrem e o porquê</w:t>
      </w:r>
      <w:r>
        <w:rPr>
          <w:rStyle w:val="ncoradanotaderodap"/>
        </w:rPr>
        <w:footnoteReference w:id="7"/>
      </w:r>
      <w:r>
        <w:t>. Para ele, “outra razão pela qual a designação da lei como “regra” é enganosa é que a palavra “regra” carrega a conotação de algo “geral”. Uma “regra” não se refere a um único evento não recorrente, mas a toda uma classe de eventos semelhantes”</w:t>
      </w:r>
      <w:r>
        <w:rPr>
          <w:rStyle w:val="ncoradanotaderodap"/>
          <w:lang w:val="en-US"/>
        </w:rPr>
        <w:footnoteReference w:id="8"/>
      </w:r>
      <w:r>
        <w:t>. (</w:t>
      </w:r>
      <w:r>
        <w:rPr>
          <w:iCs/>
        </w:rPr>
        <w:t>tradução nossa</w:t>
      </w:r>
      <w:r>
        <w:t>).</w:t>
      </w:r>
    </w:p>
    <w:p w14:paraId="445A5EDE" w14:textId="77777777" w:rsidR="003042B8" w:rsidRDefault="003042B8" w:rsidP="003042B8">
      <w:pPr>
        <w:ind w:firstLine="708"/>
      </w:pPr>
      <w:r>
        <w:t>De outro lado o termo “regras legais” deve ser utilizado, segundo o autor, para se referir à ciência do direito quando esta atua de maneira descritiva</w:t>
      </w:r>
      <w:r>
        <w:rPr>
          <w:rStyle w:val="ncoradanotaderodap"/>
        </w:rPr>
        <w:footnoteReference w:id="9"/>
      </w:r>
      <w:r>
        <w:t xml:space="preserve">. </w:t>
      </w:r>
    </w:p>
    <w:p w14:paraId="59F63773" w14:textId="77777777" w:rsidR="003042B8" w:rsidRDefault="003042B8" w:rsidP="003042B8">
      <w:pPr>
        <w:ind w:firstLine="708"/>
      </w:pPr>
      <w:r>
        <w:t>Kelsen ao falar da norma e do ato jurídico afirma que:</w:t>
      </w:r>
    </w:p>
    <w:p w14:paraId="55BA1795" w14:textId="77777777" w:rsidR="003042B8" w:rsidRDefault="003042B8" w:rsidP="003042B8">
      <w:pPr>
        <w:ind w:firstLine="708"/>
      </w:pPr>
    </w:p>
    <w:p w14:paraId="5F27A30B" w14:textId="77777777" w:rsidR="003042B8" w:rsidRDefault="003042B8" w:rsidP="003042B8">
      <w:pPr>
        <w:spacing w:line="240" w:lineRule="auto"/>
        <w:ind w:left="2268"/>
      </w:pPr>
      <w:r>
        <w:rPr>
          <w:sz w:val="20"/>
          <w:szCs w:val="20"/>
        </w:rPr>
        <w:t>Um ato é um ato jurídico precisamente porque é determinado por uma norma jurídica. A qualidade jurídica de um ato é idêntica à sua relação com uma norma jurídica. Um ato é um ato “legal” apenas porque e somente na medida em que é determinado por uma norma jurídica. […]. A lei é composta de normas jurídicas e atos jurídicos determinados por essas normas</w:t>
      </w:r>
      <w:r>
        <w:rPr>
          <w:rStyle w:val="ncoradanotaderodap"/>
          <w:sz w:val="20"/>
          <w:szCs w:val="20"/>
          <w:lang w:val="en-US"/>
        </w:rPr>
        <w:footnoteReference w:id="10"/>
      </w:r>
      <w:r>
        <w:rPr>
          <w:sz w:val="20"/>
          <w:szCs w:val="20"/>
        </w:rPr>
        <w:t>. (</w:t>
      </w:r>
      <w:r>
        <w:rPr>
          <w:iCs/>
          <w:sz w:val="20"/>
          <w:szCs w:val="20"/>
        </w:rPr>
        <w:t>tradução nossa</w:t>
      </w:r>
      <w:r>
        <w:rPr>
          <w:sz w:val="20"/>
          <w:szCs w:val="20"/>
        </w:rPr>
        <w:t>).</w:t>
      </w:r>
    </w:p>
    <w:p w14:paraId="0EA6B6C3" w14:textId="77777777" w:rsidR="003042B8" w:rsidRPr="005A07DB" w:rsidRDefault="003042B8" w:rsidP="003042B8">
      <w:pPr>
        <w:ind w:firstLine="708"/>
      </w:pPr>
    </w:p>
    <w:p w14:paraId="2CBE218B" w14:textId="77777777" w:rsidR="003042B8" w:rsidRDefault="003042B8" w:rsidP="003042B8">
      <w:pPr>
        <w:ind w:firstLine="708"/>
      </w:pPr>
      <w:r>
        <w:lastRenderedPageBreak/>
        <w:t xml:space="preserve">De forma mais ampla, contudo, a norma não é exclusiva do campo do direito, porquanto a religião pode predispor normas para os seus fiéis, os pais podem predispor regras/normas dentro de casa para os seus filhos, assim como a própria sociedade por si, já determina regras de convivência social, dentre outras. Portanto, o universo normativo não é exclusivo do campo jurídico, uma vez que diversas normas fazem parte da vida humana em comunidade. </w:t>
      </w:r>
    </w:p>
    <w:p w14:paraId="1519AF02" w14:textId="77777777" w:rsidR="003042B8" w:rsidRDefault="003042B8" w:rsidP="003042B8">
      <w:pPr>
        <w:ind w:firstLine="708"/>
      </w:pPr>
      <w:r>
        <w:t>Assim, comumente, o divisor de águas entre as normas que compõem um sistema jurídico e as demais normais existentes em uma sociedade é a sanção. Kelsen chega a definir o direito como uma “técnica social coercitiva” ou como uma “ordem social coercitiva”</w:t>
      </w:r>
      <w:r>
        <w:rPr>
          <w:rStyle w:val="ncoradanotaderodap"/>
        </w:rPr>
        <w:footnoteReference w:id="11"/>
      </w:r>
      <w:r>
        <w:t xml:space="preserve">. Enfim, a violação da norma jurídica enseja a aplicação de uma sanção. </w:t>
      </w:r>
    </w:p>
    <w:p w14:paraId="155BAD94" w14:textId="1F7A4FE5" w:rsidR="003042B8" w:rsidRDefault="003042B8" w:rsidP="003042B8">
      <w:pPr>
        <w:ind w:firstLine="708"/>
      </w:pPr>
      <w:r>
        <w:t>No passado, a ausência de um poder que pudesse aplicar uma sanção ao Estado violador de uma obrigação ou norma internacional era motivo da negação do direito internacional como direito propriamente dito. Com efeito, se o direito internacional não possu</w:t>
      </w:r>
      <w:r w:rsidR="00500333">
        <w:t>ísse</w:t>
      </w:r>
      <w:r>
        <w:t xml:space="preserve"> aqueles elementos considerados essenciais para ser direito, como o fato de ser emanado por um poder</w:t>
      </w:r>
      <w:r w:rsidR="003A5D13">
        <w:t xml:space="preserve"> central</w:t>
      </w:r>
      <w:r>
        <w:t>, possuir um conteúdo prescritivo e prever uma sanção em caso de violação, o direito internacional nem direito era</w:t>
      </w:r>
      <w:r>
        <w:rPr>
          <w:rStyle w:val="ncoradanotaderodap"/>
        </w:rPr>
        <w:footnoteReference w:id="12"/>
      </w:r>
      <w:r>
        <w:t xml:space="preserve">. </w:t>
      </w:r>
    </w:p>
    <w:p w14:paraId="791ED609" w14:textId="26421297" w:rsidR="003042B8" w:rsidRDefault="003042B8" w:rsidP="003042B8">
      <w:pPr>
        <w:ind w:firstLine="708"/>
      </w:pPr>
      <w:r>
        <w:t>Esta assimilação do direito à sanção, também, em âmbito internacional te</w:t>
      </w:r>
      <w:r w:rsidR="00500333">
        <w:t>ve</w:t>
      </w:r>
      <w:r>
        <w:t xml:space="preserve"> uma dupla origem: a primeira na busca pela transposição dos elementos de direito doméstico ao direito internacional, o que deve ser evitado, uma vez que o modo de formação e aplicação do direito internacional é totalmente diferente da do direito interno e a segunda na confusão conceitual de se considerar a eficácia do direito como elemento que prove a sua existência/obrigatoriedade. A eficácia faz parte do mundo dos fatos e a situação de não observância de uma norma em nada interfere com a sua existência. </w:t>
      </w:r>
    </w:p>
    <w:p w14:paraId="2F061E37" w14:textId="77777777" w:rsidR="003042B8" w:rsidRDefault="003042B8" w:rsidP="003042B8">
      <w:pPr>
        <w:ind w:firstLine="708"/>
      </w:pPr>
      <w:r>
        <w:t xml:space="preserve">No primeiro sentido, </w:t>
      </w:r>
      <w:proofErr w:type="spellStart"/>
      <w:r>
        <w:t>Jo</w:t>
      </w:r>
      <w:proofErr w:type="spellEnd"/>
      <w:r>
        <w:rPr>
          <w:rStyle w:val="ncoradanotaderodap"/>
          <w:sz w:val="20"/>
          <w:szCs w:val="20"/>
        </w:rPr>
        <w:footnoteReference w:id="13"/>
      </w:r>
      <w:r>
        <w:t xml:space="preserve"> afirma que:</w:t>
      </w:r>
    </w:p>
    <w:p w14:paraId="18C20311" w14:textId="77777777" w:rsidR="003042B8" w:rsidRDefault="003042B8" w:rsidP="003042B8">
      <w:pPr>
        <w:widowControl w:val="0"/>
        <w:ind w:left="2268"/>
      </w:pPr>
    </w:p>
    <w:p w14:paraId="65FC69E8" w14:textId="77777777" w:rsidR="003042B8" w:rsidRDefault="003042B8" w:rsidP="003042B8">
      <w:pPr>
        <w:spacing w:line="240" w:lineRule="auto"/>
        <w:ind w:left="2268"/>
        <w:rPr>
          <w:sz w:val="20"/>
          <w:szCs w:val="20"/>
        </w:rPr>
      </w:pPr>
      <w:r>
        <w:rPr>
          <w:sz w:val="20"/>
          <w:szCs w:val="20"/>
        </w:rPr>
        <w:t>Não há nenhuma razão para supor que o sistema legal internacional deva ser ou seguir o modelo do sistema centralizado do direito nacional. O que importa é saber se os Estados e os demais sujeitos do DI aceitam, na prática, os princípios e as regras do DI, estando legalmente obrigados (</w:t>
      </w:r>
      <w:proofErr w:type="spellStart"/>
      <w:r>
        <w:rPr>
          <w:sz w:val="20"/>
          <w:szCs w:val="20"/>
        </w:rPr>
        <w:t>legally</w:t>
      </w:r>
      <w:proofErr w:type="spellEnd"/>
      <w:r>
        <w:rPr>
          <w:sz w:val="20"/>
          <w:szCs w:val="20"/>
        </w:rPr>
        <w:t xml:space="preserve"> </w:t>
      </w:r>
      <w:proofErr w:type="spellStart"/>
      <w:r>
        <w:rPr>
          <w:sz w:val="20"/>
          <w:szCs w:val="20"/>
        </w:rPr>
        <w:t>binding</w:t>
      </w:r>
      <w:proofErr w:type="spellEnd"/>
      <w:r>
        <w:rPr>
          <w:sz w:val="20"/>
          <w:szCs w:val="20"/>
        </w:rPr>
        <w:t xml:space="preserve">) no seu comportamento. </w:t>
      </w:r>
    </w:p>
    <w:p w14:paraId="1F77D51B" w14:textId="77777777" w:rsidR="003042B8" w:rsidRPr="005A07DB" w:rsidRDefault="003042B8" w:rsidP="003042B8">
      <w:pPr>
        <w:ind w:firstLine="708"/>
      </w:pPr>
    </w:p>
    <w:p w14:paraId="53372EE5" w14:textId="6F213878" w:rsidR="003042B8" w:rsidRDefault="003042B8" w:rsidP="003042B8">
      <w:r>
        <w:rPr>
          <w:b/>
          <w:bCs/>
        </w:rPr>
        <w:tab/>
      </w:r>
      <w:r w:rsidR="007F5050">
        <w:t>O</w:t>
      </w:r>
      <w:r>
        <w:t xml:space="preserve"> positivismo</w:t>
      </w:r>
      <w:r w:rsidR="007F5050">
        <w:t xml:space="preserve"> clássico</w:t>
      </w:r>
      <w:r>
        <w:t xml:space="preserve"> trata a produção da norma de maneira mecanicista, excluindo, automaticamente, do seu processamento aqueles elementos que não passam pela concreta e segura manifestação de vontade do Estado, no desejo de se obrigar numa relação jurídica. </w:t>
      </w:r>
    </w:p>
    <w:p w14:paraId="070EE8FA" w14:textId="72DDA8CA" w:rsidR="003042B8" w:rsidRDefault="003042B8" w:rsidP="003042B8">
      <w:pPr>
        <w:ind w:firstLine="708"/>
      </w:pPr>
      <w:r>
        <w:t xml:space="preserve">Razão esta, que permite ao positivismo excluir a </w:t>
      </w:r>
      <w:r>
        <w:rPr>
          <w:i/>
          <w:iCs/>
        </w:rPr>
        <w:t xml:space="preserve">soft </w:t>
      </w:r>
      <w:proofErr w:type="spellStart"/>
      <w:r>
        <w:rPr>
          <w:i/>
          <w:iCs/>
        </w:rPr>
        <w:t>law</w:t>
      </w:r>
      <w:proofErr w:type="spellEnd"/>
      <w:r>
        <w:t xml:space="preserve"> do </w:t>
      </w:r>
      <w:r w:rsidR="00500333">
        <w:t xml:space="preserve">seu </w:t>
      </w:r>
      <w:r>
        <w:t xml:space="preserve">campo de análise, pois, frequentemente, as normas de </w:t>
      </w:r>
      <w:proofErr w:type="spellStart"/>
      <w:r>
        <w:rPr>
          <w:i/>
          <w:iCs/>
        </w:rPr>
        <w:t>solf</w:t>
      </w:r>
      <w:proofErr w:type="spellEnd"/>
      <w:r>
        <w:rPr>
          <w:i/>
          <w:iCs/>
        </w:rPr>
        <w:t xml:space="preserve"> </w:t>
      </w:r>
      <w:proofErr w:type="spellStart"/>
      <w:r>
        <w:rPr>
          <w:i/>
          <w:iCs/>
        </w:rPr>
        <w:t>law</w:t>
      </w:r>
      <w:proofErr w:type="spellEnd"/>
      <w:r>
        <w:t xml:space="preserve"> são produzidas sem o aval direto do Estado. </w:t>
      </w:r>
    </w:p>
    <w:p w14:paraId="620C73DE" w14:textId="00B06332" w:rsidR="003042B8" w:rsidRDefault="003042B8" w:rsidP="003042B8">
      <w:pPr>
        <w:ind w:firstLine="708"/>
      </w:pPr>
      <w:r>
        <w:t xml:space="preserve">Contudo, o </w:t>
      </w:r>
      <w:r w:rsidR="007F5050">
        <w:t>nosso entendimento</w:t>
      </w:r>
      <w:r>
        <w:t xml:space="preserve"> é que esta abordagem, desconsidera “aspectos importantes da ação social, como: aconselhar, exigir, pedir desculpas, afirmar, prometer, </w:t>
      </w:r>
      <w:proofErr w:type="spellStart"/>
      <w:r>
        <w:t>etc</w:t>
      </w:r>
      <w:proofErr w:type="spellEnd"/>
      <w:r>
        <w:t>”</w:t>
      </w:r>
      <w:r>
        <w:rPr>
          <w:rStyle w:val="ncoradanotaderodap"/>
        </w:rPr>
        <w:footnoteReference w:id="14"/>
      </w:r>
      <w:r>
        <w:t xml:space="preserve"> (</w:t>
      </w:r>
      <w:r>
        <w:rPr>
          <w:i/>
          <w:iCs/>
        </w:rPr>
        <w:t>tradução nossa</w:t>
      </w:r>
      <w:r>
        <w:t>), que compreende um conjunto de medidas consideradas importantes para o propósito do direito internacional.</w:t>
      </w:r>
    </w:p>
    <w:p w14:paraId="12C5FC92" w14:textId="77777777" w:rsidR="003042B8" w:rsidRDefault="003042B8" w:rsidP="003042B8">
      <w:pPr>
        <w:ind w:firstLine="708"/>
      </w:pPr>
      <w:proofErr w:type="spellStart"/>
      <w:r>
        <w:t>Koskenniemi</w:t>
      </w:r>
      <w:proofErr w:type="spellEnd"/>
      <w:r>
        <w:rPr>
          <w:rStyle w:val="ncoradanotaderodap"/>
        </w:rPr>
        <w:footnoteReference w:id="15"/>
      </w:r>
      <w:r>
        <w:t>, de maneira estimulante, trata do tema da normatividade do direito internacional considerando que a sua busca, em excesso, pode transparecer o quão não normativo o direito internacional é. Ou seja, o autor critica a obsessão pela busca da normatividade como se essa busca excessiva fosse quase contraditória à característica da normatividade em si, pois ser normativo é dizer que o direito pode ser aplicado, sem depender da vontade do Estado ou de suas preferências políticas, pois se dependesse, não seria normativo, uma vez que:</w:t>
      </w:r>
    </w:p>
    <w:p w14:paraId="50771640" w14:textId="77777777" w:rsidR="003042B8" w:rsidRDefault="003042B8" w:rsidP="003042B8">
      <w:pPr>
        <w:ind w:firstLine="708"/>
      </w:pPr>
    </w:p>
    <w:p w14:paraId="039D6B59" w14:textId="77777777" w:rsidR="003042B8" w:rsidRDefault="003042B8" w:rsidP="003042B8">
      <w:pPr>
        <w:spacing w:line="240" w:lineRule="auto"/>
        <w:ind w:left="2268"/>
      </w:pPr>
      <w:r>
        <w:rPr>
          <w:sz w:val="20"/>
          <w:szCs w:val="20"/>
        </w:rPr>
        <w:t>De acordo com a exigência de normatividade, o direito deve ser aplicado independentemente das preferências políticas dos sujeitos jurídicos”. […] Quanto mais a doutrina reconstrutiva tentou provar a normatividade da lei, sua autonomia em relação à política, mais ela se tornou vulnerável à acusação de utopismo. Quanto mais eles insistem na estreita conexão entre o direito internacional e o comportamento do Estado, menos normativas suas doutrinas parecem. (</w:t>
      </w:r>
      <w:r>
        <w:rPr>
          <w:iCs/>
          <w:sz w:val="20"/>
          <w:szCs w:val="20"/>
        </w:rPr>
        <w:t>tradução nossa</w:t>
      </w:r>
      <w:r>
        <w:rPr>
          <w:sz w:val="20"/>
          <w:szCs w:val="20"/>
        </w:rPr>
        <w:t>).</w:t>
      </w:r>
    </w:p>
    <w:p w14:paraId="492BDD7E" w14:textId="77777777" w:rsidR="003042B8" w:rsidRDefault="003042B8" w:rsidP="003042B8">
      <w:pPr>
        <w:ind w:firstLine="708"/>
      </w:pPr>
    </w:p>
    <w:p w14:paraId="32DD1267" w14:textId="3C0E6341" w:rsidR="003042B8" w:rsidRDefault="003042B8" w:rsidP="003042B8">
      <w:pPr>
        <w:ind w:firstLine="708"/>
      </w:pPr>
      <w:r>
        <w:lastRenderedPageBreak/>
        <w:t xml:space="preserve">Nesta linha, </w:t>
      </w:r>
      <w:proofErr w:type="spellStart"/>
      <w:r>
        <w:t>Roughan</w:t>
      </w:r>
      <w:proofErr w:type="spellEnd"/>
      <w:r>
        <w:rPr>
          <w:rStyle w:val="ncoradanotaderodap"/>
        </w:rPr>
        <w:footnoteReference w:id="16"/>
      </w:r>
      <w:r>
        <w:t xml:space="preserve"> ao indagar sobre o papel das fontes do direito internacional em estabelecer ou mesmo gerar normatividade na esfera do direito internacional, conclui que, a normatividade e a ideia de validade legal não são situações </w:t>
      </w:r>
      <w:r w:rsidR="00CB4BEC">
        <w:t>similares</w:t>
      </w:r>
      <w:r>
        <w:t xml:space="preserve">. </w:t>
      </w:r>
      <w:r w:rsidR="00500333">
        <w:t>Ato contínuo, o presente</w:t>
      </w:r>
      <w:r w:rsidR="007F5050">
        <w:t xml:space="preserve"> artigo propõe o entendimento pelo qual</w:t>
      </w:r>
      <w:r>
        <w:t xml:space="preserve"> </w:t>
      </w:r>
      <w:r w:rsidR="007F5050">
        <w:t>a</w:t>
      </w:r>
      <w:r>
        <w:t xml:space="preserve"> normatividade pode ser tanto de tipo orientador (em sentido mais leve) como de tipo obrigatório (em sentido mais forte). A normatividade orientadora possui caráter de recomendação, enquanto a normatividade de sentido mais forte possui caráter de obrigação. Todavia, </w:t>
      </w:r>
      <w:r w:rsidR="00C665F0">
        <w:t xml:space="preserve">é </w:t>
      </w:r>
      <w:r w:rsidR="007F5050">
        <w:t xml:space="preserve">necessário </w:t>
      </w:r>
      <w:r w:rsidR="00500333">
        <w:t>esclarecer</w:t>
      </w:r>
      <w:r w:rsidR="007F5050">
        <w:t>,</w:t>
      </w:r>
      <w:r>
        <w:t xml:space="preserve"> que no direito internacional esta distinção pode não ser tão nítida, uma vez que as fronteiras entre as práticas legais e políticas são muito mais fluidas.</w:t>
      </w:r>
    </w:p>
    <w:p w14:paraId="6617B4E9" w14:textId="055B1D6F" w:rsidR="003042B8" w:rsidRDefault="003042B8" w:rsidP="003042B8">
      <w:pPr>
        <w:ind w:firstLine="708"/>
      </w:pPr>
      <w:r>
        <w:t xml:space="preserve">Por hora, cabe uma </w:t>
      </w:r>
      <w:r w:rsidR="007F5050">
        <w:t xml:space="preserve">consideração </w:t>
      </w:r>
      <w:r>
        <w:t xml:space="preserve">derradeira quanto ao estudo da norma no direito internacional, </w:t>
      </w:r>
      <w:r w:rsidR="007F5050">
        <w:t xml:space="preserve">aspecto </w:t>
      </w:r>
      <w:r>
        <w:t>est</w:t>
      </w:r>
      <w:r w:rsidR="007F5050">
        <w:t>e</w:t>
      </w:r>
      <w:r>
        <w:t xml:space="preserve"> trazid</w:t>
      </w:r>
      <w:r w:rsidR="007F5050">
        <w:t>o</w:t>
      </w:r>
      <w:r>
        <w:t xml:space="preserve"> por </w:t>
      </w:r>
      <w:proofErr w:type="spellStart"/>
      <w:r>
        <w:t>Combacau</w:t>
      </w:r>
      <w:proofErr w:type="spellEnd"/>
      <w:r>
        <w:t xml:space="preserve"> e </w:t>
      </w:r>
      <w:proofErr w:type="spellStart"/>
      <w:r>
        <w:t>Sur</w:t>
      </w:r>
      <w:proofErr w:type="spellEnd"/>
      <w:r>
        <w:rPr>
          <w:rStyle w:val="ncoradanotaderodap"/>
          <w:sz w:val="20"/>
          <w:szCs w:val="20"/>
        </w:rPr>
        <w:footnoteReference w:id="17"/>
      </w:r>
      <w:r>
        <w:t xml:space="preserve"> de que o conceito de norma é muito mais afeto ao âmbito doutrinário uma vez que a:</w:t>
      </w:r>
    </w:p>
    <w:p w14:paraId="36843107" w14:textId="77777777" w:rsidR="003042B8" w:rsidRDefault="003042B8" w:rsidP="003042B8">
      <w:pPr>
        <w:ind w:left="2268"/>
        <w:rPr>
          <w:sz w:val="20"/>
          <w:szCs w:val="20"/>
        </w:rPr>
      </w:pPr>
    </w:p>
    <w:p w14:paraId="08599FFB" w14:textId="77777777" w:rsidR="003042B8" w:rsidRDefault="003042B8" w:rsidP="003042B8">
      <w:pPr>
        <w:spacing w:line="240" w:lineRule="auto"/>
        <w:ind w:left="2268"/>
      </w:pPr>
      <w:r>
        <w:rPr>
          <w:sz w:val="20"/>
          <w:szCs w:val="20"/>
        </w:rPr>
        <w:t>Prática internacional não raciocina em termos de normas, mas de obrigações, que podem ter uma intensidade diferenciada, sem por isso constituírem normas gerais. A expressão mesmo de “norma” não pertence ao vocabulário do direito internacional positivo, com exceção das convenções de Viena sobre o direito dos tratados ou, mais recentemente, na motivação de certas decisões de jurisdições internacionais. (</w:t>
      </w:r>
      <w:r>
        <w:rPr>
          <w:iCs/>
          <w:sz w:val="20"/>
          <w:szCs w:val="20"/>
        </w:rPr>
        <w:t>tradução nossa</w:t>
      </w:r>
      <w:r>
        <w:rPr>
          <w:sz w:val="20"/>
          <w:szCs w:val="20"/>
        </w:rPr>
        <w:t>).</w:t>
      </w:r>
    </w:p>
    <w:p w14:paraId="715B09C4" w14:textId="77777777" w:rsidR="003042B8" w:rsidRDefault="003042B8" w:rsidP="003042B8">
      <w:pPr>
        <w:rPr>
          <w:rFonts w:eastAsia="Arial"/>
        </w:rPr>
      </w:pPr>
      <w:r>
        <w:rPr>
          <w:rFonts w:eastAsia="Arial"/>
        </w:rPr>
        <w:t xml:space="preserve"> </w:t>
      </w:r>
    </w:p>
    <w:p w14:paraId="4C929D23" w14:textId="3D909915" w:rsidR="003042B8" w:rsidRDefault="003042B8" w:rsidP="003042B8">
      <w:r>
        <w:tab/>
        <w:t>Soma-se a este fato, que o art. 38 do Estatuto da C</w:t>
      </w:r>
      <w:r w:rsidR="007F5050">
        <w:t xml:space="preserve">orte </w:t>
      </w:r>
      <w:r>
        <w:t>I</w:t>
      </w:r>
      <w:r w:rsidR="007F5050">
        <w:t xml:space="preserve">nternacional de </w:t>
      </w:r>
      <w:r>
        <w:t>J</w:t>
      </w:r>
      <w:r w:rsidR="007F5050">
        <w:t>ustiça (CIJ)</w:t>
      </w:r>
      <w:r>
        <w:t xml:space="preserve"> não previu diferenças de hierarquia entre os modelos de formação do direito internacional, mas a Convenção de Viena sobre o Direito dos Tratados (CVDT), estabeleceu que as normas de </w:t>
      </w:r>
      <w:r>
        <w:rPr>
          <w:i/>
          <w:iCs/>
        </w:rPr>
        <w:t xml:space="preserve">jus </w:t>
      </w:r>
      <w:proofErr w:type="spellStart"/>
      <w:r>
        <w:rPr>
          <w:i/>
          <w:iCs/>
        </w:rPr>
        <w:t>cogens</w:t>
      </w:r>
      <w:proofErr w:type="spellEnd"/>
      <w:r>
        <w:t xml:space="preserve"> não podem ser derrogadas por tratados internacionais</w:t>
      </w:r>
      <w:r>
        <w:rPr>
          <w:rStyle w:val="ncoradanotaderodap"/>
        </w:rPr>
        <w:footnoteReference w:id="18"/>
      </w:r>
      <w:r>
        <w:t xml:space="preserve">, criando-se assim, a ideia de hierarquia entre normas no direito internacional. </w:t>
      </w:r>
    </w:p>
    <w:p w14:paraId="2FA32826" w14:textId="77777777" w:rsidR="003042B8" w:rsidRDefault="003042B8" w:rsidP="003042B8">
      <w:pPr>
        <w:ind w:firstLine="708"/>
      </w:pPr>
      <w:r>
        <w:lastRenderedPageBreak/>
        <w:t xml:space="preserve">Com o crescimento de terminologias diferenciadas para se referir às normas no âmbito internacional (normas convencionais, normas de </w:t>
      </w:r>
      <w:r>
        <w:rPr>
          <w:i/>
          <w:iCs/>
        </w:rPr>
        <w:t xml:space="preserve">jus </w:t>
      </w:r>
      <w:proofErr w:type="spellStart"/>
      <w:r>
        <w:rPr>
          <w:i/>
          <w:iCs/>
        </w:rPr>
        <w:t>cogens</w:t>
      </w:r>
      <w:proofErr w:type="spellEnd"/>
      <w:r>
        <w:t xml:space="preserve"> ou de </w:t>
      </w:r>
      <w:r>
        <w:rPr>
          <w:i/>
          <w:iCs/>
        </w:rPr>
        <w:t xml:space="preserve">soft </w:t>
      </w:r>
      <w:proofErr w:type="spellStart"/>
      <w:r>
        <w:rPr>
          <w:i/>
          <w:iCs/>
        </w:rPr>
        <w:t>law</w:t>
      </w:r>
      <w:proofErr w:type="spellEnd"/>
      <w:r>
        <w:t xml:space="preserve">), hoje a doutrina é abundante ao teorizar a respeito dos degraus de normatividade internacional ou das normatividades relativas no direito internacional. </w:t>
      </w:r>
      <w:proofErr w:type="spellStart"/>
      <w:r>
        <w:t>Combacau</w:t>
      </w:r>
      <w:proofErr w:type="spellEnd"/>
      <w:r>
        <w:t xml:space="preserve"> e </w:t>
      </w:r>
      <w:proofErr w:type="spellStart"/>
      <w:r>
        <w:t>Sur</w:t>
      </w:r>
      <w:proofErr w:type="spellEnd"/>
      <w:r>
        <w:rPr>
          <w:rStyle w:val="ncoradanotaderodap"/>
        </w:rPr>
        <w:footnoteReference w:id="19"/>
      </w:r>
      <w:r>
        <w:t xml:space="preserve"> fazem esta diferenciação numa dupla direção: a primeira em função do modo de formação, onde as normas de </w:t>
      </w:r>
      <w:r>
        <w:rPr>
          <w:i/>
          <w:iCs/>
        </w:rPr>
        <w:t xml:space="preserve">jus </w:t>
      </w:r>
      <w:proofErr w:type="spellStart"/>
      <w:r>
        <w:rPr>
          <w:i/>
          <w:iCs/>
        </w:rPr>
        <w:t>cogens</w:t>
      </w:r>
      <w:proofErr w:type="spellEnd"/>
      <w:r>
        <w:t xml:space="preserve"> possuem uma autoridade reforçada e as de </w:t>
      </w:r>
      <w:r>
        <w:rPr>
          <w:i/>
          <w:iCs/>
        </w:rPr>
        <w:t xml:space="preserve">soft </w:t>
      </w:r>
      <w:proofErr w:type="spellStart"/>
      <w:r>
        <w:rPr>
          <w:i/>
          <w:iCs/>
        </w:rPr>
        <w:t>law</w:t>
      </w:r>
      <w:proofErr w:type="spellEnd"/>
      <w:r>
        <w:t xml:space="preserve"> uma autoridade atenuada; a segunda, em função da natureza das obrigações, onde as obrigações </w:t>
      </w:r>
      <w:r>
        <w:rPr>
          <w:i/>
          <w:iCs/>
        </w:rPr>
        <w:t xml:space="preserve">erga omnes </w:t>
      </w:r>
      <w:r>
        <w:t xml:space="preserve">não seriam suscetíveis de transgressão.   </w:t>
      </w:r>
    </w:p>
    <w:p w14:paraId="21480AE1" w14:textId="77777777" w:rsidR="003042B8" w:rsidRDefault="003042B8" w:rsidP="003042B8">
      <w:r>
        <w:tab/>
        <w:t xml:space="preserve">O entendimento da normatividade no direito internacional como sendo o de uma normatividade relativa, onde as normas não possuem o mesmo nível de força, não é banal e reflete de maneira mais genuína a natureza normativa do direito internacional. </w:t>
      </w:r>
    </w:p>
    <w:p w14:paraId="63D621BE" w14:textId="77777777" w:rsidR="003042B8" w:rsidRDefault="003042B8" w:rsidP="003042B8">
      <w:r>
        <w:tab/>
        <w:t>Dando continuidade, a norma possui, outrossim, a característica de ser jurídica. Por juridicidade da norma entende-se, também, a sua legalidade em sentido amplo.</w:t>
      </w:r>
    </w:p>
    <w:p w14:paraId="28D96538" w14:textId="77777777" w:rsidR="003042B8" w:rsidRDefault="003042B8" w:rsidP="003042B8">
      <w:pPr>
        <w:ind w:firstLine="708"/>
      </w:pPr>
      <w:r>
        <w:t xml:space="preserve">Uma norma (jurídica), com caráter de juridicidade, é uma norma legal. Isto posto, examina-se, agora, o atributo da legalidade dentro de um modelo de produção tradicional do direito internacional. </w:t>
      </w:r>
    </w:p>
    <w:p w14:paraId="370CDE1A" w14:textId="77777777" w:rsidR="003042B8" w:rsidRDefault="003042B8" w:rsidP="003042B8">
      <w:pPr>
        <w:ind w:firstLine="708"/>
      </w:pPr>
      <w:r>
        <w:t xml:space="preserve">A legalidade pode informar sobre o atributo da norma em produzir determinadas consequências normativas. Se o procedimento de formação da norma foi adotado corretamente e a manifestação do consentimento em se obrigar a ela, também foi manifestado, esta norma é legal, portanto, produz efeitos jurídicos. Sob outro aspecto, se a norma é legal, ela passa a integrar um determinado sistema normativo, pois a ela pertence. </w:t>
      </w:r>
    </w:p>
    <w:p w14:paraId="03B14D3D" w14:textId="77777777" w:rsidR="003042B8" w:rsidRDefault="003042B8" w:rsidP="003042B8">
      <w:pPr>
        <w:ind w:firstLine="708"/>
      </w:pPr>
      <w:r>
        <w:t xml:space="preserve">Klink e </w:t>
      </w:r>
      <w:proofErr w:type="spellStart"/>
      <w:r>
        <w:t>Lembcke</w:t>
      </w:r>
      <w:proofErr w:type="spellEnd"/>
      <w:r>
        <w:t xml:space="preserve"> tratam do assunto afirmando que o pertencimento de uma norma a um determinado sistema legal é algo “crucial para a determinação da sua validade legal, quer seja como condição suficiente quando se trata de normas internas a um ordenamento jurídico, quer seja como condição necessária no caso de normas importadas de outro ordenamento jurídico” (tradução nossa). Os autores concluem que, “uma regra é uma regra </w:t>
      </w:r>
      <w:r>
        <w:lastRenderedPageBreak/>
        <w:t>juridicamente válida se puder ser demonstrado que ela pertence a um sistema jurídico, composto por regras que já são reconhecidas como juridicamente válidas”</w:t>
      </w:r>
      <w:r>
        <w:rPr>
          <w:rStyle w:val="ncoradanotaderodap"/>
        </w:rPr>
        <w:footnoteReference w:id="20"/>
      </w:r>
      <w:r>
        <w:t xml:space="preserve"> (tradução nossa).</w:t>
      </w:r>
    </w:p>
    <w:p w14:paraId="43ECBCB4" w14:textId="77777777" w:rsidR="003042B8" w:rsidRDefault="003042B8" w:rsidP="003042B8">
      <w:pPr>
        <w:ind w:firstLine="708"/>
      </w:pPr>
      <w:r>
        <w:t xml:space="preserve">No parecer consultivo da CIJ sobre a Legalidade da Ameaça ou do Uso de Armas Nucleares, tal concepção pode ser percebida. A Assembleia Geral das Nações Unidas (AGNU), demandava uma opinião à Corte a respeito da licitude da ameaça ou do uso de armas nucleares, ou seja, a Corte basicamente precisava opinar se este uso ou ameaça era um dispositivo ou uma categoria normativa que pertencia ao sistema previsto pela Carta das Nações Unidas. </w:t>
      </w:r>
    </w:p>
    <w:p w14:paraId="6C103149" w14:textId="77777777" w:rsidR="003042B8" w:rsidRDefault="003042B8" w:rsidP="003042B8">
      <w:pPr>
        <w:ind w:firstLine="708"/>
      </w:pPr>
      <w:r>
        <w:t>Para tratar deste pertencimento e, consequentemente, desta legalidade, a Corte</w:t>
      </w:r>
      <w:r>
        <w:rPr>
          <w:rStyle w:val="ncoradanotaderodap"/>
          <w:sz w:val="20"/>
          <w:szCs w:val="20"/>
        </w:rPr>
        <w:footnoteReference w:id="21"/>
      </w:r>
      <w:r>
        <w:t>, ao examinar as regras que regem a licitude ou ilicitude das armas nucleares:</w:t>
      </w:r>
    </w:p>
    <w:p w14:paraId="443FACF0" w14:textId="77777777" w:rsidR="003042B8" w:rsidRDefault="003042B8" w:rsidP="003042B8">
      <w:pPr>
        <w:ind w:left="2268"/>
      </w:pPr>
    </w:p>
    <w:p w14:paraId="59DA50EC" w14:textId="77777777" w:rsidR="003042B8" w:rsidRDefault="003042B8" w:rsidP="003042B8">
      <w:pPr>
        <w:spacing w:line="240" w:lineRule="auto"/>
        <w:ind w:left="2268"/>
        <w:rPr>
          <w:sz w:val="20"/>
          <w:szCs w:val="20"/>
        </w:rPr>
      </w:pPr>
      <w:r>
        <w:rPr>
          <w:sz w:val="20"/>
          <w:szCs w:val="20"/>
        </w:rPr>
        <w:t xml:space="preserve">Inicialmente tratou da questão de saber se existem regras específicas em direito internacional regulando a licitude ou ilicitude do recurso às armas nucleares; examinou, então, a questão que lhe foi colocada à luz do direito aplicável em conflitos armados, isto é, dos princípios e regras de direito humanitário aplicáveis em conflitos armados, e do direito da neutralidade [...] A Corte, então, voltou-se para o exame do direito internacional costumeiro a fim de determinar se a proibição de ameaça ou uso de armas nucleares pode ser extraída desta fonte de direito. </w:t>
      </w:r>
    </w:p>
    <w:p w14:paraId="275F507E" w14:textId="77777777" w:rsidR="003042B8" w:rsidRDefault="003042B8" w:rsidP="003042B8">
      <w:pPr>
        <w:ind w:firstLine="708"/>
      </w:pPr>
    </w:p>
    <w:p w14:paraId="0E9FB4B0" w14:textId="77777777" w:rsidR="003042B8" w:rsidRDefault="003042B8" w:rsidP="003042B8">
      <w:pPr>
        <w:ind w:firstLine="708"/>
      </w:pPr>
      <w:r>
        <w:t xml:space="preserve">O tema é instigante, porquanto, visa identificar a legalidade de uma regra à luz do seu pertencimento a um determinado sistema. </w:t>
      </w:r>
    </w:p>
    <w:p w14:paraId="1FE37F48" w14:textId="1767D7B4" w:rsidR="003042B8" w:rsidRDefault="003042B8" w:rsidP="003042B8">
      <w:pPr>
        <w:ind w:firstLine="708"/>
      </w:pPr>
      <w:r>
        <w:t xml:space="preserve">Uma outra relação estudada é a da legalidade, normatividade e moralidade que teve significativa contribuição do campo da filosofia moral. Besson e </w:t>
      </w:r>
      <w:proofErr w:type="spellStart"/>
      <w:r>
        <w:t>Tasioulas</w:t>
      </w:r>
      <w:proofErr w:type="spellEnd"/>
      <w:r>
        <w:rPr>
          <w:rStyle w:val="ncoradanotaderodap"/>
        </w:rPr>
        <w:footnoteReference w:id="22"/>
      </w:r>
      <w:r>
        <w:t xml:space="preserve">, neste sentido, ilustram como a filosofia moral impactou o direito internacional desde o modo de pensá-lo normativamente até a forma de </w:t>
      </w:r>
      <w:r>
        <w:lastRenderedPageBreak/>
        <w:t>se estabelecer a legitimidade e a autoridade do direito internacional em caráter não estritamente legal.</w:t>
      </w:r>
    </w:p>
    <w:p w14:paraId="7596C199" w14:textId="77777777" w:rsidR="003042B8" w:rsidRDefault="003042B8" w:rsidP="003042B8">
      <w:pPr>
        <w:ind w:firstLine="708"/>
      </w:pPr>
      <w:r>
        <w:t xml:space="preserve">Kant ao tratar da relação entre moralidade, legalidade e normatividade afirma que estes são conceitos relacionados em grande parte aos debates a respeito da legalidade e, no direito internacional estão ligados ao grau de normatividade deste direito. </w:t>
      </w:r>
    </w:p>
    <w:p w14:paraId="338DFF9F" w14:textId="77777777" w:rsidR="003042B8" w:rsidRDefault="003042B8" w:rsidP="003042B8">
      <w:pPr>
        <w:ind w:firstLine="708"/>
      </w:pPr>
      <w:r>
        <w:t xml:space="preserve">Para Kant a legalidade deriva de uma vontade geral, esta entendida: </w:t>
      </w:r>
    </w:p>
    <w:p w14:paraId="6994461C" w14:textId="77777777" w:rsidR="003042B8" w:rsidRDefault="003042B8" w:rsidP="003042B8">
      <w:pPr>
        <w:ind w:firstLine="708"/>
      </w:pPr>
    </w:p>
    <w:p w14:paraId="785287B8" w14:textId="77777777" w:rsidR="003042B8" w:rsidRDefault="003042B8" w:rsidP="003042B8">
      <w:pPr>
        <w:spacing w:line="240" w:lineRule="auto"/>
        <w:ind w:left="2268"/>
      </w:pPr>
      <w:r>
        <w:rPr>
          <w:sz w:val="20"/>
          <w:szCs w:val="20"/>
        </w:rPr>
        <w:t xml:space="preserve">Não como a soma das vontades individuais, mas como uma unidade ideal que conecta todas as vontades individuais – é </w:t>
      </w:r>
      <w:proofErr w:type="gramStart"/>
      <w:r>
        <w:rPr>
          <w:sz w:val="20"/>
          <w:szCs w:val="20"/>
        </w:rPr>
        <w:t>a</w:t>
      </w:r>
      <w:proofErr w:type="gramEnd"/>
      <w:r>
        <w:rPr>
          <w:sz w:val="20"/>
          <w:szCs w:val="20"/>
        </w:rPr>
        <w:t xml:space="preserve"> vontade </w:t>
      </w:r>
      <w:proofErr w:type="spellStart"/>
      <w:r>
        <w:rPr>
          <w:sz w:val="20"/>
          <w:szCs w:val="20"/>
        </w:rPr>
        <w:t>omnilateral</w:t>
      </w:r>
      <w:proofErr w:type="spellEnd"/>
      <w:r>
        <w:rPr>
          <w:sz w:val="20"/>
          <w:szCs w:val="20"/>
        </w:rPr>
        <w:t>. Esta definição permite Kant definir o contrato original de soberania sem se referir a uma soberania específica. A autoridade do Estado como um legislador de leis, afirma Kant, não é outra coisa que não a vontade unificada geral das pessoas em si</w:t>
      </w:r>
      <w:r>
        <w:rPr>
          <w:rStyle w:val="ncoradanotaderodap"/>
          <w:sz w:val="20"/>
          <w:szCs w:val="20"/>
        </w:rPr>
        <w:footnoteReference w:id="23"/>
      </w:r>
      <w:r>
        <w:rPr>
          <w:sz w:val="20"/>
          <w:szCs w:val="20"/>
        </w:rPr>
        <w:t>. (tradução nossa).</w:t>
      </w:r>
    </w:p>
    <w:p w14:paraId="112D9F19" w14:textId="77777777" w:rsidR="003042B8" w:rsidRDefault="003042B8" w:rsidP="003042B8">
      <w:pPr>
        <w:ind w:left="2268"/>
      </w:pPr>
    </w:p>
    <w:p w14:paraId="1E3D424C" w14:textId="05CADCA0" w:rsidR="003042B8" w:rsidRDefault="003042B8" w:rsidP="003042B8">
      <w:pPr>
        <w:ind w:firstLine="708"/>
      </w:pPr>
      <w:r>
        <w:t xml:space="preserve">A legalidade na visão Kantiana significa tudo o que não vá contra a lei, portanto, a legalidade refere-se ao direito positivo. </w:t>
      </w:r>
    </w:p>
    <w:p w14:paraId="2F252AA3" w14:textId="5E6CF3E4" w:rsidR="003042B8" w:rsidRDefault="003042B8" w:rsidP="003042B8">
      <w:pPr>
        <w:ind w:firstLine="708"/>
      </w:pPr>
      <w:r>
        <w:t>O Dicionário de Inglês da Oxford entende como relacionadas as categorias: legitimidade e legalidade, pois define a legitimidade como: “a condição de estar de acordo com a lei ou princípio, conformidade com regra ou princípio; legalidade”</w:t>
      </w:r>
      <w:r>
        <w:rPr>
          <w:rStyle w:val="ncoradanotaderodap"/>
        </w:rPr>
        <w:footnoteReference w:id="24"/>
      </w:r>
      <w:r>
        <w:t xml:space="preserve">. </w:t>
      </w:r>
      <w:r w:rsidRPr="005A07DB">
        <w:t>(</w:t>
      </w:r>
      <w:r w:rsidRPr="005A07DB">
        <w:rPr>
          <w:iCs/>
        </w:rPr>
        <w:t>tradução nossa</w:t>
      </w:r>
      <w:r w:rsidRPr="005A07DB">
        <w:t>).</w:t>
      </w:r>
    </w:p>
    <w:p w14:paraId="3FE17E90" w14:textId="77777777" w:rsidR="003042B8" w:rsidRDefault="003042B8" w:rsidP="003042B8">
      <w:pPr>
        <w:ind w:firstLine="708"/>
      </w:pPr>
      <w:proofErr w:type="spellStart"/>
      <w:r>
        <w:t>Jubilut</w:t>
      </w:r>
      <w:proofErr w:type="spellEnd"/>
      <w:r>
        <w:t xml:space="preserve"> elucida que o positivismo jurídico minimiza o tema da legitimidade ao identificá-lo com o tema da legalidade, onde “o que é legal é legítimo”</w:t>
      </w:r>
      <w:r>
        <w:rPr>
          <w:rStyle w:val="ncoradanotaderodap"/>
        </w:rPr>
        <w:footnoteReference w:id="25"/>
      </w:r>
      <w:r>
        <w:t>. Neste sentido, também, Eros Grau diz que: “o positivismo não tem como tratar da questão da legitimidade do direito. Por isso que, no seu quadro, a legalidade ocupa o lugar da legitimidade”</w:t>
      </w:r>
      <w:r>
        <w:rPr>
          <w:rStyle w:val="ncoradanotaderodap"/>
        </w:rPr>
        <w:footnoteReference w:id="26"/>
      </w:r>
      <w:r>
        <w:t>.</w:t>
      </w:r>
    </w:p>
    <w:p w14:paraId="48C141DD" w14:textId="77777777" w:rsidR="003042B8" w:rsidRDefault="003042B8" w:rsidP="003042B8">
      <w:pPr>
        <w:ind w:firstLine="708"/>
      </w:pPr>
      <w:r>
        <w:t xml:space="preserve">Neste sentido, também, em Weber a legalidade é uma forma de legitimidade “sobre a qual se acrescenta a coerção”. E, em Kelsen, o Estado de </w:t>
      </w:r>
      <w:r>
        <w:lastRenderedPageBreak/>
        <w:t>Direito se reduz à legalidade porquanto esta é “a condição suficiente do Estado de direito”, porque “todo Estado para ele, já é Estado legal”</w:t>
      </w:r>
      <w:r>
        <w:rPr>
          <w:rStyle w:val="ncoradanotaderodap"/>
        </w:rPr>
        <w:footnoteReference w:id="27"/>
      </w:r>
      <w:r>
        <w:t>.</w:t>
      </w:r>
    </w:p>
    <w:p w14:paraId="3908962D" w14:textId="66382648" w:rsidR="003042B8" w:rsidRDefault="003042B8" w:rsidP="003042B8">
      <w:pPr>
        <w:ind w:firstLine="708"/>
      </w:pPr>
      <w:r>
        <w:t xml:space="preserve">Por esta razão, afastar o atributo da legalidade da figura do Estado será uma tarefa reputada como impossível para alguns, mas que os instrumentos de </w:t>
      </w:r>
      <w:r>
        <w:rPr>
          <w:i/>
          <w:iCs/>
        </w:rPr>
        <w:t xml:space="preserve">soft </w:t>
      </w:r>
      <w:proofErr w:type="spellStart"/>
      <w:r>
        <w:rPr>
          <w:i/>
          <w:iCs/>
        </w:rPr>
        <w:t>law</w:t>
      </w:r>
      <w:proofErr w:type="spellEnd"/>
      <w:r>
        <w:t xml:space="preserve"> irão desafiar, em especial a partir da descentralização da produção normativa do direito internacional do Estado para </w:t>
      </w:r>
      <w:r w:rsidR="00DA07D5">
        <w:t xml:space="preserve">as </w:t>
      </w:r>
      <w:r>
        <w:t>Organizações Internacionais ou</w:t>
      </w:r>
      <w:r w:rsidR="00DA07D5">
        <w:t xml:space="preserve"> para os</w:t>
      </w:r>
      <w:r>
        <w:t xml:space="preserve"> outros sujeitos de direito público ou privado internacional. </w:t>
      </w:r>
    </w:p>
    <w:p w14:paraId="1975FC7D" w14:textId="77777777" w:rsidR="003042B8" w:rsidRDefault="003042B8" w:rsidP="003042B8">
      <w:pPr>
        <w:rPr>
          <w:b/>
          <w:bCs/>
        </w:rPr>
      </w:pPr>
    </w:p>
    <w:p w14:paraId="5E640D77" w14:textId="16824EA4" w:rsidR="003042B8" w:rsidRPr="00835389" w:rsidRDefault="003042B8" w:rsidP="003042B8">
      <w:pPr>
        <w:pStyle w:val="Ttulo3"/>
        <w:numPr>
          <w:ilvl w:val="2"/>
          <w:numId w:val="2"/>
        </w:numPr>
        <w:rPr>
          <w:b/>
          <w:bCs/>
          <w:i w:val="0"/>
          <w:iCs/>
        </w:rPr>
      </w:pPr>
      <w:bookmarkStart w:id="4" w:name="__RefHeading___Toc122561929"/>
      <w:bookmarkStart w:id="5" w:name="_Toc122633230"/>
      <w:bookmarkEnd w:id="4"/>
      <w:r w:rsidRPr="00835389">
        <w:rPr>
          <w:b/>
          <w:bCs/>
          <w:i w:val="0"/>
          <w:iCs/>
        </w:rPr>
        <w:t>2.</w:t>
      </w:r>
      <w:r w:rsidR="00835389" w:rsidRPr="00835389">
        <w:rPr>
          <w:b/>
          <w:bCs/>
          <w:i w:val="0"/>
          <w:iCs/>
        </w:rPr>
        <w:t>2</w:t>
      </w:r>
      <w:r w:rsidR="00D45870">
        <w:rPr>
          <w:b/>
          <w:bCs/>
          <w:i w:val="0"/>
          <w:iCs/>
        </w:rPr>
        <w:t xml:space="preserve"> </w:t>
      </w:r>
      <w:r w:rsidRPr="00835389">
        <w:rPr>
          <w:b/>
          <w:bCs/>
          <w:i w:val="0"/>
          <w:iCs/>
        </w:rPr>
        <w:t>A norma jurídica legal e válida</w:t>
      </w:r>
      <w:bookmarkEnd w:id="5"/>
    </w:p>
    <w:p w14:paraId="3F658810" w14:textId="77777777" w:rsidR="003042B8" w:rsidRDefault="003042B8" w:rsidP="003042B8">
      <w:pPr>
        <w:rPr>
          <w:b/>
          <w:bCs/>
        </w:rPr>
      </w:pPr>
    </w:p>
    <w:p w14:paraId="3521B4FD" w14:textId="77777777" w:rsidR="003042B8" w:rsidRDefault="003042B8" w:rsidP="003042B8">
      <w:pPr>
        <w:ind w:firstLine="708"/>
      </w:pPr>
      <w:r>
        <w:t xml:space="preserve">O conceito de validade se apoiou ao longo da história em argumentos diferentes de acordo com a episteme de mundo que se concebia. </w:t>
      </w:r>
      <w:proofErr w:type="spellStart"/>
      <w:r>
        <w:t>Brierly</w:t>
      </w:r>
      <w:proofErr w:type="spellEnd"/>
      <w:r>
        <w:rPr>
          <w:rStyle w:val="ncoradanotaderodap"/>
          <w:sz w:val="20"/>
          <w:szCs w:val="20"/>
        </w:rPr>
        <w:footnoteReference w:id="28"/>
      </w:r>
      <w:r>
        <w:t xml:space="preserve"> vai trazer que “um escritor medieval teria dito que a validade do direito positivo tem de ser aferida pela sua conformidade com uma outra lei mais vinculativa – a lei natural”.</w:t>
      </w:r>
      <w:r>
        <w:rPr>
          <w:sz w:val="20"/>
          <w:szCs w:val="20"/>
        </w:rPr>
        <w:t xml:space="preserve"> </w:t>
      </w:r>
    </w:p>
    <w:p w14:paraId="69292C51" w14:textId="77777777" w:rsidR="003042B8" w:rsidRDefault="003042B8" w:rsidP="003042B8">
      <w:pPr>
        <w:ind w:firstLine="708"/>
      </w:pPr>
      <w:r>
        <w:t>No vocabulário jurídico, a validade como um conceito fundamental do Direito só aparece no século XIX</w:t>
      </w:r>
      <w:r>
        <w:rPr>
          <w:rStyle w:val="ncoradanotaderodap"/>
        </w:rPr>
        <w:footnoteReference w:id="29"/>
      </w:r>
      <w:r>
        <w:t xml:space="preserve">, século este, onde, também, se dará a formulação da doutrina do positivismo jurídico elaborada, dentre outros, por Auguste Comte. A verificação da validade da norma se torna um ponto central da teoria positivista.  </w:t>
      </w:r>
    </w:p>
    <w:p w14:paraId="6B961A88" w14:textId="77777777" w:rsidR="003042B8" w:rsidRDefault="003042B8" w:rsidP="003042B8">
      <w:pPr>
        <w:ind w:firstLine="708"/>
      </w:pPr>
      <w:r>
        <w:t>Capra ao tratar do tema do positivismo se refere a ele como “a camisa de força positivista”, entendendo que: “o contexto positivista é modelado pela física newtoniana. Na verdade, foi Auguste Comte que deu ao estudo científico da sociedade o nome de “física social” antes de introduzir a palavra “sociologia”</w:t>
      </w:r>
      <w:r>
        <w:rPr>
          <w:rStyle w:val="ncoradanotaderodap"/>
        </w:rPr>
        <w:footnoteReference w:id="30"/>
      </w:r>
      <w:r>
        <w:t>.</w:t>
      </w:r>
    </w:p>
    <w:p w14:paraId="7884BDF3" w14:textId="77777777" w:rsidR="003042B8" w:rsidRDefault="003042B8" w:rsidP="003042B8">
      <w:pPr>
        <w:ind w:firstLine="360"/>
      </w:pPr>
      <w:proofErr w:type="spellStart"/>
      <w:r>
        <w:t>Waltermann</w:t>
      </w:r>
      <w:proofErr w:type="spellEnd"/>
      <w:r>
        <w:t xml:space="preserve"> comenta como:</w:t>
      </w:r>
    </w:p>
    <w:p w14:paraId="17781EDF" w14:textId="77777777" w:rsidR="003042B8" w:rsidRDefault="003042B8" w:rsidP="003042B8">
      <w:pPr>
        <w:ind w:firstLine="360"/>
      </w:pPr>
    </w:p>
    <w:p w14:paraId="764513C5" w14:textId="77777777" w:rsidR="003042B8" w:rsidRDefault="003042B8" w:rsidP="003042B8">
      <w:pPr>
        <w:spacing w:line="240" w:lineRule="auto"/>
        <w:ind w:left="2268"/>
      </w:pPr>
      <w:proofErr w:type="spellStart"/>
      <w:r>
        <w:rPr>
          <w:sz w:val="20"/>
          <w:szCs w:val="20"/>
        </w:rPr>
        <w:t>Munzer</w:t>
      </w:r>
      <w:proofErr w:type="spellEnd"/>
      <w:r>
        <w:rPr>
          <w:sz w:val="20"/>
          <w:szCs w:val="20"/>
        </w:rPr>
        <w:t xml:space="preserve"> (1972), por exemplo, identifica que, para Ross, “validade” tem o significado – </w:t>
      </w:r>
      <w:proofErr w:type="spellStart"/>
      <w:r>
        <w:rPr>
          <w:i/>
          <w:iCs/>
          <w:sz w:val="20"/>
          <w:szCs w:val="20"/>
        </w:rPr>
        <w:t>inter</w:t>
      </w:r>
      <w:proofErr w:type="spellEnd"/>
      <w:r>
        <w:rPr>
          <w:i/>
          <w:iCs/>
          <w:sz w:val="20"/>
          <w:szCs w:val="20"/>
        </w:rPr>
        <w:t xml:space="preserve"> alia</w:t>
      </w:r>
      <w:r>
        <w:rPr>
          <w:sz w:val="20"/>
          <w:szCs w:val="20"/>
        </w:rPr>
        <w:t xml:space="preserve"> – de uma norma que é “sentida como </w:t>
      </w:r>
      <w:r>
        <w:rPr>
          <w:sz w:val="20"/>
          <w:szCs w:val="20"/>
        </w:rPr>
        <w:lastRenderedPageBreak/>
        <w:t>socialmente vinculante”, para Kelsen implica em um “dever”, ou para Hart como elemento que “satisfaz todos os critérios fornecidos pela regra de reconhecimento</w:t>
      </w:r>
      <w:r>
        <w:rPr>
          <w:rStyle w:val="ncoradanotaderodap"/>
          <w:sz w:val="20"/>
          <w:szCs w:val="20"/>
        </w:rPr>
        <w:footnoteReference w:id="31"/>
      </w:r>
      <w:r>
        <w:rPr>
          <w:sz w:val="20"/>
          <w:szCs w:val="20"/>
        </w:rPr>
        <w:t>. (</w:t>
      </w:r>
      <w:r>
        <w:rPr>
          <w:iCs/>
          <w:sz w:val="20"/>
          <w:szCs w:val="20"/>
        </w:rPr>
        <w:t>tradução nossa</w:t>
      </w:r>
      <w:r>
        <w:rPr>
          <w:sz w:val="20"/>
          <w:szCs w:val="20"/>
        </w:rPr>
        <w:t>).</w:t>
      </w:r>
    </w:p>
    <w:p w14:paraId="531466B3" w14:textId="77777777" w:rsidR="003042B8" w:rsidRDefault="003042B8" w:rsidP="003042B8"/>
    <w:p w14:paraId="50B4BDDD" w14:textId="77777777" w:rsidR="003042B8" w:rsidRDefault="003042B8" w:rsidP="003042B8">
      <w:pPr>
        <w:ind w:firstLine="708"/>
      </w:pPr>
      <w:r>
        <w:t xml:space="preserve">A validade, bem como os demais atributos da norma até agora vistos, assume no direito internacional uma conotação especial em relação ao direito interno, isto porque o direito interno é caracterizado por um mecanismo centralizado de produção normativa o que facilita o controle da legalidade e da validade das normas no sistema jurídico. </w:t>
      </w:r>
    </w:p>
    <w:p w14:paraId="40E4A326" w14:textId="77777777" w:rsidR="003042B8" w:rsidRDefault="003042B8" w:rsidP="003042B8">
      <w:pPr>
        <w:ind w:firstLine="708"/>
      </w:pPr>
      <w:r>
        <w:t>Na seara internacional, a partir do reconhecimento dos Estados modernos, o conceito de validade refletirá os aspectos da soberania, vez que, o que é válido, nas palavras de Boaventura Santos, em Quadros, “é determinado por aquilo que conta como legal ou ilegal de acordo com o direito oficial do Estado ou com o direito internacional”</w:t>
      </w:r>
      <w:r>
        <w:rPr>
          <w:rStyle w:val="ncoradanotaderodap"/>
        </w:rPr>
        <w:footnoteReference w:id="32"/>
      </w:r>
      <w:r>
        <w:t xml:space="preserve">. </w:t>
      </w:r>
    </w:p>
    <w:p w14:paraId="1E53B6CF" w14:textId="77777777" w:rsidR="003042B8" w:rsidRDefault="003042B8" w:rsidP="003042B8">
      <w:pPr>
        <w:ind w:firstLine="708"/>
      </w:pPr>
      <w:r>
        <w:t xml:space="preserve">Kelsen entendia que a validade de uma norma repousa na sua fonte e a validade de uma fonte repousa imediatamente em outra fonte. Desta forma, é a fonte quem dá o tônus de validade de uma norma dentro de um sistema normativo fechado. </w:t>
      </w:r>
    </w:p>
    <w:p w14:paraId="0C98DA0D" w14:textId="77777777" w:rsidR="003042B8" w:rsidRDefault="003042B8" w:rsidP="003042B8">
      <w:pPr>
        <w:ind w:firstLine="708"/>
      </w:pPr>
      <w:proofErr w:type="spellStart"/>
      <w:r>
        <w:t>Bódig</w:t>
      </w:r>
      <w:proofErr w:type="spellEnd"/>
      <w:r>
        <w:rPr>
          <w:rStyle w:val="ncoradanotaderodap"/>
          <w:sz w:val="20"/>
          <w:szCs w:val="20"/>
        </w:rPr>
        <w:footnoteReference w:id="33"/>
      </w:r>
      <w:r>
        <w:t>, afirma que:</w:t>
      </w:r>
    </w:p>
    <w:p w14:paraId="5EF1D6B3" w14:textId="77777777" w:rsidR="003042B8" w:rsidRDefault="003042B8" w:rsidP="003042B8">
      <w:pPr>
        <w:ind w:firstLine="708"/>
      </w:pPr>
    </w:p>
    <w:p w14:paraId="7EC670C8" w14:textId="77777777" w:rsidR="003042B8" w:rsidRDefault="003042B8" w:rsidP="003042B8">
      <w:pPr>
        <w:spacing w:line="240" w:lineRule="auto"/>
        <w:ind w:left="2268"/>
      </w:pPr>
      <w:r>
        <w:rPr>
          <w:sz w:val="20"/>
          <w:szCs w:val="20"/>
        </w:rPr>
        <w:t>O imaginário contemporâneo da validade formal (especialmente do estado de direito moderno) resulta de uma convergência do conceito de (formalmente apurado) direito e conceitos políticos (e ideais) como “soberania, “legitimidade”, e a “</w:t>
      </w:r>
      <w:proofErr w:type="spellStart"/>
      <w:r>
        <w:rPr>
          <w:sz w:val="20"/>
          <w:szCs w:val="20"/>
        </w:rPr>
        <w:t>rule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law</w:t>
      </w:r>
      <w:proofErr w:type="spellEnd"/>
      <w:r>
        <w:rPr>
          <w:sz w:val="20"/>
          <w:szCs w:val="20"/>
        </w:rPr>
        <w:t>”. Este desenvolvimento conceitual teve um amplo impacto não apenas nos Estados, mas nos parâmetros institucionais das ordens legais (e do direito internacional em particular). (</w:t>
      </w:r>
      <w:r>
        <w:rPr>
          <w:iCs/>
          <w:sz w:val="20"/>
          <w:szCs w:val="20"/>
        </w:rPr>
        <w:t>tradução nossa</w:t>
      </w:r>
      <w:r>
        <w:rPr>
          <w:sz w:val="20"/>
          <w:szCs w:val="20"/>
        </w:rPr>
        <w:t>).</w:t>
      </w:r>
    </w:p>
    <w:p w14:paraId="1DE1AE1B" w14:textId="77777777" w:rsidR="003042B8" w:rsidRDefault="003042B8" w:rsidP="003042B8">
      <w:pPr>
        <w:rPr>
          <w:highlight w:val="yellow"/>
        </w:rPr>
      </w:pPr>
    </w:p>
    <w:p w14:paraId="75E1089D" w14:textId="77777777" w:rsidR="003042B8" w:rsidRDefault="003042B8" w:rsidP="003042B8">
      <w:pPr>
        <w:ind w:firstLine="708"/>
      </w:pPr>
      <w:r>
        <w:lastRenderedPageBreak/>
        <w:t xml:space="preserve">Ao que parece os conceitos de fonte, soberania, validade, legitimidade, são todos efeitos (formais) uns dos outros. Carpentier segundo </w:t>
      </w:r>
      <w:proofErr w:type="spellStart"/>
      <w:r>
        <w:t>Waltermann</w:t>
      </w:r>
      <w:proofErr w:type="spellEnd"/>
      <w:r>
        <w:t>, vai tratar da validade sob um duplo prisma: o da validade como conformidade e o da validade como pertencimento</w:t>
      </w:r>
      <w:r>
        <w:rPr>
          <w:rStyle w:val="ncoradanotaderodap"/>
        </w:rPr>
        <w:footnoteReference w:id="34"/>
      </w:r>
      <w:r>
        <w:t xml:space="preserve">. </w:t>
      </w:r>
    </w:p>
    <w:p w14:paraId="551461D3" w14:textId="77777777" w:rsidR="003042B8" w:rsidRDefault="003042B8" w:rsidP="003042B8">
      <w:pPr>
        <w:ind w:firstLine="708"/>
      </w:pPr>
      <w:r>
        <w:t>Carpentier</w:t>
      </w:r>
      <w:r>
        <w:rPr>
          <w:rStyle w:val="ncoradanotaderodap"/>
          <w:i/>
          <w:iCs/>
        </w:rPr>
        <w:footnoteReference w:id="35"/>
      </w:r>
      <w:r>
        <w:t xml:space="preserve">, no primeiro sentido, conecta a validade à satisfação de requisitos formais (conformidade), visto que: </w:t>
      </w:r>
    </w:p>
    <w:p w14:paraId="09F9BFFC" w14:textId="77777777" w:rsidR="003042B8" w:rsidRDefault="003042B8" w:rsidP="003042B8">
      <w:pPr>
        <w:ind w:firstLine="708"/>
      </w:pPr>
    </w:p>
    <w:p w14:paraId="4D46E257" w14:textId="77777777" w:rsidR="003042B8" w:rsidRDefault="003042B8" w:rsidP="003042B8">
      <w:pPr>
        <w:spacing w:line="240" w:lineRule="auto"/>
        <w:ind w:left="2268"/>
      </w:pPr>
      <w:r>
        <w:rPr>
          <w:sz w:val="20"/>
          <w:szCs w:val="20"/>
        </w:rPr>
        <w:t xml:space="preserve">Usamos geralmente a palavra “válido” ou “inválido” como uma maneira pretensiosa de dizer “bom” ou “não bom” ou, se quiser “legal” ou “ilegal”. Quando dizemos que uma multa, um contrato ou um estatuto é inválido, queremos dizer que eles não “são bons” aos olhos do direito. Observe que “válido” aqui é predicado tanto de coisas materiais quanto de normas. Para que algo seja “bom” aos olhos da lei, ou seja, para que algo seja lícito, ele deve estar de acordo com algumas normas legais. [...] deixe-me chamar isso de validade como conformidade. </w:t>
      </w:r>
      <w:r>
        <w:rPr>
          <w:iCs/>
          <w:sz w:val="20"/>
          <w:szCs w:val="20"/>
        </w:rPr>
        <w:t>(tradução nossa).</w:t>
      </w:r>
    </w:p>
    <w:p w14:paraId="3365FB7F" w14:textId="77777777" w:rsidR="003042B8" w:rsidRDefault="003042B8" w:rsidP="003042B8">
      <w:pPr>
        <w:ind w:firstLine="708"/>
        <w:rPr>
          <w:i/>
          <w:iCs/>
        </w:rPr>
      </w:pPr>
    </w:p>
    <w:p w14:paraId="6A6E1372" w14:textId="2924F594" w:rsidR="003042B8" w:rsidRDefault="003042B8" w:rsidP="003042B8">
      <w:pPr>
        <w:ind w:firstLine="708"/>
      </w:pPr>
      <w:r>
        <w:t>No segundo sentido, o autor atrela o conceito de validade ao conceito de fonte, deste modo, a fonte se comporta como um requisito do critério de pertencimento a um determinado sistema legal. Assim, é possível rastrear a validade de uma norma à fonte à qual ela se conecta, uma vez que a fonte seria este critério de “filiação” (</w:t>
      </w:r>
      <w:proofErr w:type="spellStart"/>
      <w:r>
        <w:rPr>
          <w:i/>
          <w:iCs/>
        </w:rPr>
        <w:t>membership</w:t>
      </w:r>
      <w:proofErr w:type="spellEnd"/>
      <w:r>
        <w:t xml:space="preserve">). </w:t>
      </w:r>
    </w:p>
    <w:p w14:paraId="1BECF43A" w14:textId="3F5315DD" w:rsidR="003042B8" w:rsidRDefault="00AF0008" w:rsidP="003042B8">
      <w:pPr>
        <w:ind w:firstLine="708"/>
      </w:pPr>
      <w:r>
        <w:t>Em outras palavras, seria o</w:t>
      </w:r>
      <w:r w:rsidR="003042B8">
        <w:t xml:space="preserve"> “teste de pedigree” positivista que entende “que a fonte determina a validade legal”</w:t>
      </w:r>
      <w:r w:rsidR="003042B8">
        <w:rPr>
          <w:rStyle w:val="ncoradanotaderodap"/>
        </w:rPr>
        <w:footnoteReference w:id="36"/>
      </w:r>
      <w:r w:rsidR="003042B8">
        <w:t xml:space="preserve">(tradução nossa) de uma norma. </w:t>
      </w:r>
    </w:p>
    <w:p w14:paraId="6C62198D" w14:textId="77777777" w:rsidR="003042B8" w:rsidRDefault="003042B8" w:rsidP="003042B8">
      <w:pPr>
        <w:ind w:firstLine="708"/>
      </w:pPr>
      <w:r>
        <w:t>Soberania e validade como conceitos que se solicitam, permitem compreender o pertencimento de uma norma ao sistema legal a partir da atestação da emanação de tal norma por parte do soberano.</w:t>
      </w:r>
    </w:p>
    <w:p w14:paraId="0A7B372E" w14:textId="09EDE7DD" w:rsidR="003042B8" w:rsidRDefault="003042B8" w:rsidP="003042B8">
      <w:pPr>
        <w:ind w:firstLine="708"/>
      </w:pPr>
      <w:r>
        <w:t xml:space="preserve">Assim, de um lado, pode-se observar, que na visão positivista, a tese do pertencimento de uma norma a uma determinada fonte, como critério de validade, prospera. Contudo, de outro lado, identificar a validade de uma norma apenas pelo fato desta pertencer a uma determinada fonte, exclui, mais uma vez, </w:t>
      </w:r>
      <w:r>
        <w:lastRenderedPageBreak/>
        <w:t xml:space="preserve">a </w:t>
      </w:r>
      <w:r>
        <w:rPr>
          <w:i/>
          <w:iCs/>
        </w:rPr>
        <w:t xml:space="preserve">soft </w:t>
      </w:r>
      <w:proofErr w:type="spellStart"/>
      <w:r>
        <w:rPr>
          <w:i/>
          <w:iCs/>
        </w:rPr>
        <w:t>law</w:t>
      </w:r>
      <w:proofErr w:type="spellEnd"/>
      <w:r>
        <w:t xml:space="preserve"> do campo de análise normativa do direito internacional pela impossibilidade, </w:t>
      </w:r>
      <w:r>
        <w:rPr>
          <w:i/>
          <w:iCs/>
        </w:rPr>
        <w:t>prima facie</w:t>
      </w:r>
      <w:r>
        <w:t>, de conectar seus instrumentos e, portanto, normas, às tradicionais fontes previstas pelo art. 38 do estatuto da CIJ.</w:t>
      </w:r>
    </w:p>
    <w:p w14:paraId="43865294" w14:textId="4DC50229" w:rsidR="003042B8" w:rsidRDefault="003042B8" w:rsidP="003042B8">
      <w:pPr>
        <w:ind w:firstLine="708"/>
      </w:pPr>
      <w:r>
        <w:t>Alguns autores</w:t>
      </w:r>
      <w:r>
        <w:rPr>
          <w:rStyle w:val="ncoradanotaderodap"/>
        </w:rPr>
        <w:footnoteReference w:id="37"/>
      </w:r>
      <w:r>
        <w:t xml:space="preserve">, associam a </w:t>
      </w:r>
      <w:r>
        <w:rPr>
          <w:i/>
          <w:iCs/>
        </w:rPr>
        <w:t xml:space="preserve">soft </w:t>
      </w:r>
      <w:proofErr w:type="spellStart"/>
      <w:r>
        <w:rPr>
          <w:i/>
          <w:iCs/>
        </w:rPr>
        <w:t>law</w:t>
      </w:r>
      <w:proofErr w:type="spellEnd"/>
      <w:r>
        <w:t xml:space="preserve"> a normas não válidas pelo fato delas não terem sido feitas por um órgão competente</w:t>
      </w:r>
      <w:r w:rsidR="00E02E9E">
        <w:t xml:space="preserve">, isto é, um poder </w:t>
      </w:r>
      <w:r>
        <w:t xml:space="preserve">soberano, legitimado a emanar normas e pelo fato delas não seguirem um determinado rito que, ao fim, as torne válidas. </w:t>
      </w:r>
    </w:p>
    <w:p w14:paraId="131AD85A" w14:textId="77777777" w:rsidR="003042B8" w:rsidRDefault="003042B8" w:rsidP="003042B8">
      <w:pPr>
        <w:ind w:firstLine="708"/>
      </w:pPr>
      <w:r>
        <w:t xml:space="preserve">Mais adiante se buscará justificar o porquê de tal afirmação só ter sentido se visto sob a ótica positivista, pois se analisada sob outro critério, tal entendimento não pode prosperar. </w:t>
      </w:r>
    </w:p>
    <w:p w14:paraId="07EAAD58" w14:textId="77777777" w:rsidR="003042B8" w:rsidRDefault="003042B8" w:rsidP="003042B8">
      <w:pPr>
        <w:ind w:firstLine="708"/>
      </w:pPr>
      <w:r>
        <w:t xml:space="preserve">Por hora, cita-se, como exemplo, o fato de a AGNU ter a competência para emitir recomendações. Esta competência encontra-se prevista na Carta das Nações Unidas e, embora, esta modalidade normativa não se encaixe no índice de fontes previsto pelo art. 38 do estatuto da CIJ, as recomendações possuem um rito próprio de emanação e devem ser editadas pelo órgão competente para tal. Neste sentido, as recomendações não são </w:t>
      </w:r>
      <w:r>
        <w:rPr>
          <w:i/>
          <w:iCs/>
        </w:rPr>
        <w:t>válidas</w:t>
      </w:r>
      <w:r>
        <w:t xml:space="preserve">? A negativa parece priva de sentido lógico. </w:t>
      </w:r>
    </w:p>
    <w:p w14:paraId="5108C8BB" w14:textId="77777777" w:rsidR="003042B8" w:rsidRDefault="003042B8" w:rsidP="003042B8">
      <w:pPr>
        <w:ind w:firstLine="708"/>
      </w:pPr>
      <w:r>
        <w:t xml:space="preserve">Outros autores, relacionam a teoria da validade da norma à teoria dos atos jurídicos. Neste sentido, </w:t>
      </w:r>
      <w:proofErr w:type="spellStart"/>
      <w:r>
        <w:t>Reuter</w:t>
      </w:r>
      <w:proofErr w:type="spellEnd"/>
      <w:r>
        <w:rPr>
          <w:rStyle w:val="ncoradanotaderodap"/>
        </w:rPr>
        <w:footnoteReference w:id="38"/>
      </w:r>
      <w:r>
        <w:t xml:space="preserve"> citado por Accioly, enfatizava:</w:t>
      </w:r>
    </w:p>
    <w:p w14:paraId="59099DE0" w14:textId="77777777" w:rsidR="003042B8" w:rsidRDefault="003042B8" w:rsidP="003042B8">
      <w:pPr>
        <w:ind w:firstLine="708"/>
      </w:pPr>
    </w:p>
    <w:p w14:paraId="60FA8273" w14:textId="77777777" w:rsidR="003042B8" w:rsidRDefault="003042B8" w:rsidP="003042B8">
      <w:pPr>
        <w:spacing w:line="240" w:lineRule="auto"/>
        <w:ind w:left="2268"/>
        <w:rPr>
          <w:sz w:val="20"/>
          <w:szCs w:val="20"/>
        </w:rPr>
      </w:pPr>
      <w:r>
        <w:rPr>
          <w:sz w:val="20"/>
          <w:szCs w:val="20"/>
        </w:rPr>
        <w:t xml:space="preserve">Não ser o direito somente produto da vida social, mas, igualmente, o fruto de esforço de reflexão, em que se trata de ordenar os dados, assim, recolhidos, em conjunto coerente e tão lógico quanto possível. É o aspecto sistemático do direito internacional, simultaneamente mais importante e mais delicado que o dos direitos nacionais. </w:t>
      </w:r>
    </w:p>
    <w:p w14:paraId="056B5B16" w14:textId="77777777" w:rsidR="003042B8" w:rsidRDefault="003042B8" w:rsidP="003042B8">
      <w:pPr>
        <w:ind w:left="2268" w:firstLine="708"/>
      </w:pPr>
    </w:p>
    <w:p w14:paraId="0291FE4A" w14:textId="77777777" w:rsidR="003042B8" w:rsidRDefault="003042B8" w:rsidP="003042B8">
      <w:pPr>
        <w:ind w:firstLine="708"/>
      </w:pPr>
      <w:r>
        <w:t xml:space="preserve">O objetivo do autor por meio de uma teoria dos atos jurídicos é a de compreender o que faz parte do âmbito jurídico e o que não faz. </w:t>
      </w:r>
      <w:proofErr w:type="spellStart"/>
      <w:r>
        <w:t>Jacqué</w:t>
      </w:r>
      <w:proofErr w:type="spellEnd"/>
      <w:r>
        <w:rPr>
          <w:rStyle w:val="ncoradanotaderodap"/>
        </w:rPr>
        <w:footnoteReference w:id="39"/>
      </w:r>
      <w:r>
        <w:t>, citado por Accioly, diz que:</w:t>
      </w:r>
    </w:p>
    <w:p w14:paraId="35D4FF33" w14:textId="77777777" w:rsidR="003042B8" w:rsidRDefault="003042B8" w:rsidP="003042B8">
      <w:pPr>
        <w:ind w:firstLine="708"/>
      </w:pPr>
    </w:p>
    <w:p w14:paraId="474F28B6" w14:textId="77777777" w:rsidR="003042B8" w:rsidRDefault="003042B8" w:rsidP="003042B8">
      <w:pPr>
        <w:spacing w:line="240" w:lineRule="auto"/>
        <w:ind w:left="2268"/>
      </w:pPr>
      <w:r>
        <w:rPr>
          <w:sz w:val="20"/>
          <w:szCs w:val="20"/>
        </w:rPr>
        <w:t xml:space="preserve">A teoria do ato jurídico, mesmo em se tratando de noção comum aos diferentes sistemas jurídicos, não pode ser captada </w:t>
      </w:r>
      <w:r>
        <w:rPr>
          <w:i/>
          <w:iCs/>
          <w:sz w:val="20"/>
          <w:szCs w:val="20"/>
        </w:rPr>
        <w:t xml:space="preserve">in </w:t>
      </w:r>
      <w:proofErr w:type="spellStart"/>
      <w:r>
        <w:rPr>
          <w:i/>
          <w:iCs/>
          <w:sz w:val="20"/>
          <w:szCs w:val="20"/>
        </w:rPr>
        <w:t>abstracto</w:t>
      </w:r>
      <w:proofErr w:type="spellEnd"/>
      <w:r>
        <w:rPr>
          <w:sz w:val="20"/>
          <w:szCs w:val="20"/>
        </w:rPr>
        <w:t xml:space="preserve">, mas insere-se em determinada ordem jurídica. Se uma manifestação de </w:t>
      </w:r>
      <w:r>
        <w:rPr>
          <w:sz w:val="20"/>
          <w:szCs w:val="20"/>
        </w:rPr>
        <w:lastRenderedPageBreak/>
        <w:t xml:space="preserve">vontade pode acarretar consequências jurídicas (isto se dá), porque a ordem jurídica lhe atribui essa faculdade [...] esse é o problema da validade, pois: “para que determinado ato jurídico possa cumprir a sua função, é preciso que tire sua validade formal e material da ordem jurídica existente. Não existe teoria dos atos, sem teoria da validade. </w:t>
      </w:r>
    </w:p>
    <w:p w14:paraId="42D9AF26" w14:textId="77777777" w:rsidR="003042B8" w:rsidRDefault="003042B8" w:rsidP="003042B8">
      <w:pPr>
        <w:ind w:left="2268" w:firstLine="709"/>
      </w:pPr>
    </w:p>
    <w:p w14:paraId="34212743" w14:textId="5F01240F" w:rsidR="003042B8" w:rsidRDefault="003042B8" w:rsidP="003042B8">
      <w:pPr>
        <w:ind w:firstLine="708"/>
      </w:pPr>
      <w:r>
        <w:t>Nesta lógica, o tratado internacional será válido, se o sujeito que o firmar for um sujeito do direito internacional, neste caso, o Estado, na condição de sujeito capaz</w:t>
      </w:r>
      <w:r w:rsidR="00130909">
        <w:t>;</w:t>
      </w:r>
      <w:r w:rsidR="00E02E9E">
        <w:t xml:space="preserve"> s</w:t>
      </w:r>
      <w:r>
        <w:t xml:space="preserve">e o objeto </w:t>
      </w:r>
      <w:r w:rsidR="00E02E9E">
        <w:t xml:space="preserve">for </w:t>
      </w:r>
      <w:r>
        <w:t xml:space="preserve">lícito, por exemplo, </w:t>
      </w:r>
      <w:r w:rsidR="00E02E9E">
        <w:t>se se trata da</w:t>
      </w:r>
      <w:r>
        <w:t xml:space="preserve"> regulamentação de fronteiras e, se o ato </w:t>
      </w:r>
      <w:r w:rsidR="00E02E9E">
        <w:t>for</w:t>
      </w:r>
      <w:r>
        <w:t xml:space="preserve"> resultado do consenso bem como sua forma se encontra</w:t>
      </w:r>
      <w:r w:rsidR="00E02E9E">
        <w:t>r</w:t>
      </w:r>
      <w:r>
        <w:t xml:space="preserve"> em consonância ao que for previamente instituído. Obedecidos estes passos, este ato será válido. Portanto, a teoria do ato jurídico está de acordo com a teoria da validade.</w:t>
      </w:r>
    </w:p>
    <w:p w14:paraId="76EC02BD" w14:textId="77777777" w:rsidR="003042B8" w:rsidRDefault="003042B8" w:rsidP="003042B8">
      <w:pPr>
        <w:ind w:firstLine="708"/>
      </w:pPr>
      <w:r>
        <w:t xml:space="preserve">Hoje, dois elementos desafiam a validade posta dentro do quadro positivista: o primeiro, a fragmentação da governança global e o segundo (resultado do primeiro), a margem de ação das organizações internacionais enquanto sujeitos legítimos dotados de personalidade jurídica internacional. </w:t>
      </w:r>
    </w:p>
    <w:p w14:paraId="5731FEDA" w14:textId="77777777" w:rsidR="003042B8" w:rsidRDefault="003042B8" w:rsidP="003042B8">
      <w:pPr>
        <w:ind w:firstLine="708"/>
      </w:pPr>
      <w:r>
        <w:t xml:space="preserve">No primeiro sentido, o império da lei ou o Estado de Direito assumiu contemporaneamente uma nuance diferenciada. A </w:t>
      </w:r>
      <w:proofErr w:type="spellStart"/>
      <w:r>
        <w:rPr>
          <w:i/>
          <w:iCs/>
        </w:rPr>
        <w:t>rule</w:t>
      </w:r>
      <w:proofErr w:type="spellEnd"/>
      <w:r>
        <w:rPr>
          <w:i/>
          <w:iCs/>
        </w:rPr>
        <w:t xml:space="preserve"> </w:t>
      </w:r>
      <w:proofErr w:type="spellStart"/>
      <w:r>
        <w:rPr>
          <w:i/>
          <w:iCs/>
        </w:rPr>
        <w:t>of</w:t>
      </w:r>
      <w:proofErr w:type="spellEnd"/>
      <w:r>
        <w:rPr>
          <w:i/>
          <w:iCs/>
        </w:rPr>
        <w:t xml:space="preserve"> </w:t>
      </w:r>
      <w:proofErr w:type="spellStart"/>
      <w:r>
        <w:rPr>
          <w:i/>
          <w:iCs/>
        </w:rPr>
        <w:t>law</w:t>
      </w:r>
      <w:proofErr w:type="spellEnd"/>
      <w:r>
        <w:t xml:space="preserve"> consistiria hoje no direito internacional, de acordo com Kofi Annan, ex-secretário Geral das Nações Unidas</w:t>
      </w:r>
      <w:r>
        <w:rPr>
          <w:rStyle w:val="ncoradanotaderodap"/>
          <w:rFonts w:eastAsia="Times New Roman"/>
          <w:color w:val="000000"/>
          <w:sz w:val="20"/>
          <w:szCs w:val="20"/>
          <w:lang w:val="en-US" w:eastAsia="pt-BR"/>
        </w:rPr>
        <w:footnoteReference w:id="40"/>
      </w:r>
      <w:r>
        <w:t>:</w:t>
      </w:r>
    </w:p>
    <w:p w14:paraId="340AC424" w14:textId="77777777" w:rsidR="003042B8" w:rsidRDefault="003042B8" w:rsidP="003042B8"/>
    <w:p w14:paraId="1C1375D8" w14:textId="77777777" w:rsidR="003042B8" w:rsidRDefault="003042B8" w:rsidP="003042B8">
      <w:pPr>
        <w:spacing w:line="240" w:lineRule="auto"/>
        <w:ind w:left="2268"/>
        <w:rPr>
          <w:rFonts w:eastAsia="Times New Roman"/>
          <w:color w:val="000000"/>
          <w:sz w:val="20"/>
          <w:szCs w:val="20"/>
          <w:lang w:eastAsia="pt-BR"/>
        </w:rPr>
      </w:pPr>
      <w:r>
        <w:rPr>
          <w:rFonts w:eastAsia="Times New Roman"/>
          <w:color w:val="000000"/>
          <w:sz w:val="20"/>
          <w:szCs w:val="20"/>
          <w:lang w:eastAsia="pt-BR"/>
        </w:rPr>
        <w:t>Um princípio de governança onde todas as pessoas, instituições e entidades, públicas e privadas, incluindo o Estado, são responsáveis perante as leis que são promulgadas publicamente, igualmente aplicadas e julgadas de forma independente, e que são consistentes com as normas e padrões internacionais de direitos humanos. Requer, ainda, medidas para garantir a aderência aos princípios de equidade na aplicação da lei, separação de poderes, participação na tomada de decisões, segurança jurídica, evitação da arbitrariedade e transparência legal e procedimental. (tradução nossa).</w:t>
      </w:r>
    </w:p>
    <w:p w14:paraId="319C8E00" w14:textId="77777777" w:rsidR="003042B8" w:rsidRDefault="003042B8" w:rsidP="003042B8">
      <w:pPr>
        <w:rPr>
          <w:rFonts w:eastAsia="Times New Roman"/>
          <w:highlight w:val="yellow"/>
          <w:lang w:eastAsia="pt-BR"/>
        </w:rPr>
      </w:pPr>
    </w:p>
    <w:p w14:paraId="5E00681F" w14:textId="77777777" w:rsidR="003042B8" w:rsidRDefault="003042B8" w:rsidP="003042B8">
      <w:r>
        <w:tab/>
        <w:t xml:space="preserve">Assim, para o ex-secretário Geral das Nações Unidas, o conceito vai além da correspondência da produção normativa, de um procedimento formal ou de </w:t>
      </w:r>
      <w:r>
        <w:lastRenderedPageBreak/>
        <w:t xml:space="preserve">uma fonte prevista pelo direito, mas abrange diferentes atores, exigindo maior participação da comunidade internacional. </w:t>
      </w:r>
      <w:r>
        <w:tab/>
      </w:r>
    </w:p>
    <w:p w14:paraId="50A74A19" w14:textId="77777777" w:rsidR="003042B8" w:rsidRDefault="003042B8" w:rsidP="003042B8">
      <w:pPr>
        <w:ind w:firstLine="708"/>
      </w:pPr>
      <w:r>
        <w:t xml:space="preserve">É neste sentido que ao constatar as dificuldades operacionais sempre maiores do contexto global e a expansão regulatória do direito internacional que </w:t>
      </w:r>
      <w:proofErr w:type="spellStart"/>
      <w:r>
        <w:t>Teubner</w:t>
      </w:r>
      <w:proofErr w:type="spellEnd"/>
      <w:r>
        <w:rPr>
          <w:rStyle w:val="ncoradanotaderodap"/>
        </w:rPr>
        <w:footnoteReference w:id="41"/>
      </w:r>
      <w:r>
        <w:t xml:space="preserve"> vai defender a autonomia dos diferentes setores da sociedade. Verificando que dentro destes setores existe um subsistema constitucional que mesmo operando fora da lógica de produção jurídico-normativa estatal é capaz de legitimar e controlar os seus próprios mecanismos de organização sistêmica.</w:t>
      </w:r>
    </w:p>
    <w:p w14:paraId="3CD27CF2" w14:textId="77777777" w:rsidR="003042B8" w:rsidRDefault="003042B8" w:rsidP="003042B8">
      <w:r>
        <w:tab/>
        <w:t xml:space="preserve">No segundo sentido, é fato que as organizações internacionais também são </w:t>
      </w:r>
      <w:proofErr w:type="gramStart"/>
      <w:r>
        <w:t>sujeitos</w:t>
      </w:r>
      <w:proofErr w:type="gramEnd"/>
      <w:r>
        <w:t xml:space="preserve"> do direito internacional, estas podem se engajar em compromissos internacionais e agirem dentro dos termos previstos em suas Cartas Constitutivas. </w:t>
      </w:r>
    </w:p>
    <w:p w14:paraId="72101DE9" w14:textId="0AD2660D" w:rsidR="003042B8" w:rsidRDefault="003042B8" w:rsidP="003042B8">
      <w:pPr>
        <w:ind w:firstLine="708"/>
      </w:pPr>
      <w:r>
        <w:t xml:space="preserve">É neste sentido que segundo </w:t>
      </w:r>
      <w:proofErr w:type="spellStart"/>
      <w:r>
        <w:t>Combacau</w:t>
      </w:r>
      <w:proofErr w:type="spellEnd"/>
      <w:r>
        <w:t xml:space="preserve"> e </w:t>
      </w:r>
      <w:proofErr w:type="spellStart"/>
      <w:r>
        <w:t>Sur</w:t>
      </w:r>
      <w:proofErr w:type="spellEnd"/>
      <w:r>
        <w:t>, as Resoluções “tomadas no âmbito dos fins da Organização, e adotadas por um órgão "regularmente, constituído, tomado de acordo com suas regras, declarado e adotado por seu presidente, deve</w:t>
      </w:r>
      <w:r w:rsidR="00130909">
        <w:t>m</w:t>
      </w:r>
      <w:r>
        <w:t xml:space="preserve"> se presumi</w:t>
      </w:r>
      <w:r w:rsidR="00130909">
        <w:t>r</w:t>
      </w:r>
      <w:r>
        <w:t xml:space="preserve"> válid</w:t>
      </w:r>
      <w:r w:rsidR="00130909">
        <w:t>as</w:t>
      </w:r>
      <w:r>
        <w:t>”</w:t>
      </w:r>
      <w:r>
        <w:rPr>
          <w:rStyle w:val="ncoradanotaderodap"/>
        </w:rPr>
        <w:footnoteReference w:id="42"/>
      </w:r>
      <w:r>
        <w:t>. (tradução nossa).</w:t>
      </w:r>
    </w:p>
    <w:p w14:paraId="6F587737" w14:textId="77777777" w:rsidR="003042B8" w:rsidRDefault="003042B8" w:rsidP="003042B8">
      <w:pPr>
        <w:ind w:firstLine="708"/>
      </w:pPr>
      <w:r>
        <w:t xml:space="preserve">Assim, determinadas resoluções regularmente aprovadas no âmbito de competência de tais Organizações ainda que como instrumentos de </w:t>
      </w:r>
      <w:r>
        <w:rPr>
          <w:i/>
          <w:iCs/>
        </w:rPr>
        <w:t xml:space="preserve">soft </w:t>
      </w:r>
      <w:proofErr w:type="spellStart"/>
      <w:r>
        <w:rPr>
          <w:i/>
          <w:iCs/>
        </w:rPr>
        <w:t>law</w:t>
      </w:r>
      <w:proofErr w:type="spellEnd"/>
      <w:r>
        <w:t xml:space="preserve"> são perfeitamente válidas. </w:t>
      </w:r>
    </w:p>
    <w:p w14:paraId="2FE277AF" w14:textId="77777777" w:rsidR="003042B8" w:rsidRDefault="003042B8" w:rsidP="003042B8">
      <w:r>
        <w:tab/>
        <w:t xml:space="preserve">Por estas razões, o debate acerca da validade em relação à </w:t>
      </w:r>
      <w:r>
        <w:rPr>
          <w:i/>
          <w:iCs/>
        </w:rPr>
        <w:t xml:space="preserve">soft </w:t>
      </w:r>
      <w:proofErr w:type="spellStart"/>
      <w:r>
        <w:rPr>
          <w:i/>
          <w:iCs/>
        </w:rPr>
        <w:t>law</w:t>
      </w:r>
      <w:proofErr w:type="spellEnd"/>
      <w:r>
        <w:t xml:space="preserve"> é incapaz de se extinguir no binômio - é válido o que é direito e é inválido o que não é direito. A mesma investigação empírica que se faz para reconhecer se uma norma é legalmente válida pode ser feita também para se reconhecer se uma recomendação, uma declaração, um memorando de entendimento, uma resolução é válida ou não, ainda que não seja considerado ‘direito’ propriamente dito. </w:t>
      </w:r>
    </w:p>
    <w:p w14:paraId="1E165469" w14:textId="77777777" w:rsidR="003042B8" w:rsidRDefault="003042B8" w:rsidP="003042B8">
      <w:pPr>
        <w:ind w:firstLine="708"/>
      </w:pPr>
      <w:r>
        <w:t xml:space="preserve">O “teste da validade do pedigree” conforme </w:t>
      </w:r>
      <w:proofErr w:type="spellStart"/>
      <w:r>
        <w:t>Waltermann</w:t>
      </w:r>
      <w:proofErr w:type="spellEnd"/>
      <w:r>
        <w:rPr>
          <w:rStyle w:val="ncoradanotaderodap"/>
        </w:rPr>
        <w:footnoteReference w:id="43"/>
      </w:r>
      <w:r>
        <w:t xml:space="preserve"> está muito bem descrito pelos positivistas ‘duros’, como explanado pelas palavras de </w:t>
      </w:r>
      <w:proofErr w:type="spellStart"/>
      <w:r>
        <w:t>Marmor</w:t>
      </w:r>
      <w:proofErr w:type="spellEnd"/>
      <w:r>
        <w:t xml:space="preserve"> </w:t>
      </w:r>
      <w:r>
        <w:lastRenderedPageBreak/>
        <w:t xml:space="preserve">citado por </w:t>
      </w:r>
      <w:proofErr w:type="spellStart"/>
      <w:r>
        <w:t>Waltermann</w:t>
      </w:r>
      <w:proofErr w:type="spellEnd"/>
      <w:r>
        <w:t xml:space="preserve"> onde: “a validade jurídica se exaure na referência às fontes convencionais do direito: todo direito é baseado em uma fonte, e tudo o que não é fonte não é direito”</w:t>
      </w:r>
      <w:r>
        <w:rPr>
          <w:rStyle w:val="ncoradanotaderodap"/>
          <w:lang w:val="en-US"/>
        </w:rPr>
        <w:footnoteReference w:id="44"/>
      </w:r>
      <w:r>
        <w:t>. (tradução nossa).</w:t>
      </w:r>
    </w:p>
    <w:p w14:paraId="59B0FFD5" w14:textId="24BEE3C0" w:rsidR="003042B8" w:rsidRDefault="003042B8" w:rsidP="003042B8">
      <w:r>
        <w:tab/>
      </w:r>
      <w:r w:rsidR="00AF0008">
        <w:t xml:space="preserve">É de nosso entendimento, que a </w:t>
      </w:r>
      <w:r w:rsidR="00AF0008" w:rsidRPr="00AF0008">
        <w:rPr>
          <w:i/>
          <w:iCs/>
        </w:rPr>
        <w:t xml:space="preserve">soft </w:t>
      </w:r>
      <w:proofErr w:type="spellStart"/>
      <w:r w:rsidR="00AF0008" w:rsidRPr="00AF0008">
        <w:rPr>
          <w:i/>
          <w:iCs/>
        </w:rPr>
        <w:t>law</w:t>
      </w:r>
      <w:proofErr w:type="spellEnd"/>
      <w:r w:rsidR="00AF0008">
        <w:t xml:space="preserve"> seja entendida como categoria</w:t>
      </w:r>
      <w:r>
        <w:t xml:space="preserve"> gerada no próprio habitat do direito internacional, </w:t>
      </w:r>
      <w:r w:rsidR="00AF0008">
        <w:t xml:space="preserve">em caso contrário, </w:t>
      </w:r>
      <w:r>
        <w:t xml:space="preserve">a exclusão da </w:t>
      </w:r>
      <w:r>
        <w:rPr>
          <w:i/>
          <w:iCs/>
        </w:rPr>
        <w:t xml:space="preserve">soft </w:t>
      </w:r>
      <w:proofErr w:type="spellStart"/>
      <w:r>
        <w:rPr>
          <w:i/>
          <w:iCs/>
        </w:rPr>
        <w:t>law</w:t>
      </w:r>
      <w:proofErr w:type="spellEnd"/>
      <w:r>
        <w:t xml:space="preserve"> de qualquer elemento de validade fica</w:t>
      </w:r>
      <w:r w:rsidR="00AF0008">
        <w:t xml:space="preserve"> </w:t>
      </w:r>
      <w:r>
        <w:t xml:space="preserve">evidente. </w:t>
      </w:r>
    </w:p>
    <w:p w14:paraId="7653775A" w14:textId="77777777" w:rsidR="003042B8" w:rsidRDefault="003042B8" w:rsidP="003042B8">
      <w:pPr>
        <w:ind w:firstLine="708"/>
      </w:pPr>
      <w:r>
        <w:t xml:space="preserve">De outro lado, enxergando a </w:t>
      </w:r>
      <w:r>
        <w:rPr>
          <w:i/>
          <w:iCs/>
        </w:rPr>
        <w:t xml:space="preserve">soft </w:t>
      </w:r>
      <w:proofErr w:type="spellStart"/>
      <w:r>
        <w:rPr>
          <w:i/>
          <w:iCs/>
        </w:rPr>
        <w:t>law</w:t>
      </w:r>
      <w:proofErr w:type="spellEnd"/>
      <w:r>
        <w:t xml:space="preserve"> como um produto do meio chamado sistema normativo internacional, será possível colher elementos de validade em instrumentos de </w:t>
      </w:r>
      <w:r>
        <w:rPr>
          <w:i/>
          <w:iCs/>
        </w:rPr>
        <w:t xml:space="preserve">soft </w:t>
      </w:r>
      <w:proofErr w:type="spellStart"/>
      <w:r>
        <w:rPr>
          <w:i/>
          <w:iCs/>
        </w:rPr>
        <w:t>law</w:t>
      </w:r>
      <w:proofErr w:type="spellEnd"/>
      <w:r>
        <w:t xml:space="preserve">. </w:t>
      </w:r>
    </w:p>
    <w:p w14:paraId="7B16A3E3" w14:textId="4665AAA6" w:rsidR="003042B8" w:rsidRDefault="003042B8" w:rsidP="003042B8">
      <w:r>
        <w:tab/>
        <w:t xml:space="preserve">Neste quadro, o positivismo clássico se torna incapaz de sustentar a presença das normas de </w:t>
      </w:r>
      <w:r>
        <w:rPr>
          <w:i/>
          <w:iCs/>
        </w:rPr>
        <w:t xml:space="preserve">soft </w:t>
      </w:r>
      <w:proofErr w:type="spellStart"/>
      <w:r>
        <w:rPr>
          <w:i/>
          <w:iCs/>
        </w:rPr>
        <w:t>law</w:t>
      </w:r>
      <w:proofErr w:type="spellEnd"/>
      <w:r>
        <w:t>, visto que, a relação Estados/soberania de outrora</w:t>
      </w:r>
      <w:r w:rsidR="0020401E">
        <w:t xml:space="preserve"> </w:t>
      </w:r>
      <w:r>
        <w:t xml:space="preserve">não vislumbrava o contexto contemporâneo.  </w:t>
      </w:r>
    </w:p>
    <w:p w14:paraId="2E9A46C2" w14:textId="7CD4B632" w:rsidR="003042B8" w:rsidRDefault="003042B8" w:rsidP="003042B8">
      <w:r>
        <w:tab/>
        <w:t>Assim, não é mais possível compreender a formação do direito internacional contemporâneo à luz do positivismo jurídico, pois ele, sozinho</w:t>
      </w:r>
      <w:r w:rsidR="00313CB8">
        <w:t xml:space="preserve">, </w:t>
      </w:r>
      <w:r>
        <w:t xml:space="preserve">não é capaz de abarcar toda a complexidade deste fenômeno. </w:t>
      </w:r>
    </w:p>
    <w:p w14:paraId="6F994DBA" w14:textId="77777777" w:rsidR="003042B8" w:rsidRDefault="003042B8" w:rsidP="003042B8">
      <w:pPr>
        <w:ind w:firstLine="708"/>
      </w:pPr>
      <w:r>
        <w:t xml:space="preserve">Von Der </w:t>
      </w:r>
      <w:proofErr w:type="spellStart"/>
      <w:r>
        <w:t>Pfordten</w:t>
      </w:r>
      <w:proofErr w:type="spellEnd"/>
      <w:r>
        <w:rPr>
          <w:rStyle w:val="ncoradanotaderodap"/>
          <w:lang w:val="en-US"/>
        </w:rPr>
        <w:footnoteReference w:id="45"/>
      </w:r>
      <w:r>
        <w:t xml:space="preserve"> constata a dificuldade de se apartar do paradigma da validade legal positivista afirmando que o positivismo impregnou até mesmo os não positivistas com o vírus da validade para se referir à legalidade da norma. O autor entende que o conceito de validade vem para obscurecer as fases da legalidade de uma norma. </w:t>
      </w:r>
    </w:p>
    <w:p w14:paraId="6747BCD3" w14:textId="77777777" w:rsidR="003042B8" w:rsidRDefault="003042B8" w:rsidP="003042B8">
      <w:pPr>
        <w:ind w:firstLine="708"/>
      </w:pPr>
      <w:r>
        <w:t xml:space="preserve">Vale reforçar, ainda, que para os pais fundadores do Direito Internacional, o conceito de validade não aparecia, pois era a autoridade, a base da fundamentação normativa do Direito Internacional. </w:t>
      </w:r>
    </w:p>
    <w:p w14:paraId="4623C5FD" w14:textId="28BC1BAB" w:rsidR="003042B8" w:rsidRDefault="003042B8" w:rsidP="003042B8">
      <w:pPr>
        <w:ind w:firstLine="708"/>
      </w:pPr>
      <w:r>
        <w:t xml:space="preserve">Com Kelsen a validade irá se tornar a fundamentação normativa do Direito, uma vez que para localizar a sua força normativa, será preciso encontrar objetivamente a sua validade. </w:t>
      </w:r>
    </w:p>
    <w:p w14:paraId="656F64DB" w14:textId="5A131291" w:rsidR="003042B8" w:rsidRDefault="003042B8" w:rsidP="003042B8">
      <w:pPr>
        <w:ind w:firstLine="708"/>
      </w:pPr>
      <w:r>
        <w:t xml:space="preserve">Kelsen entende, portanto, que uma norma só será válida quando derivar de uma outra norma válida que autoriza a sua criação. Será sob o conceito de validade que Kelsen buscará entender a </w:t>
      </w:r>
      <w:proofErr w:type="spellStart"/>
      <w:r>
        <w:rPr>
          <w:i/>
          <w:iCs/>
        </w:rPr>
        <w:t>spezifische</w:t>
      </w:r>
      <w:proofErr w:type="spellEnd"/>
      <w:r>
        <w:rPr>
          <w:i/>
          <w:iCs/>
        </w:rPr>
        <w:t xml:space="preserve"> </w:t>
      </w:r>
      <w:proofErr w:type="spellStart"/>
      <w:r>
        <w:rPr>
          <w:i/>
          <w:iCs/>
        </w:rPr>
        <w:t>existenz</w:t>
      </w:r>
      <w:proofErr w:type="spellEnd"/>
      <w:r>
        <w:t xml:space="preserve"> (a existência </w:t>
      </w:r>
      <w:r>
        <w:lastRenderedPageBreak/>
        <w:t>específica) de uma norma. Por validade entende-se, portanto, a existência de certas normas.  Kelsen afirma que uma norma é válida “quando assumimos sua existência, isto é, quando assumimos que ela possui força vinculante para aqueles cujo comportamento ela quer regular”</w:t>
      </w:r>
      <w:r>
        <w:rPr>
          <w:rStyle w:val="ncoradanotaderodap"/>
        </w:rPr>
        <w:footnoteReference w:id="46"/>
      </w:r>
      <w:r>
        <w:t>. (</w:t>
      </w:r>
      <w:r>
        <w:rPr>
          <w:iCs/>
        </w:rPr>
        <w:t>tradução nossa</w:t>
      </w:r>
      <w:r>
        <w:t xml:space="preserve">). Nota-se claramente aqui o vínculo indissociável entre a existência de uma norma para o mundo e a sua validade. </w:t>
      </w:r>
      <w:r w:rsidR="00130909">
        <w:t>E</w:t>
      </w:r>
      <w:r>
        <w:t xml:space="preserve">la é válida </w:t>
      </w:r>
      <w:r>
        <w:rPr>
          <w:i/>
          <w:iCs/>
        </w:rPr>
        <w:t xml:space="preserve">porque </w:t>
      </w:r>
      <w:r>
        <w:t>existe.</w:t>
      </w:r>
    </w:p>
    <w:p w14:paraId="7D7D1F9D" w14:textId="77777777" w:rsidR="003042B8" w:rsidRDefault="003042B8" w:rsidP="003042B8">
      <w:pPr>
        <w:ind w:firstLine="708"/>
      </w:pPr>
      <w:r>
        <w:t xml:space="preserve">Prosseguindo, se uma norma existe, ela possui força vinculante, que significa dizer que ela é obrigatória. Assim, validade, força vinculante e obrigatoriedade estariam conectados. Daí o fato de toda esta construção excluir do campo de análise a </w:t>
      </w:r>
      <w:r>
        <w:rPr>
          <w:i/>
          <w:iCs/>
        </w:rPr>
        <w:t xml:space="preserve">soft </w:t>
      </w:r>
      <w:proofErr w:type="spellStart"/>
      <w:r>
        <w:rPr>
          <w:i/>
          <w:iCs/>
        </w:rPr>
        <w:t>law</w:t>
      </w:r>
      <w:proofErr w:type="spellEnd"/>
      <w:r>
        <w:t>, pois, naturalmente, não tendo força vinculante significa que não é válida. Seria então a validade uma característica exclusiva das normas jurídicas? Para Kelsen a “validade é uma qualidade do direito”</w:t>
      </w:r>
      <w:r>
        <w:rPr>
          <w:rStyle w:val="ncoradanotaderodap"/>
        </w:rPr>
        <w:footnoteReference w:id="47"/>
      </w:r>
      <w:r>
        <w:t>. (</w:t>
      </w:r>
      <w:r>
        <w:rPr>
          <w:iCs/>
        </w:rPr>
        <w:t>tradução nossa</w:t>
      </w:r>
      <w:r>
        <w:t>).</w:t>
      </w:r>
    </w:p>
    <w:p w14:paraId="6EE9FF3F" w14:textId="51F94A4A" w:rsidR="003042B8" w:rsidRDefault="003042B8" w:rsidP="00AF0008">
      <w:pPr>
        <w:ind w:firstLine="708"/>
      </w:pPr>
      <w:r>
        <w:t xml:space="preserve">Assim, observa-se que na teoria positivista de Kelsen não há espaço para a </w:t>
      </w:r>
      <w:r>
        <w:rPr>
          <w:i/>
          <w:iCs/>
        </w:rPr>
        <w:t xml:space="preserve">soft </w:t>
      </w:r>
      <w:proofErr w:type="spellStart"/>
      <w:r>
        <w:rPr>
          <w:i/>
          <w:iCs/>
        </w:rPr>
        <w:t>law</w:t>
      </w:r>
      <w:proofErr w:type="spellEnd"/>
      <w:r>
        <w:t xml:space="preserve">. Ela é absolutamente irrelevante, uma vez que na concepção binária entre o que é direito e o que não é direito, a </w:t>
      </w:r>
      <w:r>
        <w:rPr>
          <w:i/>
          <w:iCs/>
        </w:rPr>
        <w:t xml:space="preserve">soft </w:t>
      </w:r>
      <w:proofErr w:type="spellStart"/>
      <w:r>
        <w:rPr>
          <w:i/>
          <w:iCs/>
        </w:rPr>
        <w:t>law</w:t>
      </w:r>
      <w:proofErr w:type="spellEnd"/>
      <w:r>
        <w:t xml:space="preserve"> entraria neste segundo aspecto, não merecendo nenhum tipo de apreciação ulterior por parte dos juristas</w:t>
      </w:r>
      <w:r w:rsidR="00BA5692">
        <w:t xml:space="preserve">, ideia esta que este artigo busca contrastar. </w:t>
      </w:r>
    </w:p>
    <w:p w14:paraId="5367051C" w14:textId="77777777" w:rsidR="003042B8" w:rsidRDefault="003042B8" w:rsidP="003042B8">
      <w:pPr>
        <w:ind w:firstLine="708"/>
      </w:pPr>
      <w:r>
        <w:t xml:space="preserve">A questão aqui não é a de se propor uma outra teoria da validade e do direito, mas sim a de contextualizar a panaceia e a celeuma criada em torno da </w:t>
      </w:r>
      <w:r>
        <w:rPr>
          <w:i/>
          <w:iCs/>
        </w:rPr>
        <w:t xml:space="preserve">soft </w:t>
      </w:r>
      <w:proofErr w:type="spellStart"/>
      <w:r>
        <w:rPr>
          <w:i/>
          <w:iCs/>
        </w:rPr>
        <w:t>law</w:t>
      </w:r>
      <w:proofErr w:type="spellEnd"/>
      <w:r>
        <w:t xml:space="preserve"> para questionar em quais condições faz sentido investigar a validade?</w:t>
      </w:r>
    </w:p>
    <w:p w14:paraId="323BE40E" w14:textId="68E26865" w:rsidR="003042B8" w:rsidRDefault="003042B8" w:rsidP="003042B8">
      <w:pPr>
        <w:ind w:firstLine="708"/>
      </w:pPr>
      <w:proofErr w:type="spellStart"/>
      <w:r>
        <w:t>Westerman</w:t>
      </w:r>
      <w:proofErr w:type="spellEnd"/>
      <w:r>
        <w:rPr>
          <w:rStyle w:val="ncoradanotaderodap"/>
        </w:rPr>
        <w:footnoteReference w:id="48"/>
      </w:r>
      <w:r>
        <w:t xml:space="preserve"> coloca a discussão de forma interessante, afirmando que é útil estabelecer de qual ponto de vista se fala quando se pergunta acerca da validade. Ela traz como exemplo o cliente que chega ao caixa com uma nota de mil euros para pagar uma compra e o caixa verifica se aquela nota é “válida”, isto é, se aquela nota é competente para produzir os efeitos que sugere, que no caso, é o de pagar a conta. </w:t>
      </w:r>
    </w:p>
    <w:p w14:paraId="3EA8C19B" w14:textId="2F88C774" w:rsidR="003042B8" w:rsidRDefault="003042B8" w:rsidP="003042B8">
      <w:pPr>
        <w:ind w:firstLine="708"/>
      </w:pPr>
      <w:r>
        <w:lastRenderedPageBreak/>
        <w:t xml:space="preserve">Neste “produzir os efeitos que sugere”, a autora acrescenta que existe de fundo um “entendimento coletivo”, um “acordo coletivo”, também, quanto ao significado daqueles mil euros. Em qual sentido? No sentido de que o dinheiro pode ser considerado só um pedaço de papel (falso ou não) ou pode ser considerado um pedaço de papel que possui uma certa funcionalidade. E é nestes termos que o debate acerca da </w:t>
      </w:r>
      <w:r>
        <w:rPr>
          <w:i/>
          <w:iCs/>
        </w:rPr>
        <w:t xml:space="preserve">soft </w:t>
      </w:r>
      <w:proofErr w:type="spellStart"/>
      <w:r>
        <w:rPr>
          <w:i/>
          <w:iCs/>
        </w:rPr>
        <w:t>law</w:t>
      </w:r>
      <w:proofErr w:type="spellEnd"/>
      <w:r>
        <w:t xml:space="preserve"> se torna ainda mais </w:t>
      </w:r>
      <w:r w:rsidR="00C43D04">
        <w:t>interessante.</w:t>
      </w:r>
      <w:r>
        <w:t xml:space="preserve"> </w:t>
      </w:r>
    </w:p>
    <w:p w14:paraId="198157B9" w14:textId="2AD30C18" w:rsidR="003042B8" w:rsidRDefault="003042B8" w:rsidP="003042B8">
      <w:pPr>
        <w:ind w:firstLine="708"/>
      </w:pPr>
      <w:r>
        <w:t xml:space="preserve">A validade de um acordo de </w:t>
      </w:r>
      <w:r>
        <w:rPr>
          <w:i/>
          <w:iCs/>
        </w:rPr>
        <w:t xml:space="preserve">soft </w:t>
      </w:r>
      <w:proofErr w:type="spellStart"/>
      <w:r>
        <w:rPr>
          <w:i/>
          <w:iCs/>
        </w:rPr>
        <w:t>law</w:t>
      </w:r>
      <w:proofErr w:type="spellEnd"/>
      <w:r>
        <w:t xml:space="preserve"> pode ser buscada, </w:t>
      </w:r>
      <w:r w:rsidR="00C43D04">
        <w:t xml:space="preserve">por exemplo, </w:t>
      </w:r>
      <w:r>
        <w:t xml:space="preserve">em um momento anterior ao da aplicação jurisdicional do acordo em si, que consiste nas inúmeras razões pelas quais a </w:t>
      </w:r>
      <w:r>
        <w:rPr>
          <w:i/>
          <w:iCs/>
        </w:rPr>
        <w:t xml:space="preserve">soft </w:t>
      </w:r>
      <w:proofErr w:type="spellStart"/>
      <w:r>
        <w:rPr>
          <w:i/>
          <w:iCs/>
        </w:rPr>
        <w:t>law</w:t>
      </w:r>
      <w:proofErr w:type="spellEnd"/>
      <w:r>
        <w:t xml:space="preserve"> é utilizada</w:t>
      </w:r>
      <w:r w:rsidR="00C43D04">
        <w:t xml:space="preserve">. </w:t>
      </w:r>
      <w:r>
        <w:t xml:space="preserve">Razões estas que podem fazer parte do “entendimento coletivo” que determinados atores desejam dar a um instrumento de </w:t>
      </w:r>
      <w:r>
        <w:rPr>
          <w:i/>
          <w:iCs/>
        </w:rPr>
        <w:t xml:space="preserve">soft </w:t>
      </w:r>
      <w:proofErr w:type="spellStart"/>
      <w:r>
        <w:rPr>
          <w:i/>
          <w:iCs/>
        </w:rPr>
        <w:t>law</w:t>
      </w:r>
      <w:proofErr w:type="spellEnd"/>
      <w:r>
        <w:t xml:space="preserve"> e que não necessariamente diz respeito ao fato do instrumento poder ser ou não aplicado em um tribunal. </w:t>
      </w:r>
    </w:p>
    <w:p w14:paraId="120F07FC" w14:textId="77777777" w:rsidR="003042B8" w:rsidRDefault="003042B8" w:rsidP="003042B8">
      <w:pPr>
        <w:ind w:firstLine="708"/>
      </w:pPr>
      <w:r>
        <w:t xml:space="preserve">É neste sentido que </w:t>
      </w:r>
      <w:proofErr w:type="spellStart"/>
      <w:r>
        <w:t>Westerman</w:t>
      </w:r>
      <w:proofErr w:type="spellEnd"/>
      <w:r>
        <w:t xml:space="preserve"> fala em funcionalidade e “tipos de validade”, ao tratar dos elementos que se reputa como válidos, mas que provêm de “entendimento/acordos coletivos” quanto ao significado que realmente possui. </w:t>
      </w:r>
    </w:p>
    <w:p w14:paraId="65B215BA" w14:textId="03049E17" w:rsidR="003042B8" w:rsidRDefault="003042B8" w:rsidP="003042B8">
      <w:pPr>
        <w:ind w:firstLine="708"/>
      </w:pPr>
      <w:r>
        <w:t xml:space="preserve">Assim, para os fins do presente </w:t>
      </w:r>
      <w:r w:rsidR="00C43D04">
        <w:t>artigo</w:t>
      </w:r>
      <w:r>
        <w:t xml:space="preserve"> a validade possui um valor relativo, mas não evidentemente totalmente descartado.</w:t>
      </w:r>
    </w:p>
    <w:p w14:paraId="6D40F548" w14:textId="77777777" w:rsidR="003042B8" w:rsidRDefault="003042B8" w:rsidP="003042B8">
      <w:pPr>
        <w:ind w:firstLine="708"/>
      </w:pPr>
    </w:p>
    <w:p w14:paraId="700EAFB5" w14:textId="3D1899BF" w:rsidR="003042B8" w:rsidRPr="00C43D04" w:rsidRDefault="003042B8" w:rsidP="003042B8">
      <w:pPr>
        <w:pStyle w:val="Ttulo3"/>
        <w:numPr>
          <w:ilvl w:val="2"/>
          <w:numId w:val="2"/>
        </w:numPr>
        <w:rPr>
          <w:b/>
          <w:bCs/>
          <w:i w:val="0"/>
          <w:iCs/>
        </w:rPr>
      </w:pPr>
      <w:bookmarkStart w:id="7" w:name="__RefHeading___Toc122561930"/>
      <w:bookmarkStart w:id="8" w:name="_Toc122633231"/>
      <w:bookmarkEnd w:id="7"/>
      <w:r w:rsidRPr="00C43D04">
        <w:rPr>
          <w:b/>
          <w:bCs/>
          <w:i w:val="0"/>
          <w:iCs/>
        </w:rPr>
        <w:t>2.3 A norma jurídica legal, válida e legítima</w:t>
      </w:r>
      <w:bookmarkEnd w:id="8"/>
    </w:p>
    <w:p w14:paraId="7E77A9F6" w14:textId="77777777" w:rsidR="003042B8" w:rsidRDefault="003042B8" w:rsidP="003042B8">
      <w:pPr>
        <w:rPr>
          <w:b/>
          <w:bCs/>
        </w:rPr>
      </w:pPr>
    </w:p>
    <w:p w14:paraId="4FC04245" w14:textId="77777777" w:rsidR="003042B8" w:rsidRDefault="003042B8" w:rsidP="003042B8">
      <w:r>
        <w:rPr>
          <w:b/>
          <w:bCs/>
        </w:rPr>
        <w:tab/>
      </w:r>
      <w:r>
        <w:t>A legitimidade é uma característica complexa que geralmente está associada à justificação do exercício de autoridade. Em outras palavras, a legitimidade busca justificar a conformidade a uma determinada prática gerando uma expectativa de cumprimento, de adequação dos destinatários da norma. A legitimidade, portanto, pode estar ligada tanto à norma quanto à instituição que a emana.</w:t>
      </w:r>
    </w:p>
    <w:p w14:paraId="1DBB2D4E" w14:textId="77777777" w:rsidR="003042B8" w:rsidRDefault="003042B8" w:rsidP="003042B8">
      <w:pPr>
        <w:ind w:firstLine="708"/>
      </w:pPr>
      <w:r>
        <w:t>No passado, a legitimidade do direito internacional era externa, fundada em uma “unidade ética”</w:t>
      </w:r>
      <w:r>
        <w:rPr>
          <w:rStyle w:val="ncoradanotaderodap"/>
        </w:rPr>
        <w:footnoteReference w:id="49"/>
      </w:r>
      <w:r>
        <w:t xml:space="preserve"> que se expandiu para outras áreas do conhecimento e que se consubstanciava em um conjunto de valores cujos preceitos moldaram as teorias jusnaturalistas. Todavia, no percurso e no avanço da sociedade esta unidade ética será mitigada, sobretudo em face a presença do positivismo </w:t>
      </w:r>
      <w:r>
        <w:lastRenderedPageBreak/>
        <w:t>jurídico, fazendo com que a busca pelos critérios de legitimidade se voltasse para o próprio direito.</w:t>
      </w:r>
    </w:p>
    <w:p w14:paraId="30C5D3D1" w14:textId="23CC51EA" w:rsidR="003042B8" w:rsidRDefault="003042B8" w:rsidP="003042B8">
      <w:pPr>
        <w:ind w:firstLine="708"/>
      </w:pPr>
      <w:r>
        <w:t xml:space="preserve">No âmbito do direito, várias </w:t>
      </w:r>
      <w:r w:rsidR="005C4576">
        <w:t xml:space="preserve">destas </w:t>
      </w:r>
      <w:r>
        <w:t xml:space="preserve">categorias </w:t>
      </w:r>
      <w:r w:rsidR="005C4576">
        <w:t>são subsequentes</w:t>
      </w:r>
      <w:r>
        <w:t>, a exemplo da validade e da legitimidade que são considerados conceitos próximos, porquanto a validade possa ser vista como uma consequência da legitimidade. De forma que</w:t>
      </w:r>
      <w:r w:rsidR="007E7454">
        <w:t>,</w:t>
      </w:r>
      <w:r>
        <w:t xml:space="preserve"> se for observado um determinado procedimento para a adoção de uma norma, por parte de uma autoridade que tem o poder de realizar esta produção normativa, tem-se uma norma legítima emanada de uma instituição legítima que será válida para o sistema normativo. </w:t>
      </w:r>
      <w:r w:rsidR="007E7454">
        <w:t>Assim</w:t>
      </w:r>
      <w:r>
        <w:t>, validade e legitimidade são categorias que se enlaçam.</w:t>
      </w:r>
    </w:p>
    <w:p w14:paraId="305BC188" w14:textId="77777777" w:rsidR="003042B8" w:rsidRDefault="003042B8" w:rsidP="003042B8">
      <w:pPr>
        <w:ind w:firstLine="708"/>
      </w:pPr>
      <w:r>
        <w:t xml:space="preserve">Lado outro, </w:t>
      </w:r>
      <w:proofErr w:type="spellStart"/>
      <w:r>
        <w:t>Georgiev</w:t>
      </w:r>
      <w:proofErr w:type="spellEnd"/>
      <w:r>
        <w:rPr>
          <w:rStyle w:val="ncoradanotaderodap"/>
          <w:sz w:val="20"/>
          <w:szCs w:val="20"/>
        </w:rPr>
        <w:footnoteReference w:id="50"/>
      </w:r>
      <w:r>
        <w:t xml:space="preserve"> compara o conceito de legitimidade ao de legalidade se referindo ao último como uma:</w:t>
      </w:r>
    </w:p>
    <w:p w14:paraId="4B1C589F" w14:textId="77777777" w:rsidR="003042B8" w:rsidRDefault="003042B8" w:rsidP="003042B8">
      <w:pPr>
        <w:ind w:firstLine="708"/>
      </w:pPr>
    </w:p>
    <w:p w14:paraId="198099EA" w14:textId="77777777" w:rsidR="003042B8" w:rsidRDefault="003042B8" w:rsidP="003042B8">
      <w:pPr>
        <w:spacing w:line="240" w:lineRule="auto"/>
        <w:ind w:left="2268"/>
      </w:pPr>
      <w:r>
        <w:rPr>
          <w:sz w:val="20"/>
          <w:szCs w:val="20"/>
        </w:rPr>
        <w:t xml:space="preserve">Visão estática e </w:t>
      </w:r>
      <w:proofErr w:type="spellStart"/>
      <w:r>
        <w:rPr>
          <w:sz w:val="20"/>
          <w:szCs w:val="20"/>
        </w:rPr>
        <w:t>uni-dimensional</w:t>
      </w:r>
      <w:proofErr w:type="spellEnd"/>
      <w:r>
        <w:rPr>
          <w:sz w:val="20"/>
          <w:szCs w:val="20"/>
        </w:rPr>
        <w:t xml:space="preserve"> do direito onde a distinção entre legal e ilegal é esperada como forma de dar uma resposta definitiva sobre se um determinado comportamento corresponde à validade ou não. Esta distinção não pode tolerar indeterminação ou contradição, e precisa presumir que estas não existem, abordando-os tecnicamente por meio da aplicação de determinadas regras e procedimentos de modo a apresentar uma visão não conflituosa do direito. (</w:t>
      </w:r>
      <w:r>
        <w:rPr>
          <w:iCs/>
          <w:sz w:val="20"/>
          <w:szCs w:val="20"/>
        </w:rPr>
        <w:t>tradução nossa</w:t>
      </w:r>
      <w:r>
        <w:rPr>
          <w:sz w:val="20"/>
          <w:szCs w:val="20"/>
        </w:rPr>
        <w:t>).</w:t>
      </w:r>
    </w:p>
    <w:p w14:paraId="759D6ACA" w14:textId="77777777" w:rsidR="003042B8" w:rsidRDefault="003042B8" w:rsidP="003042B8">
      <w:pPr>
        <w:ind w:left="2268"/>
      </w:pPr>
    </w:p>
    <w:p w14:paraId="3316BDD8" w14:textId="73C0D27E" w:rsidR="003042B8" w:rsidRDefault="00641533" w:rsidP="003042B8">
      <w:pPr>
        <w:ind w:firstLine="708"/>
      </w:pPr>
      <w:r>
        <w:t>Nesse sentido</w:t>
      </w:r>
      <w:r w:rsidR="00723D0E">
        <w:t>,</w:t>
      </w:r>
      <w:r>
        <w:t xml:space="preserve"> a</w:t>
      </w:r>
      <w:r w:rsidR="003042B8">
        <w:t xml:space="preserve"> legalidade não permitiria meio termo</w:t>
      </w:r>
      <w:r>
        <w:t>, afinal</w:t>
      </w:r>
      <w:r w:rsidR="003042B8">
        <w:t xml:space="preserve"> </w:t>
      </w:r>
      <w:r>
        <w:t>a</w:t>
      </w:r>
      <w:r w:rsidR="003042B8">
        <w:t xml:space="preserve">lgo ou é legal ou não é. </w:t>
      </w:r>
    </w:p>
    <w:p w14:paraId="0A7DE80E" w14:textId="77777777" w:rsidR="003042B8" w:rsidRDefault="003042B8" w:rsidP="003042B8">
      <w:pPr>
        <w:ind w:firstLine="708"/>
      </w:pPr>
      <w:proofErr w:type="spellStart"/>
      <w:r>
        <w:t>Georgiev</w:t>
      </w:r>
      <w:proofErr w:type="spellEnd"/>
      <w:r>
        <w:rPr>
          <w:rStyle w:val="ncoradanotaderodap"/>
        </w:rPr>
        <w:footnoteReference w:id="51"/>
      </w:r>
      <w:r>
        <w:t xml:space="preserve"> tem uma abordagem intrigante quanto à legitimidade, ao dispor que por meio dela se é dada a:</w:t>
      </w:r>
    </w:p>
    <w:p w14:paraId="1B3C19BC" w14:textId="77777777" w:rsidR="003042B8" w:rsidRDefault="003042B8" w:rsidP="003042B8">
      <w:pPr>
        <w:ind w:left="2268"/>
      </w:pPr>
    </w:p>
    <w:p w14:paraId="6BB4010F" w14:textId="77777777" w:rsidR="003042B8" w:rsidRDefault="003042B8" w:rsidP="003042B8">
      <w:pPr>
        <w:spacing w:line="240" w:lineRule="auto"/>
        <w:ind w:left="2268"/>
      </w:pPr>
      <w:r>
        <w:rPr>
          <w:sz w:val="20"/>
          <w:szCs w:val="20"/>
        </w:rPr>
        <w:t xml:space="preserve">Possibilidade de mudança e de desenvolvimento do direito. Diferentemente do conceito de legalidade, ele não apenas reflete as consequências da mudança, mas fornece um quadro teórico de partida que auxilia a levar adiante a mudança. Se a vida envolve contradição e mudança e se podemos dizer que o direito internacional tem não </w:t>
      </w:r>
      <w:r>
        <w:rPr>
          <w:sz w:val="20"/>
          <w:szCs w:val="20"/>
        </w:rPr>
        <w:lastRenderedPageBreak/>
        <w:t>apenas uma ‘existência’, mas também, uma ‘vida’ própria, daí a noção de legitimidade pode ser certamente de grande significado. (</w:t>
      </w:r>
      <w:r>
        <w:rPr>
          <w:iCs/>
          <w:sz w:val="20"/>
          <w:szCs w:val="20"/>
        </w:rPr>
        <w:t>tradução nossa</w:t>
      </w:r>
      <w:r>
        <w:rPr>
          <w:sz w:val="20"/>
          <w:szCs w:val="20"/>
        </w:rPr>
        <w:t>).</w:t>
      </w:r>
    </w:p>
    <w:p w14:paraId="73998C64" w14:textId="77777777" w:rsidR="003042B8" w:rsidRDefault="003042B8" w:rsidP="003042B8">
      <w:pPr>
        <w:ind w:left="2268"/>
      </w:pPr>
    </w:p>
    <w:p w14:paraId="64ABC08D" w14:textId="77777777" w:rsidR="003042B8" w:rsidRDefault="003042B8" w:rsidP="003042B8">
      <w:pPr>
        <w:ind w:firstLine="708"/>
      </w:pPr>
      <w:r>
        <w:t>O autor se refere aos avanços na interpretação de normas que são consideradas inteiramente legítimas, porquanto feitas “</w:t>
      </w:r>
      <w:proofErr w:type="spellStart"/>
      <w:r>
        <w:rPr>
          <w:i/>
          <w:iCs/>
        </w:rPr>
        <w:t>within</w:t>
      </w:r>
      <w:proofErr w:type="spellEnd"/>
      <w:r>
        <w:rPr>
          <w:i/>
          <w:iCs/>
        </w:rPr>
        <w:t xml:space="preserve"> </w:t>
      </w:r>
      <w:proofErr w:type="spellStart"/>
      <w:r>
        <w:rPr>
          <w:i/>
          <w:iCs/>
        </w:rPr>
        <w:t>the</w:t>
      </w:r>
      <w:proofErr w:type="spellEnd"/>
      <w:r>
        <w:rPr>
          <w:i/>
          <w:iCs/>
        </w:rPr>
        <w:t xml:space="preserve"> </w:t>
      </w:r>
      <w:proofErr w:type="spellStart"/>
      <w:r>
        <w:rPr>
          <w:i/>
          <w:iCs/>
        </w:rPr>
        <w:t>law</w:t>
      </w:r>
      <w:proofErr w:type="spellEnd"/>
      <w:r>
        <w:t>”</w:t>
      </w:r>
      <w:r>
        <w:rPr>
          <w:rStyle w:val="ncoradanotaderodap"/>
        </w:rPr>
        <w:footnoteReference w:id="52"/>
      </w:r>
      <w:r>
        <w:t xml:space="preserve">, isto é, não prescindem de uma abordagem jurídica, mas permitem uma inovação. </w:t>
      </w:r>
    </w:p>
    <w:p w14:paraId="2C06D48A" w14:textId="01AA8929" w:rsidR="003042B8" w:rsidRDefault="003042B8" w:rsidP="003042B8">
      <w:pPr>
        <w:ind w:firstLine="708"/>
      </w:pPr>
      <w:r>
        <w:t xml:space="preserve">Todos os atributos brevemente analisados dentro do modelo tradicional de produção do direito internacional sofreram fortes incidências conceituais e práticas, a partir do reconhecimento das Organizações Internacionais como sujeitos do direito internacional. </w:t>
      </w:r>
      <w:r w:rsidR="005C6EC5">
        <w:t>Para os fins do presente artigo</w:t>
      </w:r>
      <w:r>
        <w:t xml:space="preserve"> cabe destacar</w:t>
      </w:r>
      <w:r w:rsidR="005C6EC5">
        <w:t>, apenas,</w:t>
      </w:r>
      <w:r>
        <w:t xml:space="preserve"> que tal reconhecimento remodelou o processo de produção normativa no direito internacional e desafia, desde então, a legitimidade percebida na emanação de seus instrumentos. Neste sentido Boyle e </w:t>
      </w:r>
      <w:proofErr w:type="spellStart"/>
      <w:r>
        <w:t>Chinkin</w:t>
      </w:r>
      <w:proofErr w:type="spellEnd"/>
      <w:r>
        <w:t xml:space="preserve"> afirmam que:</w:t>
      </w:r>
      <w:r>
        <w:rPr>
          <w:rStyle w:val="ncoradanotaderodap"/>
          <w:sz w:val="20"/>
          <w:szCs w:val="20"/>
          <w:lang w:val="en-US"/>
        </w:rPr>
        <w:footnoteReference w:id="53"/>
      </w:r>
    </w:p>
    <w:p w14:paraId="1D147A84" w14:textId="77777777" w:rsidR="003042B8" w:rsidRDefault="003042B8" w:rsidP="003042B8">
      <w:pPr>
        <w:ind w:firstLine="708"/>
      </w:pPr>
    </w:p>
    <w:p w14:paraId="35ACDF43" w14:textId="77777777" w:rsidR="003042B8" w:rsidRDefault="003042B8" w:rsidP="003042B8">
      <w:pPr>
        <w:spacing w:line="240" w:lineRule="auto"/>
        <w:ind w:left="2268"/>
        <w:rPr>
          <w:sz w:val="20"/>
          <w:szCs w:val="20"/>
        </w:rPr>
      </w:pPr>
      <w:r>
        <w:rPr>
          <w:sz w:val="20"/>
          <w:szCs w:val="20"/>
        </w:rPr>
        <w:t xml:space="preserve">Nesse contexto, a legitimidade torna-se uma questão crítica quando as instituições internacionais adquirem poder para tomar decisões vinculantes aos Estados sem seu consentimento específico, e mais especialmente quando essas decisões equivalem a legislar para todos os Estados. No entanto, o consentimento dos Estados é cada vez mais atenuado pela escala e alcance da elaboração de leis por instituições multilaterais e por alguns dos métodos que empregam. (tradução nossa). </w:t>
      </w:r>
    </w:p>
    <w:p w14:paraId="43FDE7DA" w14:textId="77777777" w:rsidR="003042B8" w:rsidRDefault="003042B8" w:rsidP="003042B8">
      <w:pPr>
        <w:ind w:left="2268"/>
      </w:pPr>
    </w:p>
    <w:p w14:paraId="7EB48037" w14:textId="77777777" w:rsidR="003042B8" w:rsidRDefault="003042B8" w:rsidP="003042B8">
      <w:pPr>
        <w:ind w:firstLine="708"/>
      </w:pPr>
      <w:r>
        <w:t xml:space="preserve">Os meios de produção do direito internacional contemporâneo desafiam pela ausência de consentimento expresso do Estado - o modelo de produção tradicional deste ramo jurídico. A validade, a legalidade e a legitimidade aparecem desafiadas por inúmeros vieses. </w:t>
      </w:r>
    </w:p>
    <w:p w14:paraId="6DA7BF01" w14:textId="7F970BB2" w:rsidR="003042B8" w:rsidRDefault="003042B8" w:rsidP="003042B8">
      <w:pPr>
        <w:ind w:firstLine="708"/>
      </w:pPr>
      <w:r>
        <w:t xml:space="preserve">A título exemplificativo, limitar-se-á, a </w:t>
      </w:r>
      <w:r w:rsidR="002867A2">
        <w:t xml:space="preserve">tratar a </w:t>
      </w:r>
      <w:r>
        <w:t xml:space="preserve">respeito </w:t>
      </w:r>
      <w:r w:rsidR="002867A2">
        <w:t>da</w:t>
      </w:r>
      <w:r>
        <w:t xml:space="preserve"> participação das Organizações Não Governamentais (ONGs) nas negociações dos tratados internacionais. </w:t>
      </w:r>
    </w:p>
    <w:p w14:paraId="57578179" w14:textId="77777777" w:rsidR="003042B8" w:rsidRDefault="003042B8" w:rsidP="003042B8">
      <w:pPr>
        <w:ind w:firstLine="708"/>
      </w:pPr>
      <w:r>
        <w:lastRenderedPageBreak/>
        <w:t xml:space="preserve">Boyle e </w:t>
      </w:r>
      <w:proofErr w:type="spellStart"/>
      <w:r>
        <w:t>Chinkin</w:t>
      </w:r>
      <w:proofErr w:type="spellEnd"/>
      <w:r>
        <w:t xml:space="preserve"> </w:t>
      </w:r>
      <w:r>
        <w:rPr>
          <w:rStyle w:val="ncoradanotaderodap"/>
        </w:rPr>
        <w:footnoteReference w:id="54"/>
      </w:r>
      <w:r>
        <w:t xml:space="preserve">relatam como a presença das ONGs nestes espaços, até então ocupados exclusivamente pelos Estados, de um lado, repara o déficit democrático dos processos internacionais e de outro, para muitos, coloca em xeque a legitimidade destes processos, como se a presença das ONGs esvaziasse estes processos de legitimidade. </w:t>
      </w:r>
    </w:p>
    <w:p w14:paraId="530EDF64" w14:textId="33A83D34" w:rsidR="003042B8" w:rsidRDefault="003042B8" w:rsidP="003042B8">
      <w:pPr>
        <w:ind w:firstLine="708"/>
      </w:pPr>
      <w:r>
        <w:t xml:space="preserve">O engajamento das ONGs na litigância internacional, também, foi percebido por Boyle e </w:t>
      </w:r>
      <w:proofErr w:type="spellStart"/>
      <w:r>
        <w:t>Chinkin</w:t>
      </w:r>
      <w:proofErr w:type="spellEnd"/>
      <w:r>
        <w:t xml:space="preserve"> ao comentarem acerca da pronúncia da </w:t>
      </w:r>
      <w:r w:rsidR="005C6EC5">
        <w:t>juíza</w:t>
      </w:r>
      <w:r>
        <w:t xml:space="preserve"> Oda, na Opinião Consultiva sobre Armas Nucleares. A magistrada entendia que as ONGs não tinham legitimidade para solicitar tal opinião consultiva, já o Juiz </w:t>
      </w:r>
      <w:proofErr w:type="spellStart"/>
      <w:r>
        <w:t>Weeramantry</w:t>
      </w:r>
      <w:proofErr w:type="spellEnd"/>
      <w:r>
        <w:t>, em entendimento divergente, ilustrou seu argumento notando que devido à quantidade de comunicações recebidas pela Corte e devido a cerca de dois milhões de assinaturas de inúmeras organizações e indivíduos, tal presença não poderia ser totalmente deslegitimada pois evidenciava uma certa opinião pública global sobre o tema</w:t>
      </w:r>
      <w:r>
        <w:rPr>
          <w:rStyle w:val="ncoradanotaderodap"/>
        </w:rPr>
        <w:footnoteReference w:id="55"/>
      </w:r>
      <w:r>
        <w:t xml:space="preserve">. </w:t>
      </w:r>
    </w:p>
    <w:p w14:paraId="7C9CD066" w14:textId="37288AAE" w:rsidR="003042B8" w:rsidRDefault="003042B8" w:rsidP="003042B8">
      <w:pPr>
        <w:ind w:firstLine="708"/>
      </w:pPr>
      <w:r>
        <w:t xml:space="preserve">Ao estudar a legitimidade em termos binários, a conclusão não levará a grandes avanços na busca por compreender a forma como o direito internacional contemporâneo tem interagido com os atributos clássicos de um modelo de produção tradicional do direito internacional. Isto porque ao se considerar, por exemplo, que ONGs simplesmente não são sujeitos legitimados a ocupar espaços de negociação, a discussão se encerrará sem a devida reflexão. É por isto que o conceito de legitimidade escalonada, trazido por </w:t>
      </w:r>
      <w:proofErr w:type="spellStart"/>
      <w:r>
        <w:t>Martì</w:t>
      </w:r>
      <w:proofErr w:type="spellEnd"/>
      <w:r>
        <w:t xml:space="preserve"> dá uma nuance mais precisa do que se pretende trazer até aqui </w:t>
      </w:r>
      <w:r w:rsidR="002867A2">
        <w:t>no presente artigo</w:t>
      </w:r>
      <w:r>
        <w:t>.  Para o autor</w:t>
      </w:r>
      <w:r>
        <w:rPr>
          <w:rStyle w:val="ncoradanotaderodap"/>
          <w:sz w:val="20"/>
          <w:szCs w:val="20"/>
          <w:lang w:val="en-US"/>
        </w:rPr>
        <w:footnoteReference w:id="56"/>
      </w:r>
      <w:r>
        <w:t xml:space="preserve">: </w:t>
      </w:r>
    </w:p>
    <w:p w14:paraId="26F3C76D" w14:textId="77777777" w:rsidR="003042B8" w:rsidRDefault="003042B8" w:rsidP="003042B8">
      <w:pPr>
        <w:ind w:firstLine="708"/>
      </w:pPr>
    </w:p>
    <w:p w14:paraId="71366980" w14:textId="77777777" w:rsidR="003042B8" w:rsidRDefault="003042B8" w:rsidP="003042B8">
      <w:pPr>
        <w:spacing w:line="240" w:lineRule="auto"/>
        <w:ind w:left="2268"/>
      </w:pPr>
      <w:r>
        <w:rPr>
          <w:sz w:val="20"/>
          <w:szCs w:val="20"/>
        </w:rPr>
        <w:t>O padrão ideal de legitimidade é concebido como uma escala que pode ser usada para avaliar os diferentes graus de legitimidade que instituições reais, decisões ou mecanismos legislativos têm no mundo real. A legitimidade real, para aqueles que adotam essa visão, vem em degraus. (</w:t>
      </w:r>
      <w:r>
        <w:rPr>
          <w:iCs/>
          <w:sz w:val="20"/>
          <w:szCs w:val="20"/>
        </w:rPr>
        <w:t>tradução nossa</w:t>
      </w:r>
      <w:r>
        <w:rPr>
          <w:sz w:val="20"/>
          <w:szCs w:val="20"/>
        </w:rPr>
        <w:t>).</w:t>
      </w:r>
    </w:p>
    <w:p w14:paraId="4F7A4996" w14:textId="77777777" w:rsidR="003042B8" w:rsidRDefault="003042B8" w:rsidP="003042B8">
      <w:pPr>
        <w:ind w:firstLine="708"/>
      </w:pPr>
    </w:p>
    <w:p w14:paraId="2165E386" w14:textId="77777777" w:rsidR="003042B8" w:rsidRDefault="003042B8" w:rsidP="003042B8">
      <w:pPr>
        <w:ind w:firstLine="708"/>
      </w:pPr>
      <w:r>
        <w:t xml:space="preserve">O autor entende a legitimidade como um conceito ligado a contextos democráticos e busca encontrar os seus elementos centrais, tais como, o controle popular, a igualdade democrática e a contestabilidade deliberativa, também no direito internacional. </w:t>
      </w:r>
    </w:p>
    <w:p w14:paraId="5CD651F6" w14:textId="21082C9A" w:rsidR="003042B8" w:rsidRDefault="003042B8" w:rsidP="003042B8">
      <w:pPr>
        <w:ind w:firstLine="708"/>
      </w:pPr>
      <w:r>
        <w:t xml:space="preserve">Ao realizar este cotejamento entre democracia e legitimidade no direito internacional, o autor realça alguns aspectos, sendo o primeiro deles a diminuição do papel dos Estados no processo de </w:t>
      </w:r>
      <w:proofErr w:type="spellStart"/>
      <w:r>
        <w:rPr>
          <w:i/>
          <w:iCs/>
        </w:rPr>
        <w:t>law</w:t>
      </w:r>
      <w:proofErr w:type="spellEnd"/>
      <w:r>
        <w:rPr>
          <w:i/>
          <w:iCs/>
        </w:rPr>
        <w:t>-making</w:t>
      </w:r>
      <w:r>
        <w:t xml:space="preserve"> de importantes regimes internacionais. Ele menciona a presença marcante das ONGs na contribuição da legislação em direitos humanos, direito ambiental </w:t>
      </w:r>
      <w:r w:rsidR="00FD0BF6">
        <w:rPr>
          <w:rStyle w:val="Refdenotaderodap"/>
        </w:rPr>
        <w:footnoteReference w:id="57"/>
      </w:r>
      <w:r>
        <w:t xml:space="preserve">e no âmbito criminal. </w:t>
      </w:r>
    </w:p>
    <w:p w14:paraId="251332BF" w14:textId="77777777" w:rsidR="003042B8" w:rsidRDefault="003042B8" w:rsidP="003042B8">
      <w:pPr>
        <w:ind w:firstLine="708"/>
      </w:pPr>
      <w:r>
        <w:t xml:space="preserve">Em um segundo momento constata o fato que, apesar da igualdade formal dos Estados para o direito internacional, nem todos eles são democráticos do ponto de vista de seu direito interno, mas não deixam assim de obter direito ao voto das assembleias internacionais. </w:t>
      </w:r>
    </w:p>
    <w:p w14:paraId="6C8E7DD6" w14:textId="77777777" w:rsidR="003042B8" w:rsidRDefault="003042B8" w:rsidP="003042B8">
      <w:pPr>
        <w:ind w:firstLine="708"/>
      </w:pPr>
      <w:r>
        <w:t xml:space="preserve">Para Martí, o princípio do controle popular efetivo não está garantido no direito internacional, uma vez que, inexistem mecanismos específicos para permitir às pessoas de “exercer um controle efetivo sobre as instituições internacionais e o </w:t>
      </w:r>
      <w:proofErr w:type="spellStart"/>
      <w:r>
        <w:rPr>
          <w:i/>
          <w:iCs/>
        </w:rPr>
        <w:t>law</w:t>
      </w:r>
      <w:proofErr w:type="spellEnd"/>
      <w:r>
        <w:rPr>
          <w:i/>
          <w:iCs/>
        </w:rPr>
        <w:t>-making</w:t>
      </w:r>
      <w:r>
        <w:t xml:space="preserve"> internacional”</w:t>
      </w:r>
      <w:r>
        <w:rPr>
          <w:rStyle w:val="ncoradanotaderodap"/>
        </w:rPr>
        <w:footnoteReference w:id="58"/>
      </w:r>
      <w:r>
        <w:t>. (</w:t>
      </w:r>
      <w:r>
        <w:rPr>
          <w:iCs/>
        </w:rPr>
        <w:t>tradução nossa</w:t>
      </w:r>
      <w:r>
        <w:t>).</w:t>
      </w:r>
    </w:p>
    <w:p w14:paraId="575A200C" w14:textId="6F4B7798" w:rsidR="003042B8" w:rsidRDefault="002867A2" w:rsidP="003042B8">
      <w:pPr>
        <w:ind w:firstLine="708"/>
      </w:pPr>
      <w:r>
        <w:t>O</w:t>
      </w:r>
      <w:r w:rsidR="003042B8">
        <w:t xml:space="preserve"> desejo do autor</w:t>
      </w:r>
      <w:r w:rsidR="003042B8">
        <w:rPr>
          <w:rStyle w:val="ncoradanotaderodap"/>
        </w:rPr>
        <w:footnoteReference w:id="59"/>
      </w:r>
      <w:r w:rsidR="003042B8">
        <w:t xml:space="preserve"> é que as fontes do direito internacional possam estar mais conectadas com o conceito de legitimidade democrática e que para isto um modesto início seria o da maior participação das ONGs nos processos de </w:t>
      </w:r>
      <w:proofErr w:type="spellStart"/>
      <w:r w:rsidR="003042B8">
        <w:rPr>
          <w:i/>
          <w:iCs/>
        </w:rPr>
        <w:t>law</w:t>
      </w:r>
      <w:proofErr w:type="spellEnd"/>
      <w:r w:rsidR="003042B8">
        <w:rPr>
          <w:i/>
          <w:iCs/>
        </w:rPr>
        <w:t>-making internacional</w:t>
      </w:r>
      <w:r w:rsidR="003042B8">
        <w:t xml:space="preserve">. </w:t>
      </w:r>
    </w:p>
    <w:p w14:paraId="378C466D" w14:textId="77777777" w:rsidR="003042B8" w:rsidRDefault="003042B8" w:rsidP="003042B8">
      <w:pPr>
        <w:ind w:firstLine="708"/>
      </w:pPr>
      <w:r>
        <w:t xml:space="preserve">Assim, fica evidente como a legitimidade, também, se coloca de maneira diferenciada à medida em que se analisa a formação do direito internacional sob um enfoque tradicional ou não, refletindo mais um dos palcos de tensão onde diferentes interesses atuam no direito internacional. </w:t>
      </w:r>
    </w:p>
    <w:p w14:paraId="1B7683D0" w14:textId="77777777" w:rsidR="003042B8" w:rsidRDefault="003042B8" w:rsidP="003042B8">
      <w:pPr>
        <w:rPr>
          <w:b/>
          <w:bCs/>
        </w:rPr>
      </w:pPr>
    </w:p>
    <w:p w14:paraId="2CAB8F97" w14:textId="48A15C72" w:rsidR="003042B8" w:rsidRPr="005C6EC5" w:rsidRDefault="003042B8" w:rsidP="003042B8">
      <w:pPr>
        <w:pStyle w:val="Ttulo3"/>
        <w:numPr>
          <w:ilvl w:val="2"/>
          <w:numId w:val="2"/>
        </w:numPr>
        <w:rPr>
          <w:b/>
          <w:bCs/>
          <w:i w:val="0"/>
          <w:iCs/>
        </w:rPr>
      </w:pPr>
      <w:bookmarkStart w:id="10" w:name="__RefHeading___Toc122561931"/>
      <w:bookmarkStart w:id="11" w:name="_Toc122633232"/>
      <w:bookmarkEnd w:id="10"/>
      <w:r w:rsidRPr="005C6EC5">
        <w:rPr>
          <w:b/>
          <w:bCs/>
          <w:i w:val="0"/>
          <w:iCs/>
        </w:rPr>
        <w:t>2.4 A obrigatoriedade da norma jurídica legal, válida e legítima</w:t>
      </w:r>
      <w:bookmarkEnd w:id="11"/>
      <w:r w:rsidRPr="005C6EC5">
        <w:rPr>
          <w:b/>
          <w:bCs/>
          <w:i w:val="0"/>
          <w:iCs/>
        </w:rPr>
        <w:t xml:space="preserve"> </w:t>
      </w:r>
    </w:p>
    <w:p w14:paraId="4CB06334" w14:textId="77777777" w:rsidR="003042B8" w:rsidRDefault="003042B8" w:rsidP="003042B8"/>
    <w:p w14:paraId="25DAA972" w14:textId="77777777" w:rsidR="003042B8" w:rsidRDefault="003042B8" w:rsidP="003042B8">
      <w:pPr>
        <w:ind w:firstLine="708"/>
      </w:pPr>
      <w:r>
        <w:t xml:space="preserve">A obrigatoriedade parece ser o centro da ciência jurídica. Segue-se uma norma jurídica porque ela é obrigatória, não há margem para a escolha, o seu cumprimento não é facultativo. </w:t>
      </w:r>
    </w:p>
    <w:p w14:paraId="50A32EF0" w14:textId="77777777" w:rsidR="003042B8" w:rsidRDefault="003042B8" w:rsidP="003042B8">
      <w:pPr>
        <w:ind w:firstLine="708"/>
      </w:pPr>
      <w:r>
        <w:t xml:space="preserve">No âmbito do direito internacional tal elemento apresenta certas complexidades, uma vez que, o Estado como ator clássico só se obriga a uma norma se consentir e mesmo que o faça e sua conduta seja dissonante ao pactuado, no direito internacional, não existe um sistema centralizado de imposição de sanções por violação de normas.  </w:t>
      </w:r>
    </w:p>
    <w:p w14:paraId="1F4C93B1" w14:textId="77777777" w:rsidR="003042B8" w:rsidRDefault="003042B8" w:rsidP="003042B8">
      <w:pPr>
        <w:ind w:firstLine="708"/>
      </w:pPr>
      <w:r>
        <w:t xml:space="preserve">Onde reside a obrigatoriedade? Na norma em si ou no sentimento daquele que a observa? Se a norma segue um processo de formação convencional como no caso de tratados, a obrigatoriedade reside no fato do tratado estar baseado no princípio do </w:t>
      </w:r>
      <w:r>
        <w:rPr>
          <w:i/>
          <w:iCs/>
        </w:rPr>
        <w:t>pacta sunt servanda</w:t>
      </w:r>
      <w:r>
        <w:rPr>
          <w:rStyle w:val="ncoradanotaderodap"/>
          <w:i/>
          <w:iCs/>
        </w:rPr>
        <w:footnoteReference w:id="60"/>
      </w:r>
      <w:r>
        <w:t>. Já se um Estado se conforma a uma determinada conduta por acreditar, por sentir que esta conduta é obrigatória não foi o seu modo de formação formal que deu o tônus da obrigatoriedade, mas sim, o comportamento do Estado como elemento material e sua convicção que tal prática era obrigatória, como elemento psicológico.</w:t>
      </w:r>
    </w:p>
    <w:p w14:paraId="57CAB35C" w14:textId="77777777" w:rsidR="003042B8" w:rsidRDefault="003042B8" w:rsidP="003042B8">
      <w:pPr>
        <w:ind w:firstLine="708"/>
      </w:pPr>
      <w:r>
        <w:t>Abbott</w:t>
      </w:r>
      <w:r>
        <w:rPr>
          <w:rStyle w:val="ncoradanotaderodap"/>
        </w:rPr>
        <w:footnoteReference w:id="61"/>
      </w:r>
      <w:r>
        <w:t xml:space="preserve"> </w:t>
      </w:r>
      <w:r>
        <w:rPr>
          <w:i/>
          <w:iCs/>
        </w:rPr>
        <w:t>et al</w:t>
      </w:r>
      <w:r>
        <w:t xml:space="preserve"> insere a “obrigação” no seu conceito de “</w:t>
      </w:r>
      <w:proofErr w:type="spellStart"/>
      <w:r>
        <w:rPr>
          <w:i/>
          <w:iCs/>
        </w:rPr>
        <w:t>legalization</w:t>
      </w:r>
      <w:proofErr w:type="spellEnd"/>
      <w:r>
        <w:t xml:space="preserve">” utilizando-a de forma a criar uma ponte entre o pensamento jurídico e a ciência política. O autor ao se afastar do entendimento pelo qual é necessária uma soberania coercitiva para a compreensão do direito, opta pelo termo “legalização”, entendido justamente como uma forma de institucionalização caracterizada pelos elementos da obrigação, precisão e delegação. </w:t>
      </w:r>
    </w:p>
    <w:p w14:paraId="164FA3E5" w14:textId="77777777" w:rsidR="003042B8" w:rsidRDefault="003042B8" w:rsidP="003042B8">
      <w:pPr>
        <w:ind w:firstLine="708"/>
      </w:pPr>
      <w:r>
        <w:t xml:space="preserve">A obrigatoriedade representa um compromisso pelo qual o ator ou o Estado se vincula. A precisão diz respeito à clareza da obrigação, do comportamento devido e a delegação se refere ao fato que a um terceiro é </w:t>
      </w:r>
      <w:r>
        <w:lastRenderedPageBreak/>
        <w:t>garantida a autoridade com relação à dissolução de controvérsias ou interpretação da obrigação</w:t>
      </w:r>
      <w:r>
        <w:rPr>
          <w:rStyle w:val="ncoradanotaderodap"/>
        </w:rPr>
        <w:footnoteReference w:id="62"/>
      </w:r>
      <w:r>
        <w:t>.</w:t>
      </w:r>
    </w:p>
    <w:p w14:paraId="64B089C5" w14:textId="47582827" w:rsidR="003042B8" w:rsidRDefault="003042B8" w:rsidP="00723D0E">
      <w:pPr>
        <w:ind w:firstLine="708"/>
      </w:pPr>
      <w:r>
        <w:t>Assim, um tratado internacional que tenha sido corretamente firmado e do qual constem obrigações claras, mas que seja ausente de mecanismos de resolução de controvérsias não teria o rigor necessário dos três elementos trazidos pelos autores. É neste sentido que Abbott e outros afirmam que tais elementos não estão unidos sempre na mesma gradação e intensidade, mas que podem ser combinados de maneira diferente, a ponto de ser possível uma “</w:t>
      </w:r>
      <w:r>
        <w:rPr>
          <w:i/>
          <w:iCs/>
        </w:rPr>
        <w:t xml:space="preserve">soft </w:t>
      </w:r>
      <w:proofErr w:type="spellStart"/>
      <w:r>
        <w:rPr>
          <w:i/>
          <w:iCs/>
        </w:rPr>
        <w:t>legalization</w:t>
      </w:r>
      <w:proofErr w:type="spellEnd"/>
      <w:r>
        <w:t>”</w:t>
      </w:r>
      <w:r>
        <w:rPr>
          <w:rStyle w:val="ncoradanotaderodap"/>
        </w:rPr>
        <w:footnoteReference w:id="63"/>
      </w:r>
      <w:r>
        <w:t xml:space="preserve">. </w:t>
      </w:r>
    </w:p>
    <w:p w14:paraId="63A245AC" w14:textId="2424ACA8" w:rsidR="003042B8" w:rsidRDefault="003042B8" w:rsidP="003042B8">
      <w:pPr>
        <w:ind w:firstLine="708"/>
      </w:pPr>
      <w:r>
        <w:t xml:space="preserve">Assim, </w:t>
      </w:r>
      <w:r w:rsidR="00723D0E">
        <w:t xml:space="preserve">é bem possível que </w:t>
      </w:r>
      <w:r>
        <w:t>um dispositivo contenha a obrigatoriedade nos termos do art.26 da CVDT</w:t>
      </w:r>
      <w:r>
        <w:rPr>
          <w:rStyle w:val="ncoradanotaderodap"/>
        </w:rPr>
        <w:footnoteReference w:id="64"/>
      </w:r>
      <w:r>
        <w:t xml:space="preserve">, no âmbito de um tratado internacional, </w:t>
      </w:r>
      <w:r w:rsidR="00723D0E">
        <w:t>bem</w:t>
      </w:r>
      <w:r>
        <w:t xml:space="preserve"> </w:t>
      </w:r>
      <w:r w:rsidR="00723D0E">
        <w:t xml:space="preserve">como que </w:t>
      </w:r>
      <w:r>
        <w:t>as obrigações previstas sejam tão vagas que prejudiquem a clareza dos compromissos que deveriam ser adotados, deixando ampla margem para a conduta dos Estados-partes na apreciação de suas obrigações como ocorre com dispositivos no âmbito do direito internacional do meio ambiente quando da adoção de um catálogo de princípios gerais.</w:t>
      </w:r>
    </w:p>
    <w:p w14:paraId="6357C208" w14:textId="77777777" w:rsidR="003042B8" w:rsidRDefault="003042B8" w:rsidP="003042B8">
      <w:pPr>
        <w:ind w:firstLine="708"/>
      </w:pPr>
      <w:r>
        <w:t xml:space="preserve">Da mesma forma que acontece com qualquer outro conceito, não é possível descrever a evolução normativa do direito internacional sem levar em consideração os diferentes cenários, momentos históricos e correntes doutrinárias que influenciaram a vida do direito internacional. </w:t>
      </w:r>
    </w:p>
    <w:p w14:paraId="38BB91FC" w14:textId="77777777" w:rsidR="003042B8" w:rsidRDefault="003042B8" w:rsidP="003042B8">
      <w:pPr>
        <w:ind w:firstLine="708"/>
        <w:rPr>
          <w:rFonts w:eastAsia="Times New Roman"/>
          <w:lang w:eastAsia="pt-BR"/>
        </w:rPr>
      </w:pPr>
      <w:r>
        <w:rPr>
          <w:rFonts w:eastAsia="Times New Roman"/>
          <w:lang w:eastAsia="pt-BR"/>
        </w:rPr>
        <w:t xml:space="preserve">É válido reforçar, portanto, que todos estes conceitos: legitimidade, validade, juridicidade e obrigatoriedade, refletem inevitavelmente uma ordem de </w:t>
      </w:r>
      <w:r>
        <w:rPr>
          <w:rFonts w:eastAsia="Times New Roman"/>
          <w:lang w:eastAsia="pt-BR"/>
        </w:rPr>
        <w:lastRenderedPageBreak/>
        <w:t xml:space="preserve">poder que sofreu alterações ao longo dos séculos de formação do direito internacional. </w:t>
      </w:r>
    </w:p>
    <w:p w14:paraId="0EDC4BAA" w14:textId="69F8EDC6" w:rsidR="003042B8" w:rsidRPr="006D3F5B" w:rsidRDefault="003042B8" w:rsidP="003042B8">
      <w:pPr>
        <w:ind w:firstLine="708"/>
      </w:pPr>
      <w:r>
        <w:rPr>
          <w:rFonts w:eastAsia="Times New Roman"/>
          <w:lang w:eastAsia="pt-BR"/>
        </w:rPr>
        <w:t xml:space="preserve">Por certo que estes atributos elencados não exaurem os conotados da ciência jurídica, porém o objetivo </w:t>
      </w:r>
      <w:r w:rsidR="005C6EC5">
        <w:rPr>
          <w:rFonts w:eastAsia="Times New Roman"/>
          <w:lang w:eastAsia="pt-BR"/>
        </w:rPr>
        <w:t xml:space="preserve">do presente artigo </w:t>
      </w:r>
      <w:r>
        <w:rPr>
          <w:rFonts w:eastAsia="Times New Roman"/>
          <w:lang w:eastAsia="pt-BR"/>
        </w:rPr>
        <w:t>foi</w:t>
      </w:r>
      <w:r w:rsidR="005C6EC5">
        <w:rPr>
          <w:rFonts w:eastAsia="Times New Roman"/>
          <w:lang w:eastAsia="pt-BR"/>
        </w:rPr>
        <w:t xml:space="preserve"> o de</w:t>
      </w:r>
      <w:r>
        <w:rPr>
          <w:rFonts w:eastAsia="Times New Roman"/>
          <w:lang w:eastAsia="pt-BR"/>
        </w:rPr>
        <w:t xml:space="preserve"> levantar os que são considerados principais e que se correlacionam, mais proximamente, com o tema da </w:t>
      </w:r>
      <w:r>
        <w:rPr>
          <w:rFonts w:eastAsia="Times New Roman"/>
          <w:i/>
          <w:iCs/>
          <w:lang w:eastAsia="pt-BR"/>
        </w:rPr>
        <w:t xml:space="preserve">soft </w:t>
      </w:r>
      <w:proofErr w:type="spellStart"/>
      <w:r>
        <w:rPr>
          <w:rFonts w:eastAsia="Times New Roman"/>
          <w:i/>
          <w:iCs/>
          <w:lang w:eastAsia="pt-BR"/>
        </w:rPr>
        <w:t>law</w:t>
      </w:r>
      <w:proofErr w:type="spellEnd"/>
      <w:r w:rsidR="006D3F5B">
        <w:rPr>
          <w:rFonts w:eastAsia="Times New Roman"/>
          <w:i/>
          <w:iCs/>
          <w:lang w:eastAsia="pt-BR"/>
        </w:rPr>
        <w:t xml:space="preserve"> </w:t>
      </w:r>
      <w:r w:rsidR="006D3F5B">
        <w:rPr>
          <w:rFonts w:eastAsia="Times New Roman"/>
          <w:lang w:eastAsia="pt-BR"/>
        </w:rPr>
        <w:t xml:space="preserve">a fim de legitimar seu estudo dentro de um quadro contemporâneo de formação do direito internacional propondo um olhar alternativo aos atributos da norma supra estudados. </w:t>
      </w:r>
    </w:p>
    <w:p w14:paraId="066EF578" w14:textId="77777777" w:rsidR="00D42783" w:rsidRPr="00335EFE" w:rsidRDefault="00D42783">
      <w:pPr>
        <w:rPr>
          <w:rFonts w:eastAsia="Times New Roman"/>
          <w:b/>
          <w:bCs/>
          <w:lang w:eastAsia="pt-BR"/>
        </w:rPr>
      </w:pPr>
    </w:p>
    <w:p w14:paraId="18E29DF9" w14:textId="3E97C2D8" w:rsidR="00D854C7" w:rsidRPr="00641533" w:rsidRDefault="00D854C7">
      <w:pPr>
        <w:rPr>
          <w:rFonts w:eastAsia="Times New Roman"/>
          <w:b/>
          <w:bCs/>
          <w:lang w:eastAsia="pt-BR"/>
        </w:rPr>
      </w:pPr>
      <w:r w:rsidRPr="00641533">
        <w:rPr>
          <w:rFonts w:eastAsia="Times New Roman"/>
          <w:b/>
          <w:bCs/>
          <w:lang w:eastAsia="pt-BR"/>
        </w:rPr>
        <w:t xml:space="preserve">3. </w:t>
      </w:r>
      <w:r w:rsidR="00335EFE" w:rsidRPr="00641533">
        <w:rPr>
          <w:rFonts w:eastAsia="Times New Roman"/>
          <w:b/>
          <w:bCs/>
          <w:lang w:eastAsia="pt-BR"/>
        </w:rPr>
        <w:t>CONSIDERAÇÕES FINAIS</w:t>
      </w:r>
    </w:p>
    <w:p w14:paraId="4514C0E3" w14:textId="77777777" w:rsidR="00D42783" w:rsidRPr="00641533" w:rsidRDefault="00D42783">
      <w:pPr>
        <w:rPr>
          <w:rFonts w:eastAsia="Times New Roman"/>
          <w:b/>
          <w:bCs/>
          <w:lang w:eastAsia="pt-BR"/>
        </w:rPr>
      </w:pPr>
    </w:p>
    <w:p w14:paraId="3C550815" w14:textId="18219E41" w:rsidR="00D42783" w:rsidRDefault="00D42783" w:rsidP="00D42783">
      <w:pPr>
        <w:ind w:firstLine="708"/>
        <w:rPr>
          <w:rFonts w:eastAsia="Times New Roman"/>
          <w:lang w:eastAsia="pt-BR"/>
        </w:rPr>
      </w:pPr>
      <w:r w:rsidRPr="00D42783">
        <w:rPr>
          <w:rFonts w:eastAsia="Times New Roman"/>
          <w:lang w:eastAsia="pt-BR"/>
        </w:rPr>
        <w:t>A construção do direito</w:t>
      </w:r>
      <w:r>
        <w:rPr>
          <w:rFonts w:eastAsia="Times New Roman"/>
          <w:lang w:eastAsia="pt-BR"/>
        </w:rPr>
        <w:t xml:space="preserve"> internacional</w:t>
      </w:r>
      <w:r w:rsidRPr="00D42783">
        <w:rPr>
          <w:rFonts w:eastAsia="Times New Roman"/>
          <w:lang w:eastAsia="pt-BR"/>
        </w:rPr>
        <w:t xml:space="preserve"> como </w:t>
      </w:r>
      <w:r>
        <w:rPr>
          <w:rFonts w:eastAsia="Times New Roman"/>
          <w:lang w:eastAsia="pt-BR"/>
        </w:rPr>
        <w:t xml:space="preserve">sistema normativo passou por uma gama de discussões doutrinárias </w:t>
      </w:r>
      <w:r w:rsidR="00A364AC">
        <w:rPr>
          <w:rFonts w:eastAsia="Times New Roman"/>
          <w:lang w:eastAsia="pt-BR"/>
        </w:rPr>
        <w:t xml:space="preserve">que buscaram, com o nascimento dos Estados modernos, costurar os atributos clássicos da norma àquele que seria o molde de uma teoria geral do direito internacional. </w:t>
      </w:r>
    </w:p>
    <w:p w14:paraId="043EE109" w14:textId="643AF905" w:rsidR="00A364AC" w:rsidRDefault="00A364AC" w:rsidP="00D42783">
      <w:pPr>
        <w:ind w:firstLine="708"/>
        <w:rPr>
          <w:rFonts w:eastAsia="Times New Roman"/>
          <w:lang w:eastAsia="pt-BR"/>
        </w:rPr>
      </w:pPr>
      <w:r>
        <w:rPr>
          <w:rFonts w:eastAsia="Times New Roman"/>
          <w:lang w:eastAsia="pt-BR"/>
        </w:rPr>
        <w:t xml:space="preserve">Elementos como soberania e a necessidade de se justificar a cientificidade do direito internacional fizeram com que este ramo normativo se erguesse dentro de uma episteme mecanicista, analítica e fundada em critérios de validade, legalidade, legitimidade e obrigatoriedade que foram construídos na esteira de um positivismo jurídico clássico. </w:t>
      </w:r>
    </w:p>
    <w:p w14:paraId="1998B093" w14:textId="77777777" w:rsidR="0094388D" w:rsidRDefault="00B02808" w:rsidP="00D42783">
      <w:pPr>
        <w:ind w:firstLine="708"/>
        <w:rPr>
          <w:rFonts w:eastAsia="Times New Roman"/>
          <w:lang w:eastAsia="pt-BR"/>
        </w:rPr>
      </w:pPr>
      <w:r>
        <w:rPr>
          <w:rFonts w:eastAsia="Times New Roman"/>
          <w:lang w:eastAsia="pt-BR"/>
        </w:rPr>
        <w:t>Contudo, h</w:t>
      </w:r>
      <w:r w:rsidR="00A364AC">
        <w:rPr>
          <w:rFonts w:eastAsia="Times New Roman"/>
          <w:lang w:eastAsia="pt-BR"/>
        </w:rPr>
        <w:t>odiernamente,</w:t>
      </w:r>
      <w:r>
        <w:rPr>
          <w:rFonts w:eastAsia="Times New Roman"/>
          <w:lang w:eastAsia="pt-BR"/>
        </w:rPr>
        <w:t xml:space="preserve"> proliferam-se os instrumentos de </w:t>
      </w:r>
      <w:r w:rsidRPr="0094388D">
        <w:rPr>
          <w:rFonts w:eastAsia="Times New Roman"/>
          <w:i/>
          <w:iCs/>
          <w:lang w:eastAsia="pt-BR"/>
        </w:rPr>
        <w:t xml:space="preserve">soft </w:t>
      </w:r>
      <w:proofErr w:type="spellStart"/>
      <w:r w:rsidRPr="0094388D">
        <w:rPr>
          <w:rFonts w:eastAsia="Times New Roman"/>
          <w:i/>
          <w:iCs/>
          <w:lang w:eastAsia="pt-BR"/>
        </w:rPr>
        <w:t>law</w:t>
      </w:r>
      <w:proofErr w:type="spellEnd"/>
      <w:r>
        <w:rPr>
          <w:rFonts w:eastAsia="Times New Roman"/>
          <w:lang w:eastAsia="pt-BR"/>
        </w:rPr>
        <w:t xml:space="preserve"> sem que a doutrina conceda a eles o devido valor</w:t>
      </w:r>
      <w:r w:rsidR="0094388D">
        <w:rPr>
          <w:rFonts w:eastAsia="Times New Roman"/>
          <w:lang w:eastAsia="pt-BR"/>
        </w:rPr>
        <w:t xml:space="preserve"> na formação do direito internacional contemporâneo.</w:t>
      </w:r>
    </w:p>
    <w:p w14:paraId="68CA537C" w14:textId="79E7FAA5" w:rsidR="00587343" w:rsidRDefault="0094388D" w:rsidP="00587343">
      <w:pPr>
        <w:ind w:firstLine="708"/>
        <w:rPr>
          <w:rFonts w:eastAsia="Times New Roman"/>
          <w:lang w:eastAsia="pt-BR"/>
        </w:rPr>
      </w:pPr>
      <w:r>
        <w:rPr>
          <w:rFonts w:eastAsia="Times New Roman"/>
          <w:lang w:eastAsia="pt-BR"/>
        </w:rPr>
        <w:t xml:space="preserve"> </w:t>
      </w:r>
      <w:r w:rsidR="00B02808">
        <w:rPr>
          <w:rFonts w:eastAsia="Times New Roman"/>
          <w:lang w:eastAsia="pt-BR"/>
        </w:rPr>
        <w:t xml:space="preserve">Isto se dá pelo fato de que a </w:t>
      </w:r>
      <w:r w:rsidR="00B02808" w:rsidRPr="0094388D">
        <w:rPr>
          <w:rFonts w:eastAsia="Times New Roman"/>
          <w:i/>
          <w:iCs/>
          <w:lang w:eastAsia="pt-BR"/>
        </w:rPr>
        <w:t xml:space="preserve">soft </w:t>
      </w:r>
      <w:proofErr w:type="spellStart"/>
      <w:r w:rsidR="00B02808" w:rsidRPr="0094388D">
        <w:rPr>
          <w:rFonts w:eastAsia="Times New Roman"/>
          <w:i/>
          <w:iCs/>
          <w:lang w:eastAsia="pt-BR"/>
        </w:rPr>
        <w:t>law</w:t>
      </w:r>
      <w:proofErr w:type="spellEnd"/>
      <w:r>
        <w:rPr>
          <w:rFonts w:eastAsia="Times New Roman"/>
          <w:lang w:eastAsia="pt-BR"/>
        </w:rPr>
        <w:t xml:space="preserve"> - tanto como ato normativo em si quanto como produto do processo de formação de um ato internacional é, de um lado produzida, em grande medida, por atores não-estatais e, de outro</w:t>
      </w:r>
      <w:r w:rsidR="00587343">
        <w:rPr>
          <w:rFonts w:eastAsia="Times New Roman"/>
          <w:lang w:eastAsia="pt-BR"/>
        </w:rPr>
        <w:t xml:space="preserve"> carente dos atributos clássicos supramencionados</w:t>
      </w:r>
      <w:r w:rsidR="00A351D7">
        <w:rPr>
          <w:rFonts w:eastAsia="Times New Roman"/>
          <w:lang w:eastAsia="pt-BR"/>
        </w:rPr>
        <w:t xml:space="preserve"> (na visão positivista clássica).</w:t>
      </w:r>
    </w:p>
    <w:p w14:paraId="1882E6E7" w14:textId="226B8852" w:rsidR="00B02808" w:rsidRDefault="00B02808" w:rsidP="00D42783">
      <w:pPr>
        <w:ind w:firstLine="708"/>
        <w:rPr>
          <w:rFonts w:eastAsia="Times New Roman"/>
          <w:lang w:eastAsia="pt-BR"/>
        </w:rPr>
      </w:pPr>
      <w:r>
        <w:rPr>
          <w:rFonts w:eastAsia="Times New Roman"/>
          <w:lang w:eastAsia="pt-BR"/>
        </w:rPr>
        <w:t xml:space="preserve">O presente artigo buscou contrastar esta ideia ao redimensionar o alcance dos atributos da legalidade, validade, legitimidade e obrigatoriedade a fim de </w:t>
      </w:r>
      <w:r w:rsidRPr="00587343">
        <w:rPr>
          <w:rFonts w:eastAsia="Times New Roman"/>
          <w:i/>
          <w:iCs/>
          <w:lang w:eastAsia="pt-BR"/>
        </w:rPr>
        <w:t>permitir</w:t>
      </w:r>
      <w:r>
        <w:rPr>
          <w:rFonts w:eastAsia="Times New Roman"/>
          <w:lang w:eastAsia="pt-BR"/>
        </w:rPr>
        <w:t xml:space="preserve"> não apenas o </w:t>
      </w:r>
      <w:r w:rsidR="00587343">
        <w:rPr>
          <w:rFonts w:eastAsia="Times New Roman"/>
          <w:lang w:eastAsia="pt-BR"/>
        </w:rPr>
        <w:t>estudo,</w:t>
      </w:r>
      <w:r>
        <w:rPr>
          <w:rFonts w:eastAsia="Times New Roman"/>
          <w:lang w:eastAsia="pt-BR"/>
        </w:rPr>
        <w:t xml:space="preserve"> mas a </w:t>
      </w:r>
      <w:r w:rsidRPr="00587343">
        <w:rPr>
          <w:rFonts w:eastAsia="Times New Roman"/>
          <w:i/>
          <w:iCs/>
          <w:lang w:eastAsia="pt-BR"/>
        </w:rPr>
        <w:t>existência</w:t>
      </w:r>
      <w:r>
        <w:rPr>
          <w:rFonts w:eastAsia="Times New Roman"/>
          <w:lang w:eastAsia="pt-BR"/>
        </w:rPr>
        <w:t xml:space="preserve"> da </w:t>
      </w:r>
      <w:r w:rsidRPr="00587343">
        <w:rPr>
          <w:rFonts w:eastAsia="Times New Roman"/>
          <w:i/>
          <w:iCs/>
          <w:lang w:eastAsia="pt-BR"/>
        </w:rPr>
        <w:t xml:space="preserve">soft </w:t>
      </w:r>
      <w:proofErr w:type="spellStart"/>
      <w:r w:rsidRPr="00587343">
        <w:rPr>
          <w:rFonts w:eastAsia="Times New Roman"/>
          <w:i/>
          <w:iCs/>
          <w:lang w:eastAsia="pt-BR"/>
        </w:rPr>
        <w:t>law</w:t>
      </w:r>
      <w:proofErr w:type="spellEnd"/>
      <w:r>
        <w:rPr>
          <w:rFonts w:eastAsia="Times New Roman"/>
          <w:lang w:eastAsia="pt-BR"/>
        </w:rPr>
        <w:t xml:space="preserve"> como categoria normativa que</w:t>
      </w:r>
      <w:r w:rsidR="00587343">
        <w:rPr>
          <w:rFonts w:eastAsia="Times New Roman"/>
          <w:lang w:eastAsia="pt-BR"/>
        </w:rPr>
        <w:t xml:space="preserve"> deve</w:t>
      </w:r>
      <w:r>
        <w:rPr>
          <w:rFonts w:eastAsia="Times New Roman"/>
          <w:lang w:eastAsia="pt-BR"/>
        </w:rPr>
        <w:t xml:space="preserve"> ser inserida </w:t>
      </w:r>
      <w:r w:rsidR="00587343">
        <w:rPr>
          <w:rFonts w:eastAsia="Times New Roman"/>
          <w:lang w:eastAsia="pt-BR"/>
        </w:rPr>
        <w:t>dentro de um quadro de</w:t>
      </w:r>
      <w:r>
        <w:rPr>
          <w:rFonts w:eastAsia="Times New Roman"/>
          <w:lang w:eastAsia="pt-BR"/>
        </w:rPr>
        <w:t xml:space="preserve"> teoria geral do direito internacional</w:t>
      </w:r>
      <w:r w:rsidR="00587343">
        <w:rPr>
          <w:rFonts w:eastAsia="Times New Roman"/>
          <w:lang w:eastAsia="pt-BR"/>
        </w:rPr>
        <w:t xml:space="preserve"> a partir de uma perspectiva sistêmica e não mais mecanicista. </w:t>
      </w:r>
    </w:p>
    <w:p w14:paraId="375A4EB9" w14:textId="73C5C9B6" w:rsidR="00D42783" w:rsidRDefault="00D42783" w:rsidP="00D42783">
      <w:pPr>
        <w:ind w:firstLine="708"/>
        <w:rPr>
          <w:rFonts w:eastAsia="Times New Roman"/>
          <w:lang w:eastAsia="pt-BR"/>
        </w:rPr>
      </w:pPr>
      <w:r>
        <w:rPr>
          <w:rFonts w:eastAsia="Times New Roman"/>
          <w:lang w:eastAsia="pt-BR"/>
        </w:rPr>
        <w:lastRenderedPageBreak/>
        <w:t xml:space="preserve">Ao longo do artigo foi possível compreender </w:t>
      </w:r>
      <w:r w:rsidR="00587343">
        <w:rPr>
          <w:rFonts w:eastAsia="Times New Roman"/>
          <w:lang w:eastAsia="pt-BR"/>
        </w:rPr>
        <w:t xml:space="preserve">como os contornos que os atributos da norma possuem podem ser reinterpretados na medida do paradigma científico que se deseja adotar. </w:t>
      </w:r>
    </w:p>
    <w:p w14:paraId="3102F872" w14:textId="3E832C37" w:rsidR="00D42783" w:rsidRDefault="00D42783" w:rsidP="00D42783">
      <w:pPr>
        <w:ind w:firstLine="708"/>
        <w:rPr>
          <w:rFonts w:eastAsia="Times New Roman"/>
          <w:lang w:eastAsia="pt-BR"/>
        </w:rPr>
      </w:pPr>
      <w:r>
        <w:rPr>
          <w:rFonts w:eastAsia="Times New Roman"/>
          <w:lang w:eastAsia="pt-BR"/>
        </w:rPr>
        <w:t xml:space="preserve">O entendimento de que existem graus de normatividade dentro do direito internacional </w:t>
      </w:r>
      <w:r w:rsidRPr="00D42783">
        <w:rPr>
          <w:rFonts w:eastAsia="Times New Roman"/>
          <w:i/>
          <w:iCs/>
          <w:lang w:eastAsia="pt-BR"/>
        </w:rPr>
        <w:t>per se</w:t>
      </w:r>
      <w:r>
        <w:rPr>
          <w:rFonts w:eastAsia="Times New Roman"/>
          <w:lang w:eastAsia="pt-BR"/>
        </w:rPr>
        <w:t xml:space="preserve"> já se propõe como alternativa ao pensamento binário do ser ou não ser direito, do ser ou não ser legal e assim por diante. </w:t>
      </w:r>
    </w:p>
    <w:p w14:paraId="550981D4" w14:textId="4D66AFB4" w:rsidR="00D42783" w:rsidRDefault="00D42783" w:rsidP="00A351D7">
      <w:pPr>
        <w:ind w:firstLine="708"/>
        <w:rPr>
          <w:rFonts w:eastAsia="Times New Roman"/>
          <w:lang w:eastAsia="pt-BR"/>
        </w:rPr>
      </w:pPr>
      <w:r w:rsidRPr="00D42783">
        <w:rPr>
          <w:rFonts w:eastAsia="Times New Roman"/>
          <w:lang w:eastAsia="pt-BR"/>
        </w:rPr>
        <w:t>É no esteio desta compreensão</w:t>
      </w:r>
      <w:r>
        <w:rPr>
          <w:rFonts w:eastAsia="Times New Roman"/>
          <w:lang w:eastAsia="pt-BR"/>
        </w:rPr>
        <w:t xml:space="preserve"> contemporânea e sistêmica da formação do direito internacional que o debate crítico e aprofundado trazido por este artigo pretende contribuir ao se repensar a ciência jurídico-normativa internacional. </w:t>
      </w:r>
    </w:p>
    <w:p w14:paraId="09E51DC3" w14:textId="77777777" w:rsidR="00D42783" w:rsidRPr="00D42783" w:rsidRDefault="00D42783" w:rsidP="00D42783">
      <w:pPr>
        <w:ind w:firstLine="708"/>
        <w:rPr>
          <w:rFonts w:eastAsia="Times New Roman"/>
          <w:lang w:eastAsia="pt-BR"/>
        </w:rPr>
      </w:pPr>
    </w:p>
    <w:p w14:paraId="24B3A8F0" w14:textId="1DDD43D8" w:rsidR="00A219CC" w:rsidRPr="00FC5713" w:rsidRDefault="00A219CC" w:rsidP="00A219CC">
      <w:pPr>
        <w:widowControl w:val="0"/>
        <w:ind w:firstLine="709"/>
        <w:jc w:val="center"/>
        <w:rPr>
          <w:lang w:val="en-US"/>
        </w:rPr>
      </w:pPr>
      <w:r w:rsidRPr="00FC5713">
        <w:rPr>
          <w:lang w:val="en-US"/>
        </w:rPr>
        <w:t xml:space="preserve">The attributes of </w:t>
      </w:r>
      <w:r w:rsidR="00A351D7">
        <w:rPr>
          <w:lang w:val="en-US"/>
        </w:rPr>
        <w:t>a legal norm</w:t>
      </w:r>
      <w:r>
        <w:rPr>
          <w:lang w:val="en-US"/>
        </w:rPr>
        <w:t xml:space="preserve"> </w:t>
      </w:r>
      <w:r w:rsidR="00351030">
        <w:rPr>
          <w:lang w:val="en-US"/>
        </w:rPr>
        <w:t>and its relation</w:t>
      </w:r>
      <w:r>
        <w:rPr>
          <w:lang w:val="en-US"/>
        </w:rPr>
        <w:t xml:space="preserve"> to the traditional production model of international law</w:t>
      </w:r>
      <w:r w:rsidR="002E6223">
        <w:rPr>
          <w:lang w:val="en-US"/>
        </w:rPr>
        <w:t>: a</w:t>
      </w:r>
      <w:r>
        <w:rPr>
          <w:lang w:val="en-US"/>
        </w:rPr>
        <w:t xml:space="preserve"> debate </w:t>
      </w:r>
      <w:r w:rsidR="002E6223">
        <w:rPr>
          <w:lang w:val="en-US"/>
        </w:rPr>
        <w:t>on</w:t>
      </w:r>
      <w:r>
        <w:rPr>
          <w:lang w:val="en-US"/>
        </w:rPr>
        <w:t xml:space="preserve"> </w:t>
      </w:r>
      <w:r w:rsidRPr="00FC5713">
        <w:rPr>
          <w:i/>
          <w:iCs/>
          <w:lang w:val="en-US"/>
        </w:rPr>
        <w:t>soft law</w:t>
      </w:r>
    </w:p>
    <w:p w14:paraId="1B64B86F" w14:textId="77777777" w:rsidR="00A219CC" w:rsidRDefault="00A219CC" w:rsidP="00A219CC">
      <w:pPr>
        <w:widowControl w:val="0"/>
        <w:rPr>
          <w:b/>
          <w:bCs/>
          <w:lang w:val="en-US"/>
        </w:rPr>
      </w:pPr>
    </w:p>
    <w:p w14:paraId="1FECAFFD" w14:textId="43A16B9B" w:rsidR="00D42783" w:rsidRPr="00BC20B4" w:rsidRDefault="00D42783" w:rsidP="00D42783">
      <w:pPr>
        <w:widowControl w:val="0"/>
        <w:rPr>
          <w:lang w:val="en-US"/>
        </w:rPr>
      </w:pPr>
      <w:r w:rsidRPr="00BC20B4">
        <w:rPr>
          <w:lang w:val="en-US"/>
        </w:rPr>
        <w:t xml:space="preserve">Key-Words: </w:t>
      </w:r>
      <w:r w:rsidRPr="00BC20B4">
        <w:rPr>
          <w:i/>
          <w:iCs/>
          <w:lang w:val="en-US"/>
        </w:rPr>
        <w:t>soft law</w:t>
      </w:r>
      <w:r w:rsidRPr="00BC20B4">
        <w:rPr>
          <w:lang w:val="en-US"/>
        </w:rPr>
        <w:t xml:space="preserve"> – legality – validity – obrigator</w:t>
      </w:r>
      <w:r w:rsidR="00BC20B4" w:rsidRPr="00BC20B4">
        <w:rPr>
          <w:lang w:val="en-US"/>
        </w:rPr>
        <w:t>i</w:t>
      </w:r>
      <w:r w:rsidR="00BC20B4">
        <w:rPr>
          <w:lang w:val="en-US"/>
        </w:rPr>
        <w:t>ness</w:t>
      </w:r>
      <w:r w:rsidRPr="00BC20B4">
        <w:rPr>
          <w:lang w:val="en-US"/>
        </w:rPr>
        <w:t xml:space="preserve"> - legitimacy</w:t>
      </w:r>
    </w:p>
    <w:p w14:paraId="428FC105" w14:textId="77777777" w:rsidR="00D42783" w:rsidRPr="00BC20B4" w:rsidRDefault="00D42783" w:rsidP="00A219CC">
      <w:pPr>
        <w:widowControl w:val="0"/>
        <w:rPr>
          <w:b/>
          <w:bCs/>
          <w:lang w:val="en-US"/>
        </w:rPr>
      </w:pPr>
    </w:p>
    <w:p w14:paraId="2F50B2CE" w14:textId="77777777" w:rsidR="00D854C7" w:rsidRPr="00BC20B4" w:rsidRDefault="00D854C7">
      <w:pPr>
        <w:rPr>
          <w:rFonts w:eastAsia="Times New Roman"/>
          <w:lang w:val="en-US" w:eastAsia="pt-BR"/>
        </w:rPr>
      </w:pPr>
    </w:p>
    <w:p w14:paraId="7A58AF7B" w14:textId="6C7684C6" w:rsidR="00D854C7" w:rsidRPr="00BC20B4" w:rsidRDefault="00D854C7">
      <w:pPr>
        <w:rPr>
          <w:rFonts w:eastAsia="Times New Roman"/>
          <w:b/>
          <w:bCs/>
          <w:lang w:val="en-US" w:eastAsia="pt-BR"/>
        </w:rPr>
      </w:pPr>
      <w:r w:rsidRPr="00BC20B4">
        <w:rPr>
          <w:rFonts w:eastAsia="Times New Roman"/>
          <w:b/>
          <w:bCs/>
          <w:lang w:val="en-US" w:eastAsia="pt-BR"/>
        </w:rPr>
        <w:t xml:space="preserve">REFERÊNCIAS </w:t>
      </w:r>
    </w:p>
    <w:p w14:paraId="73028E51" w14:textId="441AAD44" w:rsidR="00D854C7" w:rsidRPr="00641533" w:rsidRDefault="00D854C7">
      <w:r>
        <w:rPr>
          <w:lang w:val="en-US"/>
        </w:rPr>
        <w:t xml:space="preserve">ABBOTT, Kenneth W. </w:t>
      </w:r>
      <w:r>
        <w:rPr>
          <w:i/>
          <w:iCs/>
          <w:lang w:val="en-US"/>
        </w:rPr>
        <w:t>et al</w:t>
      </w:r>
      <w:r>
        <w:rPr>
          <w:lang w:val="en-US"/>
        </w:rPr>
        <w:t xml:space="preserve">. </w:t>
      </w:r>
      <w:r>
        <w:rPr>
          <w:b/>
          <w:lang w:val="en-US"/>
        </w:rPr>
        <w:t>The concept of legalization</w:t>
      </w:r>
      <w:r>
        <w:rPr>
          <w:lang w:val="en-US"/>
        </w:rPr>
        <w:t xml:space="preserve">. </w:t>
      </w:r>
      <w:r w:rsidRPr="00641533">
        <w:t xml:space="preserve">In: </w:t>
      </w:r>
      <w:proofErr w:type="spellStart"/>
      <w:r w:rsidRPr="00641533">
        <w:t>International</w:t>
      </w:r>
      <w:proofErr w:type="spellEnd"/>
      <w:r w:rsidRPr="00641533">
        <w:t xml:space="preserve"> </w:t>
      </w:r>
      <w:proofErr w:type="spellStart"/>
      <w:r w:rsidRPr="00641533">
        <w:t>Organization</w:t>
      </w:r>
      <w:proofErr w:type="spellEnd"/>
      <w:r w:rsidRPr="00641533">
        <w:t xml:space="preserve"> 54, 3, Summer 2000</w:t>
      </w:r>
    </w:p>
    <w:p w14:paraId="0F139DD9" w14:textId="7E9B35FD" w:rsidR="00D854C7" w:rsidRDefault="00D854C7">
      <w:pPr>
        <w:rPr>
          <w:lang w:val="en-US"/>
        </w:rPr>
      </w:pPr>
      <w:r>
        <w:t xml:space="preserve">ACCIOLY, Hildebrando; CASELLA, Paulo Borba; NASCIMENTO e SILVA, G.E do. </w:t>
      </w:r>
      <w:r>
        <w:rPr>
          <w:b/>
        </w:rPr>
        <w:t>Manual de direito internacional</w:t>
      </w:r>
      <w:r>
        <w:t xml:space="preserve">. </w:t>
      </w:r>
      <w:r w:rsidRPr="00641533">
        <w:rPr>
          <w:lang w:val="en-US"/>
        </w:rPr>
        <w:t>São Paulo: Saraiva, 2012</w:t>
      </w:r>
    </w:p>
    <w:p w14:paraId="1B940212" w14:textId="77777777" w:rsidR="00D854C7" w:rsidRDefault="00D854C7">
      <w:pPr>
        <w:rPr>
          <w:lang w:val="en-US"/>
        </w:rPr>
      </w:pPr>
      <w:r w:rsidRPr="00D854C7">
        <w:rPr>
          <w:rFonts w:eastAsia="Arial"/>
          <w:lang w:val="en-US"/>
        </w:rPr>
        <w:t xml:space="preserve">ANNAN, Kofi. </w:t>
      </w:r>
      <w:r w:rsidRPr="00C43F55">
        <w:rPr>
          <w:lang w:val="en-US"/>
        </w:rPr>
        <w:t xml:space="preserve">UNITED NATIONS. </w:t>
      </w:r>
      <w:r>
        <w:rPr>
          <w:b/>
          <w:lang w:val="en-US"/>
        </w:rPr>
        <w:t>What tis the Rule of Law?</w:t>
      </w:r>
      <w:r>
        <w:rPr>
          <w:lang w:val="en-US"/>
        </w:rPr>
        <w:t xml:space="preserve"> (New York 2008).</w:t>
      </w:r>
    </w:p>
    <w:p w14:paraId="3824CE61" w14:textId="77777777" w:rsidR="00D854C7" w:rsidRDefault="00D854C7">
      <w:pPr>
        <w:rPr>
          <w:lang w:val="en-US"/>
        </w:rPr>
      </w:pPr>
      <w:r w:rsidRPr="005A07DB">
        <w:rPr>
          <w:lang w:val="en-US"/>
        </w:rPr>
        <w:t xml:space="preserve">BESSON, Samantha; TASIOULAS. John. </w:t>
      </w:r>
      <w:r w:rsidRPr="005A07DB">
        <w:rPr>
          <w:b/>
          <w:lang w:val="en-US"/>
        </w:rPr>
        <w:t>Moral Philosophy and International Law</w:t>
      </w:r>
      <w:r w:rsidRPr="005A07DB">
        <w:rPr>
          <w:lang w:val="en-US"/>
        </w:rPr>
        <w:t>. The Oxford Handbook of the Theory of International Law. New York: Oxford University Press, 2016</w:t>
      </w:r>
    </w:p>
    <w:p w14:paraId="73BCB375" w14:textId="293D8837" w:rsidR="00D854C7" w:rsidRPr="00641533" w:rsidRDefault="00D854C7">
      <w:r w:rsidRPr="005A07DB">
        <w:t xml:space="preserve">BRANT, Leonardo </w:t>
      </w:r>
      <w:proofErr w:type="spellStart"/>
      <w:r w:rsidRPr="005A07DB">
        <w:t>Nemer</w:t>
      </w:r>
      <w:proofErr w:type="spellEnd"/>
      <w:r w:rsidRPr="005A07DB">
        <w:t xml:space="preserve"> Caldeira. </w:t>
      </w:r>
      <w:r w:rsidRPr="005A07DB">
        <w:rPr>
          <w:b/>
        </w:rPr>
        <w:t>A Corte Internacional de justiça e a construção do direito internacional</w:t>
      </w:r>
      <w:r w:rsidRPr="005A07DB">
        <w:t xml:space="preserve">. </w:t>
      </w:r>
      <w:r w:rsidRPr="00641533">
        <w:t>Belo Horizonte: Lutador, 2005</w:t>
      </w:r>
    </w:p>
    <w:p w14:paraId="060F9484" w14:textId="5082773A" w:rsidR="00D854C7" w:rsidRDefault="00D854C7">
      <w:pPr>
        <w:rPr>
          <w:lang w:val="en-US"/>
        </w:rPr>
      </w:pPr>
      <w:r w:rsidRPr="00D854C7">
        <w:t xml:space="preserve">BRASIL, </w:t>
      </w:r>
      <w:r w:rsidRPr="00D854C7">
        <w:rPr>
          <w:b/>
        </w:rPr>
        <w:t>Decreto nº 7.030, de 14 de dezembro de 2009</w:t>
      </w:r>
      <w:r w:rsidRPr="00D854C7">
        <w:t xml:space="preserve">. </w:t>
      </w:r>
      <w:r>
        <w:t xml:space="preserve">Promulga a Convenção de Viena sobre o Direito dos Tratados, concluída em 23 de maio de 1969, com reserva aos artigos 25 e 66. </w:t>
      </w:r>
      <w:r>
        <w:rPr>
          <w:lang w:val="en-US"/>
        </w:rPr>
        <w:t>Brasília: DF, 2009</w:t>
      </w:r>
    </w:p>
    <w:p w14:paraId="2372EC38" w14:textId="0ADCF5EA" w:rsidR="00D854C7" w:rsidRPr="005C3F24" w:rsidRDefault="00D854C7">
      <w:pPr>
        <w:rPr>
          <w:lang w:val="en-US"/>
        </w:rPr>
      </w:pPr>
      <w:r w:rsidRPr="005C3F24">
        <w:rPr>
          <w:lang w:val="en-US"/>
        </w:rPr>
        <w:t xml:space="preserve">BÓDIG, </w:t>
      </w:r>
      <w:proofErr w:type="spellStart"/>
      <w:r w:rsidRPr="005C3F24">
        <w:rPr>
          <w:lang w:val="en-US"/>
        </w:rPr>
        <w:t>Mátyás</w:t>
      </w:r>
      <w:proofErr w:type="spellEnd"/>
      <w:r w:rsidRPr="005C3F24">
        <w:rPr>
          <w:lang w:val="en-US"/>
        </w:rPr>
        <w:t xml:space="preserve">. </w:t>
      </w:r>
      <w:r w:rsidRPr="005C3F24">
        <w:rPr>
          <w:b/>
          <w:lang w:val="en-US"/>
        </w:rPr>
        <w:t>Legal Validity, Soft Law, and International Human Rights Law</w:t>
      </w:r>
      <w:r w:rsidRPr="005C3F24">
        <w:rPr>
          <w:lang w:val="en-US"/>
        </w:rPr>
        <w:t>. In: Legal Validity and Soft Law. Springer, 2018</w:t>
      </w:r>
    </w:p>
    <w:p w14:paraId="7685D250" w14:textId="27CF77B9" w:rsidR="00D854C7" w:rsidRDefault="00D854C7">
      <w:pPr>
        <w:rPr>
          <w:lang w:val="en-US"/>
        </w:rPr>
      </w:pPr>
      <w:r>
        <w:rPr>
          <w:lang w:val="en-US"/>
        </w:rPr>
        <w:lastRenderedPageBreak/>
        <w:t xml:space="preserve">BOYLE, Alan; CHINKIN, Christine. </w:t>
      </w:r>
      <w:r>
        <w:rPr>
          <w:b/>
          <w:lang w:val="en-US"/>
        </w:rPr>
        <w:t>The Making of International Law (Foundations of Public International Law)</w:t>
      </w:r>
      <w:r>
        <w:rPr>
          <w:lang w:val="en-US"/>
        </w:rPr>
        <w:t>. New York: Oxford University Press, 2007.</w:t>
      </w:r>
    </w:p>
    <w:p w14:paraId="41BC0D40" w14:textId="665525F7" w:rsidR="00D854C7" w:rsidRPr="00641533" w:rsidRDefault="00D854C7">
      <w:r>
        <w:rPr>
          <w:lang w:val="en-US"/>
        </w:rPr>
        <w:t xml:space="preserve">CARPENTIER, Mathieu. </w:t>
      </w:r>
      <w:r>
        <w:rPr>
          <w:b/>
          <w:lang w:val="en-US"/>
        </w:rPr>
        <w:t>Sources and Validity</w:t>
      </w:r>
      <w:r>
        <w:rPr>
          <w:lang w:val="en-US"/>
        </w:rPr>
        <w:t xml:space="preserve">. In: Legal Validity and Soft Law. </w:t>
      </w:r>
      <w:r w:rsidRPr="00641533">
        <w:t>Springer, 2018</w:t>
      </w:r>
    </w:p>
    <w:p w14:paraId="4D79DE08" w14:textId="5747B3A5" w:rsidR="00D854C7" w:rsidRPr="00641533" w:rsidRDefault="00D854C7">
      <w:r w:rsidRPr="00D854C7">
        <w:t xml:space="preserve">CAPRA, </w:t>
      </w:r>
      <w:proofErr w:type="spellStart"/>
      <w:r w:rsidRPr="00D854C7">
        <w:t>Fritjof</w:t>
      </w:r>
      <w:proofErr w:type="spellEnd"/>
      <w:r w:rsidRPr="00D854C7">
        <w:t xml:space="preserve">; LUISI </w:t>
      </w:r>
      <w:proofErr w:type="spellStart"/>
      <w:r w:rsidRPr="00D854C7">
        <w:t>Pier</w:t>
      </w:r>
      <w:proofErr w:type="spellEnd"/>
      <w:r w:rsidRPr="00D854C7">
        <w:t xml:space="preserve"> Luigi. </w:t>
      </w:r>
      <w:r>
        <w:rPr>
          <w:b/>
        </w:rPr>
        <w:t xml:space="preserve">A visão sistêmica da Vida. </w:t>
      </w:r>
      <w:r>
        <w:t xml:space="preserve">Uma concepção unificada e suas implicações filosóficas, políticas, sociais e econômicas. </w:t>
      </w:r>
      <w:r w:rsidRPr="00641533">
        <w:t xml:space="preserve">São Paulo: </w:t>
      </w:r>
      <w:proofErr w:type="spellStart"/>
      <w:r w:rsidRPr="00641533">
        <w:t>Cultrix</w:t>
      </w:r>
      <w:proofErr w:type="spellEnd"/>
      <w:r w:rsidRPr="00641533">
        <w:t>, 2020</w:t>
      </w:r>
    </w:p>
    <w:p w14:paraId="2F726CAD" w14:textId="53C0042F" w:rsidR="00D854C7" w:rsidRPr="00641533" w:rsidRDefault="00D854C7">
      <w:r w:rsidRPr="00641533">
        <w:t xml:space="preserve">COMBACAU, Jean; SUR, Serge. </w:t>
      </w:r>
      <w:proofErr w:type="spellStart"/>
      <w:r w:rsidRPr="00641533">
        <w:rPr>
          <w:b/>
        </w:rPr>
        <w:t>Droit</w:t>
      </w:r>
      <w:proofErr w:type="spellEnd"/>
      <w:r w:rsidRPr="00641533">
        <w:rPr>
          <w:b/>
        </w:rPr>
        <w:t xml:space="preserve"> </w:t>
      </w:r>
      <w:proofErr w:type="spellStart"/>
      <w:r w:rsidRPr="00641533">
        <w:rPr>
          <w:b/>
        </w:rPr>
        <w:t>International</w:t>
      </w:r>
      <w:proofErr w:type="spellEnd"/>
      <w:r w:rsidRPr="00641533">
        <w:rPr>
          <w:b/>
        </w:rPr>
        <w:t xml:space="preserve"> Public</w:t>
      </w:r>
      <w:r w:rsidRPr="00641533">
        <w:t xml:space="preserve">. 8. ed. Paris: </w:t>
      </w:r>
      <w:proofErr w:type="spellStart"/>
      <w:r w:rsidRPr="00641533">
        <w:t>Montchrestien</w:t>
      </w:r>
      <w:proofErr w:type="spellEnd"/>
      <w:r w:rsidRPr="00641533">
        <w:t>, 2008</w:t>
      </w:r>
    </w:p>
    <w:p w14:paraId="4C8EFEF4" w14:textId="24D7BA86" w:rsidR="00D854C7" w:rsidRDefault="00D854C7">
      <w:r>
        <w:t xml:space="preserve">DUTRA, </w:t>
      </w:r>
      <w:proofErr w:type="spellStart"/>
      <w:r>
        <w:t>Delamar</w:t>
      </w:r>
      <w:proofErr w:type="spellEnd"/>
      <w:r>
        <w:t xml:space="preserve"> José </w:t>
      </w:r>
      <w:proofErr w:type="spellStart"/>
      <w:r>
        <w:t>Volpato</w:t>
      </w:r>
      <w:proofErr w:type="spellEnd"/>
      <w:r>
        <w:t xml:space="preserve">. A legalidade como forma de Estado de Direito. </w:t>
      </w:r>
      <w:r>
        <w:rPr>
          <w:b/>
        </w:rPr>
        <w:t>Revista de Filosofia</w:t>
      </w:r>
      <w:r>
        <w:t>. v. 45, n. 109, 2004</w:t>
      </w:r>
    </w:p>
    <w:p w14:paraId="637BC563" w14:textId="1E504E98" w:rsidR="00D854C7" w:rsidRPr="00D854C7" w:rsidRDefault="00D854C7">
      <w:r>
        <w:t xml:space="preserve">GRAU, Eros. </w:t>
      </w:r>
      <w:r>
        <w:rPr>
          <w:b/>
        </w:rPr>
        <w:t>Direito Posto e Direito Pressuposto</w:t>
      </w:r>
      <w:r>
        <w:t>. 7. ed. São Paulo: Malheiros Editores, 2008</w:t>
      </w:r>
    </w:p>
    <w:p w14:paraId="7D7B1901" w14:textId="767B2D67" w:rsidR="00D854C7" w:rsidRDefault="00D854C7">
      <w:pPr>
        <w:rPr>
          <w:lang w:val="en-US"/>
        </w:rPr>
      </w:pPr>
      <w:r w:rsidRPr="00B17D98">
        <w:rPr>
          <w:lang w:val="en-US"/>
        </w:rPr>
        <w:t xml:space="preserve">HAGE, Jaap. </w:t>
      </w:r>
      <w:r w:rsidRPr="00B17D98">
        <w:rPr>
          <w:b/>
          <w:lang w:val="en-US"/>
        </w:rPr>
        <w:t>What is legal validity? Lessons from soft law</w:t>
      </w:r>
      <w:r w:rsidRPr="00B17D98">
        <w:rPr>
          <w:lang w:val="en-US"/>
        </w:rPr>
        <w:t>. In: Legal Validity and Soft Law. Springer, 2018</w:t>
      </w:r>
    </w:p>
    <w:p w14:paraId="7AEE1CE7" w14:textId="085D821D" w:rsidR="00902FA6" w:rsidRPr="00B17D98" w:rsidRDefault="00902FA6">
      <w:pPr>
        <w:rPr>
          <w:lang w:val="en-US"/>
        </w:rPr>
      </w:pPr>
      <w:r>
        <w:t xml:space="preserve">LEISTER, Margareth Anne; SOUZA (de), Leonardo da Rocha. A influência da soft </w:t>
      </w:r>
      <w:proofErr w:type="spellStart"/>
      <w:r>
        <w:t>law</w:t>
      </w:r>
      <w:proofErr w:type="spellEnd"/>
      <w:r>
        <w:t xml:space="preserve"> na formação do direito ambiental. In:</w:t>
      </w:r>
      <w:r>
        <w:t xml:space="preserve"> </w:t>
      </w:r>
      <w:r w:rsidRPr="00902FA6">
        <w:rPr>
          <w:b/>
          <w:bCs/>
        </w:rPr>
        <w:t>Revista de Direito Internacional</w:t>
      </w:r>
      <w:r>
        <w:t>, v.12, n.2 (2015)</w:t>
      </w:r>
      <w:r>
        <w:t>.</w:t>
      </w:r>
    </w:p>
    <w:p w14:paraId="586372A9" w14:textId="1DCD6EB5" w:rsidR="00D854C7" w:rsidRDefault="00D854C7">
      <w:pPr>
        <w:rPr>
          <w:lang w:val="en-US"/>
        </w:rPr>
      </w:pPr>
      <w:r>
        <w:rPr>
          <w:lang w:val="en-US"/>
        </w:rPr>
        <w:t xml:space="preserve">MARTÍ, José Luis. </w:t>
      </w:r>
      <w:r>
        <w:rPr>
          <w:b/>
          <w:lang w:val="en-US"/>
        </w:rPr>
        <w:t>Sources and the Legitimate Authority of International Law</w:t>
      </w:r>
      <w:r>
        <w:rPr>
          <w:lang w:val="en-US"/>
        </w:rPr>
        <w:t xml:space="preserve">: democratic Legitimacy and the Sources of International Law. Edited By: Jean </w:t>
      </w:r>
      <w:proofErr w:type="spellStart"/>
      <w:r>
        <w:rPr>
          <w:lang w:val="en-US"/>
        </w:rPr>
        <w:t>d'Aspremont</w:t>
      </w:r>
      <w:proofErr w:type="spellEnd"/>
      <w:r>
        <w:rPr>
          <w:lang w:val="en-US"/>
        </w:rPr>
        <w:t>, Samantha Besson, 2018.</w:t>
      </w:r>
    </w:p>
    <w:p w14:paraId="04918BE9" w14:textId="5EB1236A" w:rsidR="00D854C7" w:rsidRPr="00641533" w:rsidRDefault="00D854C7">
      <w:pPr>
        <w:rPr>
          <w:lang w:val="en-US"/>
        </w:rPr>
      </w:pPr>
      <w:r>
        <w:rPr>
          <w:lang w:val="en-US"/>
        </w:rPr>
        <w:t xml:space="preserve">MARMOR, A. </w:t>
      </w:r>
      <w:r>
        <w:rPr>
          <w:b/>
          <w:lang w:val="en-US"/>
        </w:rPr>
        <w:t xml:space="preserve">Positive </w:t>
      </w:r>
      <w:proofErr w:type="gramStart"/>
      <w:r>
        <w:rPr>
          <w:b/>
          <w:lang w:val="en-US"/>
        </w:rPr>
        <w:t>Law</w:t>
      </w:r>
      <w:proofErr w:type="gramEnd"/>
      <w:r>
        <w:rPr>
          <w:b/>
          <w:lang w:val="en-US"/>
        </w:rPr>
        <w:t xml:space="preserve"> and Objective Values</w:t>
      </w:r>
      <w:r>
        <w:rPr>
          <w:lang w:val="en-US"/>
        </w:rPr>
        <w:t>. Oxford: Oxford University Press. 2001</w:t>
      </w:r>
    </w:p>
    <w:p w14:paraId="73BC23C3" w14:textId="18C27CF0" w:rsidR="00D854C7" w:rsidRPr="00BA3C5A" w:rsidRDefault="00D854C7">
      <w:pPr>
        <w:rPr>
          <w:lang w:val="en-US"/>
        </w:rPr>
      </w:pPr>
      <w:r>
        <w:rPr>
          <w:lang w:val="en-US"/>
        </w:rPr>
        <w:t xml:space="preserve">GEORGIEV, </w:t>
      </w:r>
      <w:proofErr w:type="spellStart"/>
      <w:r>
        <w:rPr>
          <w:lang w:val="en-US"/>
        </w:rPr>
        <w:t>Dencho</w:t>
      </w:r>
      <w:proofErr w:type="spellEnd"/>
      <w:r>
        <w:rPr>
          <w:lang w:val="en-US"/>
        </w:rPr>
        <w:t xml:space="preserve">. </w:t>
      </w:r>
      <w:r>
        <w:rPr>
          <w:b/>
          <w:lang w:val="en-US"/>
        </w:rPr>
        <w:t>Politics or Rule of Law</w:t>
      </w:r>
      <w:r>
        <w:rPr>
          <w:lang w:val="en-US"/>
        </w:rPr>
        <w:t>: Deconstruction and Legitimacy in International Law, 1993.</w:t>
      </w:r>
    </w:p>
    <w:p w14:paraId="6653692C" w14:textId="28F69D45" w:rsidR="00D854C7" w:rsidRDefault="00D854C7">
      <w:pPr>
        <w:rPr>
          <w:rFonts w:eastAsia="Times New Roman"/>
          <w:lang w:eastAsia="pt-BR"/>
        </w:rPr>
      </w:pPr>
      <w:r>
        <w:rPr>
          <w:shd w:val="clear" w:color="auto" w:fill="FFFFFF"/>
          <w:lang w:val="en-US"/>
        </w:rPr>
        <w:t xml:space="preserve">GUNTHER, Teubner. </w:t>
      </w:r>
      <w:proofErr w:type="spellStart"/>
      <w:r>
        <w:rPr>
          <w:b/>
          <w:shd w:val="clear" w:color="auto" w:fill="FFFFFF"/>
          <w:lang w:val="en-US"/>
        </w:rPr>
        <w:t>Globale</w:t>
      </w:r>
      <w:proofErr w:type="spellEnd"/>
      <w:r>
        <w:rPr>
          <w:b/>
          <w:shd w:val="clear" w:color="auto" w:fill="FFFFFF"/>
          <w:lang w:val="en-US"/>
        </w:rPr>
        <w:t xml:space="preserve"> </w:t>
      </w:r>
      <w:proofErr w:type="spellStart"/>
      <w:r>
        <w:rPr>
          <w:b/>
          <w:shd w:val="clear" w:color="auto" w:fill="FFFFFF"/>
          <w:lang w:val="en-US"/>
        </w:rPr>
        <w:t>Zivilverfassungen</w:t>
      </w:r>
      <w:proofErr w:type="spellEnd"/>
      <w:r w:rsidRPr="005A07DB">
        <w:rPr>
          <w:shd w:val="clear" w:color="auto" w:fill="FFFFFF"/>
          <w:lang w:val="en-US"/>
        </w:rPr>
        <w:t xml:space="preserve">: </w:t>
      </w:r>
      <w:proofErr w:type="spellStart"/>
      <w:r w:rsidRPr="005A07DB">
        <w:rPr>
          <w:shd w:val="clear" w:color="auto" w:fill="FFFFFF"/>
          <w:lang w:val="en-US"/>
        </w:rPr>
        <w:t>Alternativen</w:t>
      </w:r>
      <w:proofErr w:type="spellEnd"/>
      <w:r w:rsidRPr="005A07DB">
        <w:rPr>
          <w:shd w:val="clear" w:color="auto" w:fill="FFFFFF"/>
          <w:lang w:val="en-US"/>
        </w:rPr>
        <w:t xml:space="preserve"> </w:t>
      </w:r>
      <w:proofErr w:type="spellStart"/>
      <w:r w:rsidRPr="005A07DB">
        <w:rPr>
          <w:shd w:val="clear" w:color="auto" w:fill="FFFFFF"/>
          <w:lang w:val="en-US"/>
        </w:rPr>
        <w:t>zur</w:t>
      </w:r>
      <w:proofErr w:type="spellEnd"/>
      <w:r w:rsidRPr="005A07DB">
        <w:rPr>
          <w:shd w:val="clear" w:color="auto" w:fill="FFFFFF"/>
          <w:lang w:val="en-US"/>
        </w:rPr>
        <w:t xml:space="preserve"> </w:t>
      </w:r>
      <w:proofErr w:type="spellStart"/>
      <w:r w:rsidRPr="005A07DB">
        <w:rPr>
          <w:shd w:val="clear" w:color="auto" w:fill="FFFFFF"/>
          <w:lang w:val="en-US"/>
        </w:rPr>
        <w:t>staatszentrierten</w:t>
      </w:r>
      <w:proofErr w:type="spellEnd"/>
      <w:r w:rsidRPr="005A07DB">
        <w:rPr>
          <w:shd w:val="clear" w:color="auto" w:fill="FFFFFF"/>
          <w:lang w:val="en-US"/>
        </w:rPr>
        <w:t xml:space="preserve"> </w:t>
      </w:r>
      <w:proofErr w:type="spellStart"/>
      <w:r w:rsidRPr="005A07DB">
        <w:rPr>
          <w:shd w:val="clear" w:color="auto" w:fill="FFFFFF"/>
          <w:lang w:val="en-US"/>
        </w:rPr>
        <w:t>Verfassungstheorie</w:t>
      </w:r>
      <w:proofErr w:type="spellEnd"/>
      <w:r>
        <w:rPr>
          <w:shd w:val="clear" w:color="auto" w:fill="FFFFFF"/>
          <w:lang w:val="en-US"/>
        </w:rPr>
        <w:t>.</w:t>
      </w:r>
      <w:r>
        <w:rPr>
          <w:rStyle w:val="apple-converted-space"/>
          <w:shd w:val="clear" w:color="auto" w:fill="FFFFFF"/>
          <w:lang w:val="en-US"/>
        </w:rPr>
        <w:t> </w:t>
      </w:r>
      <w:proofErr w:type="spellStart"/>
      <w:r>
        <w:rPr>
          <w:rStyle w:val="italica"/>
          <w:iCs/>
          <w:lang w:val="en-US"/>
        </w:rPr>
        <w:t>Zeitschrift</w:t>
      </w:r>
      <w:proofErr w:type="spellEnd"/>
      <w:r>
        <w:rPr>
          <w:rStyle w:val="italica"/>
          <w:iCs/>
          <w:lang w:val="en-US"/>
        </w:rPr>
        <w:t xml:space="preserve"> für </w:t>
      </w:r>
      <w:proofErr w:type="spellStart"/>
      <w:r>
        <w:rPr>
          <w:rStyle w:val="italica"/>
          <w:iCs/>
          <w:lang w:val="en-US"/>
        </w:rPr>
        <w:t>Ausländisches</w:t>
      </w:r>
      <w:proofErr w:type="spellEnd"/>
      <w:r>
        <w:rPr>
          <w:rStyle w:val="italica"/>
          <w:iCs/>
          <w:lang w:val="en-US"/>
        </w:rPr>
        <w:t xml:space="preserve"> </w:t>
      </w:r>
      <w:proofErr w:type="spellStart"/>
      <w:r>
        <w:rPr>
          <w:rStyle w:val="italica"/>
          <w:iCs/>
          <w:lang w:val="en-US"/>
        </w:rPr>
        <w:t>Öffentliches</w:t>
      </w:r>
      <w:proofErr w:type="spellEnd"/>
      <w:r>
        <w:rPr>
          <w:rStyle w:val="italica"/>
          <w:iCs/>
          <w:lang w:val="en-US"/>
        </w:rPr>
        <w:t xml:space="preserve"> </w:t>
      </w:r>
      <w:proofErr w:type="spellStart"/>
      <w:r>
        <w:rPr>
          <w:rStyle w:val="italica"/>
          <w:iCs/>
          <w:lang w:val="en-US"/>
        </w:rPr>
        <w:t>Recht</w:t>
      </w:r>
      <w:proofErr w:type="spellEnd"/>
      <w:r>
        <w:rPr>
          <w:rStyle w:val="italica"/>
          <w:iCs/>
          <w:lang w:val="en-US"/>
        </w:rPr>
        <w:t xml:space="preserve"> und </w:t>
      </w:r>
      <w:proofErr w:type="spellStart"/>
      <w:r>
        <w:rPr>
          <w:rStyle w:val="italica"/>
          <w:iCs/>
          <w:lang w:val="en-US"/>
        </w:rPr>
        <w:t>Völkerrecht</w:t>
      </w:r>
      <w:proofErr w:type="spellEnd"/>
      <w:r>
        <w:rPr>
          <w:shd w:val="clear" w:color="auto" w:fill="FFFFFF"/>
          <w:lang w:val="en-US"/>
        </w:rPr>
        <w:t>, Heidelberg. nº 63, 2003</w:t>
      </w:r>
    </w:p>
    <w:p w14:paraId="178FF6B0" w14:textId="45EB1362" w:rsidR="00D854C7" w:rsidRDefault="00D854C7">
      <w:pPr>
        <w:rPr>
          <w:rFonts w:eastAsia="Times New Roman"/>
          <w:lang w:eastAsia="pt-BR"/>
        </w:rPr>
      </w:pPr>
      <w:r w:rsidRPr="00C43F55">
        <w:rPr>
          <w:rFonts w:eastAsia="Times New Roman"/>
          <w:lang w:eastAsia="pt-BR"/>
        </w:rPr>
        <w:t xml:space="preserve">JUBILUT, Liliana Lyra. Os Fundamentos do Direito Internacional Contemporâneo: da coexistência aos valores compartilhados. In: </w:t>
      </w:r>
      <w:r w:rsidRPr="00C43F55">
        <w:rPr>
          <w:rFonts w:eastAsia="Times New Roman"/>
          <w:b/>
          <w:lang w:eastAsia="pt-BR"/>
        </w:rPr>
        <w:t>V Anuário Brasileiro de Direito Internacional</w:t>
      </w:r>
      <w:r w:rsidRPr="00C43F55">
        <w:rPr>
          <w:rFonts w:eastAsia="Times New Roman"/>
          <w:lang w:eastAsia="pt-BR"/>
        </w:rPr>
        <w:t xml:space="preserve">, v. 2. </w:t>
      </w:r>
      <w:proofErr w:type="gramStart"/>
      <w:r w:rsidRPr="00C43F55">
        <w:rPr>
          <w:rFonts w:eastAsia="Times New Roman"/>
          <w:lang w:eastAsia="pt-BR"/>
        </w:rPr>
        <w:t>Julho</w:t>
      </w:r>
      <w:proofErr w:type="gramEnd"/>
      <w:r w:rsidRPr="00C43F55">
        <w:rPr>
          <w:rFonts w:eastAsia="Times New Roman"/>
          <w:lang w:eastAsia="pt-BR"/>
        </w:rPr>
        <w:t>/2010</w:t>
      </w:r>
    </w:p>
    <w:p w14:paraId="583424A2" w14:textId="636E4C97" w:rsidR="00D854C7" w:rsidRPr="00641533" w:rsidRDefault="00D854C7">
      <w:pPr>
        <w:rPr>
          <w:rFonts w:eastAsia="Times New Roman"/>
          <w:lang w:val="en-US" w:eastAsia="pt-BR"/>
        </w:rPr>
      </w:pPr>
      <w:r>
        <w:t xml:space="preserve">JO, </w:t>
      </w:r>
      <w:proofErr w:type="spellStart"/>
      <w:r>
        <w:t>Moon</w:t>
      </w:r>
      <w:proofErr w:type="spellEnd"/>
      <w:r>
        <w:t xml:space="preserve"> </w:t>
      </w:r>
      <w:r>
        <w:rPr>
          <w:rFonts w:eastAsia="Arial"/>
        </w:rPr>
        <w:t>H</w:t>
      </w:r>
      <w:r>
        <w:t xml:space="preserve">ee. </w:t>
      </w:r>
      <w:r>
        <w:rPr>
          <w:b/>
        </w:rPr>
        <w:t>Introdução ao direito internacional</w:t>
      </w:r>
      <w:r>
        <w:rPr>
          <w:b/>
          <w:bCs/>
        </w:rPr>
        <w:t>.</w:t>
      </w:r>
      <w:r>
        <w:t xml:space="preserve"> 2. ed. </w:t>
      </w:r>
      <w:r w:rsidRPr="00641533">
        <w:rPr>
          <w:lang w:val="en-US"/>
        </w:rPr>
        <w:t xml:space="preserve">São Paulo: </w:t>
      </w:r>
      <w:proofErr w:type="spellStart"/>
      <w:r w:rsidRPr="00641533">
        <w:rPr>
          <w:lang w:val="en-US"/>
        </w:rPr>
        <w:t>LTr</w:t>
      </w:r>
      <w:proofErr w:type="spellEnd"/>
      <w:r w:rsidRPr="00641533">
        <w:rPr>
          <w:lang w:val="en-US"/>
        </w:rPr>
        <w:t>, 2004</w:t>
      </w:r>
    </w:p>
    <w:p w14:paraId="414E7CDC" w14:textId="40C35280" w:rsidR="00D854C7" w:rsidRDefault="00D854C7">
      <w:pPr>
        <w:rPr>
          <w:lang w:val="en-US"/>
        </w:rPr>
      </w:pPr>
      <w:r>
        <w:rPr>
          <w:lang w:val="en-US"/>
        </w:rPr>
        <w:t xml:space="preserve">KELSEN, Hans. </w:t>
      </w:r>
      <w:r>
        <w:rPr>
          <w:b/>
          <w:lang w:val="en-US"/>
        </w:rPr>
        <w:t>General Theory of Law &amp; State</w:t>
      </w:r>
      <w:r>
        <w:rPr>
          <w:lang w:val="en-US"/>
        </w:rPr>
        <w:t>. Transaction Publishers. 2006.</w:t>
      </w:r>
    </w:p>
    <w:p w14:paraId="2DB7FE25" w14:textId="069DA42B" w:rsidR="00D854C7" w:rsidRDefault="00D854C7">
      <w:pPr>
        <w:rPr>
          <w:lang w:val="en-US"/>
        </w:rPr>
      </w:pPr>
      <w:r>
        <w:rPr>
          <w:lang w:val="en-US"/>
        </w:rPr>
        <w:lastRenderedPageBreak/>
        <w:t xml:space="preserve">KOSKENNIEMI. </w:t>
      </w:r>
      <w:proofErr w:type="spellStart"/>
      <w:r>
        <w:rPr>
          <w:lang w:val="en-US"/>
        </w:rPr>
        <w:t>Martti</w:t>
      </w:r>
      <w:proofErr w:type="spellEnd"/>
      <w:r>
        <w:rPr>
          <w:lang w:val="en-US"/>
        </w:rPr>
        <w:t xml:space="preserve">. </w:t>
      </w:r>
      <w:r>
        <w:rPr>
          <w:b/>
          <w:lang w:val="en-US"/>
        </w:rPr>
        <w:t>The politics of International Law</w:t>
      </w:r>
      <w:r>
        <w:rPr>
          <w:lang w:val="en-US"/>
        </w:rPr>
        <w:t>. 1990</w:t>
      </w:r>
    </w:p>
    <w:p w14:paraId="1C17F39B" w14:textId="5DE9469E" w:rsidR="00D854C7" w:rsidRDefault="00D854C7">
      <w:pPr>
        <w:rPr>
          <w:lang w:val="en-US"/>
        </w:rPr>
      </w:pPr>
      <w:r>
        <w:rPr>
          <w:lang w:val="en-US"/>
        </w:rPr>
        <w:t xml:space="preserve">KRATOCHWIL, Friedrich V. </w:t>
      </w:r>
      <w:r>
        <w:rPr>
          <w:b/>
          <w:lang w:val="en-US"/>
        </w:rPr>
        <w:t>Rules, Norms and Decisions on the Conditions of Practical and legal reasoning in international relations and domestic affairs</w:t>
      </w:r>
      <w:r>
        <w:rPr>
          <w:lang w:val="en-US"/>
        </w:rPr>
        <w:t>. Cambridge: Cambridge University Press. 1989</w:t>
      </w:r>
    </w:p>
    <w:p w14:paraId="50ED5462" w14:textId="3BCB0619" w:rsidR="00D854C7" w:rsidRDefault="00D854C7">
      <w:pPr>
        <w:rPr>
          <w:lang w:val="en-US"/>
        </w:rPr>
      </w:pPr>
      <w:r>
        <w:rPr>
          <w:lang w:val="en-US"/>
        </w:rPr>
        <w:t xml:space="preserve">LEMBCKE, Oliver; KLINK, Bart. </w:t>
      </w:r>
      <w:r>
        <w:rPr>
          <w:b/>
          <w:lang w:val="en-US"/>
        </w:rPr>
        <w:t>A fuller understanding of legal validity and soft law</w:t>
      </w:r>
      <w:r>
        <w:rPr>
          <w:lang w:val="en-US"/>
        </w:rPr>
        <w:t xml:space="preserve">. Jaap </w:t>
      </w:r>
      <w:proofErr w:type="spellStart"/>
      <w:r>
        <w:rPr>
          <w:lang w:val="en-US"/>
        </w:rPr>
        <w:t>Hage</w:t>
      </w:r>
      <w:proofErr w:type="spellEnd"/>
      <w:r>
        <w:rPr>
          <w:lang w:val="en-US"/>
        </w:rPr>
        <w:t xml:space="preserve"> - 2018 - In Anne </w:t>
      </w:r>
      <w:proofErr w:type="spellStart"/>
      <w:r>
        <w:rPr>
          <w:lang w:val="en-US"/>
        </w:rPr>
        <w:t>Mackor</w:t>
      </w:r>
      <w:proofErr w:type="spellEnd"/>
      <w:r>
        <w:rPr>
          <w:lang w:val="en-US"/>
        </w:rPr>
        <w:t xml:space="preserve">, Stephan </w:t>
      </w:r>
      <w:proofErr w:type="spellStart"/>
      <w:r>
        <w:rPr>
          <w:lang w:val="en-US"/>
        </w:rPr>
        <w:t>Kirste</w:t>
      </w:r>
      <w:proofErr w:type="spellEnd"/>
      <w:r>
        <w:rPr>
          <w:lang w:val="en-US"/>
        </w:rPr>
        <w:t xml:space="preserve">, Jaap </w:t>
      </w:r>
      <w:proofErr w:type="spellStart"/>
      <w:r>
        <w:rPr>
          <w:lang w:val="en-US"/>
        </w:rPr>
        <w:t>Hage</w:t>
      </w:r>
      <w:proofErr w:type="spellEnd"/>
      <w:r>
        <w:rPr>
          <w:lang w:val="en-US"/>
        </w:rPr>
        <w:t xml:space="preserve"> &amp; Pauline </w:t>
      </w:r>
      <w:proofErr w:type="spellStart"/>
      <w:r>
        <w:rPr>
          <w:lang w:val="en-US"/>
        </w:rPr>
        <w:t>Westerman</w:t>
      </w:r>
      <w:proofErr w:type="spellEnd"/>
      <w:r>
        <w:rPr>
          <w:lang w:val="en-US"/>
        </w:rPr>
        <w:t xml:space="preserve"> (eds.), Legal Validity and Soft Law. Springer Verlag</w:t>
      </w:r>
    </w:p>
    <w:p w14:paraId="72C95A27" w14:textId="319480C8" w:rsidR="00D854C7" w:rsidRPr="00BA3C5A" w:rsidRDefault="00D854C7">
      <w:pPr>
        <w:rPr>
          <w:rFonts w:eastAsia="Times New Roman"/>
          <w:lang w:val="en-US" w:eastAsia="pt-BR"/>
        </w:rPr>
      </w:pPr>
      <w:r w:rsidRPr="00BA3C5A">
        <w:rPr>
          <w:lang w:val="en-US"/>
        </w:rPr>
        <w:t xml:space="preserve">LYSSY, Ansgar; YEOMANS, Christopher. </w:t>
      </w:r>
      <w:r w:rsidRPr="00BA3C5A">
        <w:rPr>
          <w:b/>
          <w:bCs/>
          <w:lang w:val="en-US"/>
        </w:rPr>
        <w:t>Kant on Morality, Humanity and Legality</w:t>
      </w:r>
      <w:r w:rsidRPr="00BA3C5A">
        <w:rPr>
          <w:lang w:val="en-US"/>
        </w:rPr>
        <w:t xml:space="preserve">: practical dimensions of normativity. (ed) </w:t>
      </w:r>
      <w:proofErr w:type="spellStart"/>
      <w:r w:rsidRPr="00BA3C5A">
        <w:rPr>
          <w:lang w:val="en-US"/>
        </w:rPr>
        <w:t>Lyssy</w:t>
      </w:r>
      <w:proofErr w:type="spellEnd"/>
      <w:r w:rsidRPr="00BA3C5A">
        <w:rPr>
          <w:lang w:val="en-US"/>
        </w:rPr>
        <w:t>, Ansgar; Yeomans, Christopher. Germany: Palgrave Macmillan, 2021</w:t>
      </w:r>
    </w:p>
    <w:p w14:paraId="79CB3900" w14:textId="0456A2D9" w:rsidR="00D854C7" w:rsidRDefault="00D854C7">
      <w:pPr>
        <w:rPr>
          <w:lang w:val="en-US"/>
        </w:rPr>
      </w:pPr>
      <w:r>
        <w:rPr>
          <w:lang w:val="en-US"/>
        </w:rPr>
        <w:t xml:space="preserve">WALTERMANN, Antonia. </w:t>
      </w:r>
      <w:r>
        <w:rPr>
          <w:b/>
          <w:lang w:val="en-US"/>
        </w:rPr>
        <w:t>Sovereignty and Validity</w:t>
      </w:r>
      <w:r>
        <w:rPr>
          <w:lang w:val="en-US"/>
        </w:rPr>
        <w:t>: on the Relation Between the Concepts and the Role of Acceptance. In: Legal Validity and Soft Law. Springer, 2018</w:t>
      </w:r>
    </w:p>
    <w:p w14:paraId="7A8DCD0C" w14:textId="17FA563E" w:rsidR="00D854C7" w:rsidRPr="00641533" w:rsidRDefault="00D854C7">
      <w:r>
        <w:rPr>
          <w:lang w:val="en-US"/>
        </w:rPr>
        <w:t xml:space="preserve">WESTERMAN, Pauline. </w:t>
      </w:r>
      <w:r>
        <w:rPr>
          <w:b/>
          <w:lang w:val="en-US"/>
        </w:rPr>
        <w:t>Validity: the reputation of rules</w:t>
      </w:r>
      <w:r>
        <w:rPr>
          <w:lang w:val="en-US"/>
        </w:rPr>
        <w:t xml:space="preserve">. In WESTERMAN, Pauline; HAGE, Jaap; KIRSTE, Stephan; MACKOR, Anne Ruth. </w:t>
      </w:r>
      <w:r w:rsidRPr="00641533">
        <w:t xml:space="preserve">Legal </w:t>
      </w:r>
      <w:proofErr w:type="spellStart"/>
      <w:r w:rsidRPr="00641533">
        <w:t>Validity</w:t>
      </w:r>
      <w:proofErr w:type="spellEnd"/>
      <w:r w:rsidRPr="00641533">
        <w:t xml:space="preserve"> </w:t>
      </w:r>
      <w:proofErr w:type="spellStart"/>
      <w:r w:rsidRPr="00641533">
        <w:t>and</w:t>
      </w:r>
      <w:proofErr w:type="spellEnd"/>
      <w:r w:rsidRPr="00641533">
        <w:t xml:space="preserve"> Soft Law. Springer, 2018.</w:t>
      </w:r>
    </w:p>
    <w:p w14:paraId="44D0ED23" w14:textId="1E263215" w:rsidR="007D55ED" w:rsidRDefault="007D55ED">
      <w:pPr>
        <w:rPr>
          <w:lang w:val="en-US"/>
        </w:rPr>
      </w:pPr>
      <w:r>
        <w:t xml:space="preserve">WOLKMER, </w:t>
      </w:r>
      <w:proofErr w:type="spellStart"/>
      <w:r>
        <w:t>Antonio</w:t>
      </w:r>
      <w:proofErr w:type="spellEnd"/>
      <w:r>
        <w:t xml:space="preserve"> Carlos. </w:t>
      </w:r>
      <w:r>
        <w:rPr>
          <w:b/>
        </w:rPr>
        <w:t>Pluralismo jurídico</w:t>
      </w:r>
      <w:r>
        <w:t>.</w:t>
      </w:r>
      <w:r>
        <w:rPr>
          <w:b/>
        </w:rPr>
        <w:t xml:space="preserve"> </w:t>
      </w:r>
      <w:r>
        <w:t xml:space="preserve">Fundamentos de uma nova cultura no Direito. </w:t>
      </w:r>
      <w:r w:rsidRPr="00641533">
        <w:rPr>
          <w:lang w:val="en-US"/>
        </w:rPr>
        <w:t>São Paulo: Alfa-Omega. 3. ed. 2001</w:t>
      </w:r>
    </w:p>
    <w:p w14:paraId="57CA9F56" w14:textId="134F9BA8" w:rsidR="00D854C7" w:rsidRDefault="00D854C7">
      <w:pPr>
        <w:rPr>
          <w:lang w:val="en-US"/>
        </w:rPr>
      </w:pPr>
      <w:r>
        <w:rPr>
          <w:lang w:val="en-US"/>
        </w:rPr>
        <w:t xml:space="preserve">PFORDTEN, Dietmar von der. </w:t>
      </w:r>
      <w:r>
        <w:rPr>
          <w:b/>
          <w:lang w:val="en-US"/>
        </w:rPr>
        <w:t>Validity in Positive Law</w:t>
      </w:r>
      <w:r w:rsidRPr="005A07DB">
        <w:rPr>
          <w:lang w:val="en-US"/>
        </w:rPr>
        <w:t>: a mere summary concept.</w:t>
      </w:r>
      <w:r>
        <w:rPr>
          <w:lang w:val="en-US"/>
        </w:rPr>
        <w:t xml:space="preserve"> In: WESTERMAN, Pauline </w:t>
      </w:r>
      <w:proofErr w:type="spellStart"/>
      <w:r>
        <w:rPr>
          <w:lang w:val="en-US"/>
        </w:rPr>
        <w:t>etal</w:t>
      </w:r>
      <w:proofErr w:type="spellEnd"/>
      <w:r>
        <w:rPr>
          <w:lang w:val="en-US"/>
        </w:rPr>
        <w:t>. Legal Validity and Soft Law. Springer, 2018</w:t>
      </w:r>
    </w:p>
    <w:p w14:paraId="6AA2E958" w14:textId="06DECB96" w:rsidR="00D854C7" w:rsidRPr="00D854C7" w:rsidRDefault="00D854C7">
      <w:pPr>
        <w:rPr>
          <w:lang w:val="en-US"/>
        </w:rPr>
      </w:pPr>
      <w:r>
        <w:rPr>
          <w:lang w:val="en-US"/>
        </w:rPr>
        <w:t xml:space="preserve">ROUGHAN, Nicole. </w:t>
      </w:r>
      <w:r>
        <w:rPr>
          <w:b/>
          <w:lang w:val="en-US"/>
        </w:rPr>
        <w:t>Sources and the Normativity of International Law</w:t>
      </w:r>
      <w:r>
        <w:rPr>
          <w:lang w:val="en-US"/>
        </w:rPr>
        <w:t xml:space="preserve">: From validity to justification. In: The Oxford handbook of the sources of international law. Edited by Samantha Besson and Jean </w:t>
      </w:r>
      <w:proofErr w:type="spellStart"/>
      <w:r>
        <w:rPr>
          <w:lang w:val="en-US"/>
        </w:rPr>
        <w:t>D’Aspremont</w:t>
      </w:r>
      <w:proofErr w:type="spellEnd"/>
      <w:r>
        <w:rPr>
          <w:lang w:val="en-US"/>
        </w:rPr>
        <w:t>. 2018</w:t>
      </w:r>
    </w:p>
    <w:sectPr w:rsidR="00D854C7" w:rsidRPr="00D854C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8597C" w14:textId="77777777" w:rsidR="00A8651B" w:rsidRDefault="00A8651B" w:rsidP="003042B8">
      <w:pPr>
        <w:spacing w:line="240" w:lineRule="auto"/>
      </w:pPr>
      <w:r>
        <w:separator/>
      </w:r>
    </w:p>
  </w:endnote>
  <w:endnote w:type="continuationSeparator" w:id="0">
    <w:p w14:paraId="2ABCF9DE" w14:textId="77777777" w:rsidR="00A8651B" w:rsidRDefault="00A8651B" w:rsidP="003042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3D36F" w14:textId="77777777" w:rsidR="00A8651B" w:rsidRDefault="00A8651B" w:rsidP="003042B8">
      <w:pPr>
        <w:spacing w:line="240" w:lineRule="auto"/>
      </w:pPr>
      <w:r>
        <w:separator/>
      </w:r>
    </w:p>
  </w:footnote>
  <w:footnote w:type="continuationSeparator" w:id="0">
    <w:p w14:paraId="610B8223" w14:textId="77777777" w:rsidR="00A8651B" w:rsidRDefault="00A8651B" w:rsidP="003042B8">
      <w:pPr>
        <w:spacing w:line="240" w:lineRule="auto"/>
      </w:pPr>
      <w:r>
        <w:continuationSeparator/>
      </w:r>
    </w:p>
  </w:footnote>
  <w:footnote w:id="1">
    <w:p w14:paraId="19CAAF8D" w14:textId="77777777" w:rsidR="003042B8" w:rsidRDefault="003042B8" w:rsidP="003042B8">
      <w:pPr>
        <w:pStyle w:val="Textodenotaderodap"/>
        <w:spacing w:line="240" w:lineRule="auto"/>
      </w:pPr>
      <w:r>
        <w:rPr>
          <w:rStyle w:val="Caracteresdenotaderodap"/>
        </w:rPr>
        <w:footnoteRef/>
      </w:r>
      <w:r>
        <w:rPr>
          <w:rFonts w:eastAsia="Arial"/>
        </w:rPr>
        <w:t xml:space="preserve"> </w:t>
      </w:r>
      <w:r>
        <w:t xml:space="preserve">WOLKMER, </w:t>
      </w:r>
      <w:proofErr w:type="spellStart"/>
      <w:r>
        <w:t>Antonio</w:t>
      </w:r>
      <w:proofErr w:type="spellEnd"/>
      <w:r>
        <w:t xml:space="preserve"> Carlos. </w:t>
      </w:r>
      <w:r>
        <w:rPr>
          <w:b/>
        </w:rPr>
        <w:t>Pluralismo jurídico</w:t>
      </w:r>
      <w:r>
        <w:t>.</w:t>
      </w:r>
      <w:r>
        <w:rPr>
          <w:b/>
        </w:rPr>
        <w:t xml:space="preserve"> </w:t>
      </w:r>
      <w:r>
        <w:t>Fundamentos de uma nova cultura no Direito. São Paulo: Alfa-</w:t>
      </w:r>
      <w:proofErr w:type="spellStart"/>
      <w:r>
        <w:t>Omega</w:t>
      </w:r>
      <w:proofErr w:type="spellEnd"/>
      <w:r>
        <w:t>. 3. ed. 2001, p. 46-48.</w:t>
      </w:r>
    </w:p>
  </w:footnote>
  <w:footnote w:id="2">
    <w:p w14:paraId="0FBD630E" w14:textId="77777777" w:rsidR="003042B8" w:rsidRDefault="003042B8" w:rsidP="003042B8">
      <w:pPr>
        <w:pStyle w:val="Textodenotaderodap"/>
        <w:spacing w:line="240" w:lineRule="auto"/>
      </w:pPr>
      <w:r>
        <w:rPr>
          <w:rStyle w:val="Caracteresdenotaderodap"/>
        </w:rPr>
        <w:footnoteRef/>
      </w:r>
      <w:r>
        <w:rPr>
          <w:rFonts w:eastAsia="Arial"/>
        </w:rPr>
        <w:t xml:space="preserve"> </w:t>
      </w:r>
      <w:r>
        <w:t>A Escola de New Haven foi uma das que apresentou forte crítica à teoria das fontes buscando retomar a ideia do processo de formação do direito como um processo social contínuo.</w:t>
      </w:r>
    </w:p>
  </w:footnote>
  <w:footnote w:id="3">
    <w:p w14:paraId="2F997A32"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xml:space="preserve">. New Jersey: Transaction Publishers. 2006, p.18. “A norm is a command. […] A command is the expression in an imperative form of the will that somebody else shall behave in a certain manner. […] a command is a norm only if it is binding upon the individual to whom it is directed. Whether or not a command is binding depends upon </w:t>
      </w:r>
      <w:proofErr w:type="gramStart"/>
      <w:r>
        <w:rPr>
          <w:lang w:val="en-US"/>
        </w:rPr>
        <w:t>whether or not</w:t>
      </w:r>
      <w:proofErr w:type="gramEnd"/>
      <w:r>
        <w:rPr>
          <w:lang w:val="en-US"/>
        </w:rPr>
        <w:t xml:space="preserve"> the individual commanding is “authorized” to issue that command”.</w:t>
      </w:r>
    </w:p>
  </w:footnote>
  <w:footnote w:id="4">
    <w:p w14:paraId="2DF1AD9A"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Ne</w:t>
      </w:r>
      <w:bookmarkStart w:id="3" w:name="_Hlk121063127"/>
      <w:r>
        <w:rPr>
          <w:lang w:val="en-US"/>
        </w:rPr>
        <w:t>w Jersey: Tr</w:t>
      </w:r>
      <w:bookmarkEnd w:id="3"/>
      <w:r>
        <w:rPr>
          <w:lang w:val="en-US"/>
        </w:rPr>
        <w:t>ansaction Publishers. 2006. “A command is a norm only if it is binding upon the individual to whom it is directed. […]. Whether or not a command is binding depends upon whether the individual commanding is “authorizes” to issue that command. […]. And he is “authorized” or “empowered” only if a normative order, which is presupposed to be binding, confers on him this capacity, the competence to issue binding commands. […</w:t>
      </w:r>
      <w:proofErr w:type="gramStart"/>
      <w:r>
        <w:rPr>
          <w:lang w:val="en-US"/>
        </w:rPr>
        <w:t>].The</w:t>
      </w:r>
      <w:proofErr w:type="gramEnd"/>
      <w:r>
        <w:rPr>
          <w:lang w:val="en-US"/>
        </w:rPr>
        <w:t xml:space="preserve"> binding force of a command is not “derived” from the command itself but from the conditions under which the command is being issued”. </w:t>
      </w:r>
    </w:p>
  </w:footnote>
  <w:footnote w:id="5">
    <w:p w14:paraId="2B9DB3D4"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New Jersey: Transaction Publishers. 2006, p. 32.</w:t>
      </w:r>
    </w:p>
  </w:footnote>
  <w:footnote w:id="6">
    <w:p w14:paraId="5C089F69"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New Jersey: Transaction Publishers. 2006, p. 35. “A norm is a rule expressing the fact that somebody ought to act in a certain way”.</w:t>
      </w:r>
    </w:p>
  </w:footnote>
  <w:footnote w:id="7">
    <w:p w14:paraId="51D85F5A"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New Jersey: Transaction Publishers. 2006, p. 37.</w:t>
      </w:r>
    </w:p>
  </w:footnote>
  <w:footnote w:id="8">
    <w:p w14:paraId="74CEE239"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xml:space="preserve">. New Jersey: Transaction Publishers. 2006, p. 38. “Another reason why the designation of law as “rule” is misleading is that the word “rule” carries the connotation of something “general”. A “rule” does not refer to a single non -recurring event but to a whole class of similar events”. </w:t>
      </w:r>
    </w:p>
  </w:footnote>
  <w:footnote w:id="9">
    <w:p w14:paraId="3FC99F71"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New Jersey: Transaction Publishers. 2006, p. 45.</w:t>
      </w:r>
    </w:p>
  </w:footnote>
  <w:footnote w:id="10">
    <w:p w14:paraId="34F679E8"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xml:space="preserve">. New Jersey: Transaction Publishers. 2006, p. 39. “An act is a legal act precisely because it is determined by a legal norm. The legal quality of </w:t>
      </w:r>
      <w:proofErr w:type="spellStart"/>
      <w:r>
        <w:rPr>
          <w:lang w:val="en-US"/>
        </w:rPr>
        <w:t>na</w:t>
      </w:r>
      <w:proofErr w:type="spellEnd"/>
      <w:r>
        <w:rPr>
          <w:lang w:val="en-US"/>
        </w:rPr>
        <w:t xml:space="preserve"> ac tis identical with its relation to a legal norm. An act is a “legal” act only because and only insofar as it is determined by a legal norm. […] … law is made up of legal norms and legal acts as determined by these norms”.</w:t>
      </w:r>
    </w:p>
  </w:footnote>
  <w:footnote w:id="11">
    <w:p w14:paraId="6EAF9A89" w14:textId="77777777" w:rsidR="003042B8" w:rsidRDefault="003042B8" w:rsidP="003042B8">
      <w:pPr>
        <w:pStyle w:val="Textodenotaderodap"/>
        <w:spacing w:line="240" w:lineRule="auto"/>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xml:space="preserve">. </w:t>
      </w:r>
      <w:r>
        <w:t xml:space="preserve">New Jersey: </w:t>
      </w:r>
      <w:proofErr w:type="spellStart"/>
      <w:r>
        <w:t>Publishers</w:t>
      </w:r>
      <w:proofErr w:type="spellEnd"/>
      <w:r>
        <w:t>. 2006, p. 30-31.</w:t>
      </w:r>
    </w:p>
  </w:footnote>
  <w:footnote w:id="12">
    <w:p w14:paraId="61C87121" w14:textId="77777777" w:rsidR="003042B8" w:rsidRDefault="003042B8" w:rsidP="003042B8">
      <w:pPr>
        <w:pStyle w:val="Textodenotaderodap"/>
        <w:spacing w:line="240" w:lineRule="auto"/>
      </w:pPr>
      <w:r>
        <w:rPr>
          <w:rStyle w:val="Caracteresdenotaderodap"/>
        </w:rPr>
        <w:footnoteRef/>
      </w:r>
      <w:r>
        <w:rPr>
          <w:rFonts w:eastAsia="Arial"/>
        </w:rPr>
        <w:t xml:space="preserve"> </w:t>
      </w:r>
      <w:r>
        <w:t>Bobbio e Hart, por exemplo, se debruçaram sobre a ausência de sanção no direito internacional como forma de compreender a sua natureza.</w:t>
      </w:r>
    </w:p>
  </w:footnote>
  <w:footnote w:id="13">
    <w:p w14:paraId="61A8E676" w14:textId="77777777" w:rsidR="003042B8" w:rsidRDefault="003042B8" w:rsidP="003042B8">
      <w:pPr>
        <w:pStyle w:val="Textodenotaderodap"/>
        <w:spacing w:line="240" w:lineRule="auto"/>
      </w:pPr>
      <w:r>
        <w:rPr>
          <w:rStyle w:val="Caracteresdenotaderodap"/>
        </w:rPr>
        <w:footnoteRef/>
      </w:r>
      <w:r>
        <w:t xml:space="preserve"> JO, </w:t>
      </w:r>
      <w:proofErr w:type="spellStart"/>
      <w:r>
        <w:t>Moon</w:t>
      </w:r>
      <w:proofErr w:type="spellEnd"/>
      <w:r>
        <w:t xml:space="preserve"> </w:t>
      </w:r>
      <w:r>
        <w:rPr>
          <w:rFonts w:eastAsia="Arial"/>
        </w:rPr>
        <w:t>H</w:t>
      </w:r>
      <w:r>
        <w:t xml:space="preserve">ee. </w:t>
      </w:r>
      <w:r>
        <w:rPr>
          <w:b/>
        </w:rPr>
        <w:t>Introdução ao direito internacional</w:t>
      </w:r>
      <w:r>
        <w:rPr>
          <w:b/>
          <w:bCs/>
        </w:rPr>
        <w:t>.</w:t>
      </w:r>
      <w:r>
        <w:t xml:space="preserve"> 2. ed. São Paulo: </w:t>
      </w:r>
      <w:proofErr w:type="spellStart"/>
      <w:r>
        <w:t>LTr</w:t>
      </w:r>
      <w:proofErr w:type="spellEnd"/>
      <w:r>
        <w:t>, 2004, p. 50.</w:t>
      </w:r>
    </w:p>
  </w:footnote>
  <w:footnote w:id="14">
    <w:p w14:paraId="279E3727"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KRATOCHWIL, Friedrich V. </w:t>
      </w:r>
      <w:r>
        <w:rPr>
          <w:b/>
          <w:lang w:val="en-US"/>
        </w:rPr>
        <w:t>Rules, Norms and Decisions on the Conditions of Practical and legal reasoning in international relations and domestic affairs</w:t>
      </w:r>
      <w:r>
        <w:rPr>
          <w:lang w:val="en-US"/>
        </w:rPr>
        <w:t xml:space="preserve">. Cambridge: Cambridge University Press. 1989, p. 5-6. “Important aspects of social action such as advising, demanding, apologizing, asserting, </w:t>
      </w:r>
      <w:proofErr w:type="spellStart"/>
      <w:r>
        <w:rPr>
          <w:lang w:val="en-US"/>
        </w:rPr>
        <w:t>promissing</w:t>
      </w:r>
      <w:proofErr w:type="spellEnd"/>
      <w:r>
        <w:rPr>
          <w:lang w:val="en-US"/>
        </w:rPr>
        <w:t>, etc...”</w:t>
      </w:r>
    </w:p>
  </w:footnote>
  <w:footnote w:id="15">
    <w:p w14:paraId="7BB6976D"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KOSKENNIEMI. </w:t>
      </w:r>
      <w:proofErr w:type="spellStart"/>
      <w:r>
        <w:rPr>
          <w:lang w:val="en-US"/>
        </w:rPr>
        <w:t>Martti</w:t>
      </w:r>
      <w:proofErr w:type="spellEnd"/>
      <w:r>
        <w:rPr>
          <w:lang w:val="en-US"/>
        </w:rPr>
        <w:t xml:space="preserve">. </w:t>
      </w:r>
      <w:r>
        <w:rPr>
          <w:b/>
          <w:lang w:val="en-US"/>
        </w:rPr>
        <w:t>The politics of International Law</w:t>
      </w:r>
      <w:r>
        <w:rPr>
          <w:lang w:val="en-US"/>
        </w:rPr>
        <w:t xml:space="preserve">. 1990. p. 9. “According to the requirement of normativity, law should be Applied regardless of the political preferences of legal subjects”. […] The more reconstructive doctrine shave attempted to prove the normativity of the law, its </w:t>
      </w:r>
      <w:proofErr w:type="spellStart"/>
      <w:r>
        <w:rPr>
          <w:lang w:val="en-US"/>
        </w:rPr>
        <w:t>autornomy</w:t>
      </w:r>
      <w:proofErr w:type="spellEnd"/>
      <w:r>
        <w:rPr>
          <w:lang w:val="en-US"/>
        </w:rPr>
        <w:t xml:space="preserve"> from politics, the more They have become vulnerable to the charge of utopianism. The more they have </w:t>
      </w:r>
      <w:proofErr w:type="spellStart"/>
      <w:r>
        <w:rPr>
          <w:lang w:val="en-US"/>
        </w:rPr>
        <w:t>inssited</w:t>
      </w:r>
      <w:proofErr w:type="spellEnd"/>
      <w:r>
        <w:rPr>
          <w:lang w:val="en-US"/>
        </w:rPr>
        <w:t xml:space="preserve"> on the close </w:t>
      </w:r>
      <w:proofErr w:type="spellStart"/>
      <w:r>
        <w:rPr>
          <w:lang w:val="en-US"/>
        </w:rPr>
        <w:t>connexion</w:t>
      </w:r>
      <w:proofErr w:type="spellEnd"/>
      <w:r>
        <w:rPr>
          <w:lang w:val="en-US"/>
        </w:rPr>
        <w:t xml:space="preserve"> between international law and state </w:t>
      </w:r>
      <w:proofErr w:type="spellStart"/>
      <w:r>
        <w:rPr>
          <w:lang w:val="en-US"/>
        </w:rPr>
        <w:t>behaviour</w:t>
      </w:r>
      <w:proofErr w:type="spellEnd"/>
      <w:r>
        <w:rPr>
          <w:lang w:val="en-US"/>
        </w:rPr>
        <w:t>, the less normative their doctrines have appeared”.</w:t>
      </w:r>
    </w:p>
  </w:footnote>
  <w:footnote w:id="16">
    <w:p w14:paraId="26DC1CA5" w14:textId="77777777" w:rsidR="003042B8" w:rsidRPr="00C43F55" w:rsidRDefault="003042B8" w:rsidP="003042B8">
      <w:pPr>
        <w:pStyle w:val="Textodenotaderodap"/>
        <w:spacing w:line="240" w:lineRule="auto"/>
        <w:rPr>
          <w:lang w:val="en-US"/>
        </w:rPr>
      </w:pPr>
      <w:r>
        <w:rPr>
          <w:rStyle w:val="Caracteresdenotaderodap"/>
        </w:rPr>
        <w:footnoteRef/>
      </w:r>
      <w:r>
        <w:rPr>
          <w:lang w:val="en-US"/>
        </w:rPr>
        <w:t xml:space="preserve"> ROUGHAN, Nicole. </w:t>
      </w:r>
      <w:r>
        <w:rPr>
          <w:b/>
          <w:lang w:val="en-US"/>
        </w:rPr>
        <w:t>Sources and the Normativity of International Law</w:t>
      </w:r>
      <w:r>
        <w:rPr>
          <w:lang w:val="en-US"/>
        </w:rPr>
        <w:t xml:space="preserve">: From validity to justification. In: The Oxford handbook of the sources of international law. Edited by Samantha Besson and Jean </w:t>
      </w:r>
      <w:proofErr w:type="spellStart"/>
      <w:r>
        <w:rPr>
          <w:lang w:val="en-US"/>
        </w:rPr>
        <w:t>D’Aspremont</w:t>
      </w:r>
      <w:proofErr w:type="spellEnd"/>
      <w:r>
        <w:rPr>
          <w:lang w:val="en-US"/>
        </w:rPr>
        <w:t>. 2018. p. 715-716.</w:t>
      </w:r>
    </w:p>
  </w:footnote>
  <w:footnote w:id="17">
    <w:p w14:paraId="6543BD15" w14:textId="77777777" w:rsidR="003042B8" w:rsidRPr="00C43F55" w:rsidRDefault="003042B8" w:rsidP="003042B8">
      <w:pPr>
        <w:spacing w:line="240" w:lineRule="auto"/>
        <w:rPr>
          <w:lang w:val="en-US"/>
        </w:rPr>
      </w:pPr>
      <w:r>
        <w:rPr>
          <w:rStyle w:val="Caracteresdenotaderodap"/>
        </w:rPr>
        <w:footnoteRef/>
      </w:r>
      <w:r>
        <w:rPr>
          <w:rFonts w:eastAsia="Arial"/>
          <w:sz w:val="20"/>
          <w:szCs w:val="20"/>
          <w:lang w:val="en-US"/>
        </w:rPr>
        <w:t xml:space="preserve"> </w:t>
      </w:r>
      <w:r>
        <w:rPr>
          <w:sz w:val="20"/>
          <w:szCs w:val="20"/>
          <w:lang w:val="en-US"/>
        </w:rPr>
        <w:t xml:space="preserve">COMBACAU, Jean; SUR, Serge. </w:t>
      </w:r>
      <w:r>
        <w:rPr>
          <w:b/>
          <w:sz w:val="20"/>
          <w:szCs w:val="20"/>
          <w:lang w:val="en-US"/>
        </w:rPr>
        <w:t>Droit International Public</w:t>
      </w:r>
      <w:r>
        <w:rPr>
          <w:sz w:val="20"/>
          <w:szCs w:val="20"/>
          <w:lang w:val="en-US"/>
        </w:rPr>
        <w:t xml:space="preserve">. 8. ed. Paris: </w:t>
      </w:r>
      <w:proofErr w:type="spellStart"/>
      <w:r>
        <w:rPr>
          <w:sz w:val="20"/>
          <w:szCs w:val="20"/>
          <w:lang w:val="en-US"/>
        </w:rPr>
        <w:t>Montchrestien</w:t>
      </w:r>
      <w:proofErr w:type="spellEnd"/>
      <w:r>
        <w:rPr>
          <w:sz w:val="20"/>
          <w:szCs w:val="20"/>
          <w:lang w:val="en-US"/>
        </w:rPr>
        <w:t xml:space="preserve">, </w:t>
      </w:r>
      <w:proofErr w:type="spellStart"/>
      <w:r>
        <w:rPr>
          <w:sz w:val="20"/>
          <w:szCs w:val="20"/>
          <w:lang w:val="en-US"/>
        </w:rPr>
        <w:t>Lextenso</w:t>
      </w:r>
      <w:proofErr w:type="spellEnd"/>
      <w:r>
        <w:rPr>
          <w:sz w:val="20"/>
          <w:szCs w:val="20"/>
          <w:lang w:val="en-US"/>
        </w:rPr>
        <w:t xml:space="preserve">. 2008. p.51. “La pratique international ne </w:t>
      </w:r>
      <w:proofErr w:type="spellStart"/>
      <w:r>
        <w:rPr>
          <w:sz w:val="20"/>
          <w:szCs w:val="20"/>
          <w:lang w:val="en-US"/>
        </w:rPr>
        <w:t>raisonne</w:t>
      </w:r>
      <w:proofErr w:type="spellEnd"/>
      <w:r>
        <w:rPr>
          <w:sz w:val="20"/>
          <w:szCs w:val="20"/>
          <w:lang w:val="en-US"/>
        </w:rPr>
        <w:t xml:space="preserve"> pas </w:t>
      </w:r>
      <w:proofErr w:type="spellStart"/>
      <w:r>
        <w:rPr>
          <w:sz w:val="20"/>
          <w:szCs w:val="20"/>
          <w:lang w:val="en-US"/>
        </w:rPr>
        <w:t>en</w:t>
      </w:r>
      <w:proofErr w:type="spellEnd"/>
      <w:r>
        <w:rPr>
          <w:sz w:val="20"/>
          <w:szCs w:val="20"/>
          <w:lang w:val="en-US"/>
        </w:rPr>
        <w:t xml:space="preserve"> </w:t>
      </w:r>
      <w:proofErr w:type="spellStart"/>
      <w:r>
        <w:rPr>
          <w:sz w:val="20"/>
          <w:szCs w:val="20"/>
          <w:lang w:val="en-US"/>
        </w:rPr>
        <w:t>termes</w:t>
      </w:r>
      <w:proofErr w:type="spellEnd"/>
      <w:r>
        <w:rPr>
          <w:sz w:val="20"/>
          <w:szCs w:val="20"/>
          <w:lang w:val="en-US"/>
        </w:rPr>
        <w:t xml:space="preserve"> de norms, </w:t>
      </w:r>
      <w:proofErr w:type="spellStart"/>
      <w:r>
        <w:rPr>
          <w:sz w:val="20"/>
          <w:szCs w:val="20"/>
          <w:lang w:val="en-US"/>
        </w:rPr>
        <w:t>mais</w:t>
      </w:r>
      <w:proofErr w:type="spellEnd"/>
      <w:r>
        <w:rPr>
          <w:sz w:val="20"/>
          <w:szCs w:val="20"/>
          <w:lang w:val="en-US"/>
        </w:rPr>
        <w:t xml:space="preserve"> </w:t>
      </w:r>
      <w:proofErr w:type="spellStart"/>
      <w:r>
        <w:rPr>
          <w:sz w:val="20"/>
          <w:szCs w:val="20"/>
          <w:lang w:val="en-US"/>
        </w:rPr>
        <w:t>d’obligations</w:t>
      </w:r>
      <w:proofErr w:type="spellEnd"/>
      <w:r>
        <w:rPr>
          <w:sz w:val="20"/>
          <w:szCs w:val="20"/>
          <w:lang w:val="en-US"/>
        </w:rPr>
        <w:t xml:space="preserve">, qui </w:t>
      </w:r>
      <w:proofErr w:type="spellStart"/>
      <w:r>
        <w:rPr>
          <w:sz w:val="20"/>
          <w:szCs w:val="20"/>
          <w:lang w:val="en-US"/>
        </w:rPr>
        <w:t>peuvent</w:t>
      </w:r>
      <w:proofErr w:type="spellEnd"/>
      <w:r>
        <w:rPr>
          <w:sz w:val="20"/>
          <w:szCs w:val="20"/>
          <w:lang w:val="en-US"/>
        </w:rPr>
        <w:t xml:space="preserve"> </w:t>
      </w:r>
      <w:proofErr w:type="spellStart"/>
      <w:r>
        <w:rPr>
          <w:sz w:val="20"/>
          <w:szCs w:val="20"/>
          <w:lang w:val="en-US"/>
        </w:rPr>
        <w:t>avoir</w:t>
      </w:r>
      <w:proofErr w:type="spellEnd"/>
      <w:r>
        <w:rPr>
          <w:sz w:val="20"/>
          <w:szCs w:val="20"/>
          <w:lang w:val="en-US"/>
        </w:rPr>
        <w:t xml:space="preserve"> </w:t>
      </w:r>
      <w:proofErr w:type="spellStart"/>
      <w:r>
        <w:rPr>
          <w:sz w:val="20"/>
          <w:szCs w:val="20"/>
          <w:lang w:val="en-US"/>
        </w:rPr>
        <w:t>une</w:t>
      </w:r>
      <w:proofErr w:type="spellEnd"/>
      <w:r>
        <w:rPr>
          <w:sz w:val="20"/>
          <w:szCs w:val="20"/>
          <w:lang w:val="en-US"/>
        </w:rPr>
        <w:t xml:space="preserve"> </w:t>
      </w:r>
      <w:proofErr w:type="spellStart"/>
      <w:r>
        <w:rPr>
          <w:sz w:val="20"/>
          <w:szCs w:val="20"/>
          <w:lang w:val="en-US"/>
        </w:rPr>
        <w:t>intensité</w:t>
      </w:r>
      <w:proofErr w:type="spellEnd"/>
      <w:r>
        <w:rPr>
          <w:sz w:val="20"/>
          <w:szCs w:val="20"/>
          <w:lang w:val="en-US"/>
        </w:rPr>
        <w:t xml:space="preserve"> </w:t>
      </w:r>
      <w:proofErr w:type="spellStart"/>
      <w:r>
        <w:rPr>
          <w:sz w:val="20"/>
          <w:szCs w:val="20"/>
          <w:lang w:val="en-US"/>
        </w:rPr>
        <w:t>différenciée</w:t>
      </w:r>
      <w:proofErr w:type="spellEnd"/>
      <w:r>
        <w:rPr>
          <w:sz w:val="20"/>
          <w:szCs w:val="20"/>
          <w:lang w:val="en-US"/>
        </w:rPr>
        <w:t xml:space="preserve">, sans pour </w:t>
      </w:r>
      <w:proofErr w:type="spellStart"/>
      <w:r>
        <w:rPr>
          <w:sz w:val="20"/>
          <w:szCs w:val="20"/>
          <w:lang w:val="en-US"/>
        </w:rPr>
        <w:t>autant</w:t>
      </w:r>
      <w:proofErr w:type="spellEnd"/>
      <w:r>
        <w:rPr>
          <w:sz w:val="20"/>
          <w:szCs w:val="20"/>
          <w:lang w:val="en-US"/>
        </w:rPr>
        <w:t xml:space="preserve"> </w:t>
      </w:r>
      <w:proofErr w:type="spellStart"/>
      <w:r>
        <w:rPr>
          <w:sz w:val="20"/>
          <w:szCs w:val="20"/>
          <w:lang w:val="en-US"/>
        </w:rPr>
        <w:t>constituer</w:t>
      </w:r>
      <w:proofErr w:type="spellEnd"/>
      <w:r>
        <w:rPr>
          <w:sz w:val="20"/>
          <w:szCs w:val="20"/>
          <w:lang w:val="en-US"/>
        </w:rPr>
        <w:t xml:space="preserve"> des norms </w:t>
      </w:r>
      <w:proofErr w:type="spellStart"/>
      <w:r>
        <w:rPr>
          <w:sz w:val="20"/>
          <w:szCs w:val="20"/>
          <w:lang w:val="en-US"/>
        </w:rPr>
        <w:t>générales</w:t>
      </w:r>
      <w:proofErr w:type="spellEnd"/>
      <w:r>
        <w:rPr>
          <w:sz w:val="20"/>
          <w:szCs w:val="20"/>
          <w:lang w:val="en-US"/>
        </w:rPr>
        <w:t xml:space="preserve">. </w:t>
      </w:r>
      <w:proofErr w:type="spellStart"/>
      <w:r>
        <w:rPr>
          <w:sz w:val="20"/>
          <w:szCs w:val="20"/>
          <w:lang w:val="en-US"/>
        </w:rPr>
        <w:t>L’expression</w:t>
      </w:r>
      <w:proofErr w:type="spellEnd"/>
      <w:r>
        <w:rPr>
          <w:sz w:val="20"/>
          <w:szCs w:val="20"/>
          <w:lang w:val="en-US"/>
        </w:rPr>
        <w:t xml:space="preserve"> meme de &lt;&lt;</w:t>
      </w:r>
      <w:proofErr w:type="spellStart"/>
      <w:r>
        <w:rPr>
          <w:sz w:val="20"/>
          <w:szCs w:val="20"/>
          <w:lang w:val="en-US"/>
        </w:rPr>
        <w:t>norme</w:t>
      </w:r>
      <w:proofErr w:type="spellEnd"/>
      <w:r>
        <w:rPr>
          <w:sz w:val="20"/>
          <w:szCs w:val="20"/>
          <w:lang w:val="en-US"/>
        </w:rPr>
        <w:t xml:space="preserve">&gt;&gt; </w:t>
      </w:r>
      <w:proofErr w:type="spellStart"/>
      <w:r>
        <w:rPr>
          <w:sz w:val="20"/>
          <w:szCs w:val="20"/>
          <w:lang w:val="en-US"/>
        </w:rPr>
        <w:t>n’appartient</w:t>
      </w:r>
      <w:proofErr w:type="spellEnd"/>
      <w:r>
        <w:rPr>
          <w:sz w:val="20"/>
          <w:szCs w:val="20"/>
          <w:lang w:val="en-US"/>
        </w:rPr>
        <w:t xml:space="preserve"> pas au </w:t>
      </w:r>
      <w:proofErr w:type="spellStart"/>
      <w:r>
        <w:rPr>
          <w:sz w:val="20"/>
          <w:szCs w:val="20"/>
          <w:lang w:val="en-US"/>
        </w:rPr>
        <w:t>vocabulaire</w:t>
      </w:r>
      <w:proofErr w:type="spellEnd"/>
      <w:r>
        <w:rPr>
          <w:sz w:val="20"/>
          <w:szCs w:val="20"/>
          <w:lang w:val="en-US"/>
        </w:rPr>
        <w:t xml:space="preserve"> du droit international </w:t>
      </w:r>
      <w:proofErr w:type="spellStart"/>
      <w:r>
        <w:rPr>
          <w:sz w:val="20"/>
          <w:szCs w:val="20"/>
          <w:lang w:val="en-US"/>
        </w:rPr>
        <w:t>positif</w:t>
      </w:r>
      <w:proofErr w:type="spellEnd"/>
      <w:r>
        <w:rPr>
          <w:sz w:val="20"/>
          <w:szCs w:val="20"/>
          <w:lang w:val="en-US"/>
        </w:rPr>
        <w:t xml:space="preserve">, </w:t>
      </w:r>
      <w:proofErr w:type="spellStart"/>
      <w:r>
        <w:rPr>
          <w:sz w:val="20"/>
          <w:szCs w:val="20"/>
          <w:lang w:val="en-US"/>
        </w:rPr>
        <w:t>sauf</w:t>
      </w:r>
      <w:proofErr w:type="spellEnd"/>
      <w:r>
        <w:rPr>
          <w:sz w:val="20"/>
          <w:szCs w:val="20"/>
          <w:lang w:val="en-US"/>
        </w:rPr>
        <w:t xml:space="preserve"> dans les conventions de Vienne sur le droit des </w:t>
      </w:r>
      <w:proofErr w:type="spellStart"/>
      <w:r>
        <w:rPr>
          <w:sz w:val="20"/>
          <w:szCs w:val="20"/>
          <w:lang w:val="en-US"/>
        </w:rPr>
        <w:t>tratités</w:t>
      </w:r>
      <w:proofErr w:type="spellEnd"/>
      <w:r>
        <w:rPr>
          <w:sz w:val="20"/>
          <w:szCs w:val="20"/>
          <w:lang w:val="en-US"/>
        </w:rPr>
        <w:t xml:space="preserve"> </w:t>
      </w:r>
      <w:proofErr w:type="spellStart"/>
      <w:r>
        <w:rPr>
          <w:sz w:val="20"/>
          <w:szCs w:val="20"/>
          <w:lang w:val="en-US"/>
        </w:rPr>
        <w:t>ou</w:t>
      </w:r>
      <w:proofErr w:type="spellEnd"/>
      <w:r>
        <w:rPr>
          <w:sz w:val="20"/>
          <w:szCs w:val="20"/>
          <w:lang w:val="en-US"/>
        </w:rPr>
        <w:t xml:space="preserve">, plus </w:t>
      </w:r>
      <w:proofErr w:type="spellStart"/>
      <w:r>
        <w:rPr>
          <w:sz w:val="20"/>
          <w:szCs w:val="20"/>
          <w:lang w:val="en-US"/>
        </w:rPr>
        <w:t>récemment</w:t>
      </w:r>
      <w:proofErr w:type="spellEnd"/>
      <w:r>
        <w:rPr>
          <w:sz w:val="20"/>
          <w:szCs w:val="20"/>
          <w:lang w:val="en-US"/>
        </w:rPr>
        <w:t xml:space="preserve">, dans la motivation de </w:t>
      </w:r>
      <w:proofErr w:type="spellStart"/>
      <w:r>
        <w:rPr>
          <w:sz w:val="20"/>
          <w:szCs w:val="20"/>
          <w:lang w:val="en-US"/>
        </w:rPr>
        <w:t>certaines</w:t>
      </w:r>
      <w:proofErr w:type="spellEnd"/>
      <w:r>
        <w:rPr>
          <w:sz w:val="20"/>
          <w:szCs w:val="20"/>
          <w:lang w:val="en-US"/>
        </w:rPr>
        <w:t xml:space="preserve"> decisions des </w:t>
      </w:r>
      <w:proofErr w:type="spellStart"/>
      <w:r>
        <w:rPr>
          <w:sz w:val="20"/>
          <w:szCs w:val="20"/>
          <w:lang w:val="en-US"/>
        </w:rPr>
        <w:t>juridictions</w:t>
      </w:r>
      <w:proofErr w:type="spellEnd"/>
      <w:r>
        <w:rPr>
          <w:sz w:val="20"/>
          <w:szCs w:val="20"/>
          <w:lang w:val="en-US"/>
        </w:rPr>
        <w:t xml:space="preserve"> internationals”.</w:t>
      </w:r>
    </w:p>
  </w:footnote>
  <w:footnote w:id="18">
    <w:p w14:paraId="72B9B1FB"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rPr>
        <w:t xml:space="preserve"> </w:t>
      </w:r>
      <w:r>
        <w:t xml:space="preserve">BRASIL, </w:t>
      </w:r>
      <w:r>
        <w:rPr>
          <w:b/>
        </w:rPr>
        <w:t>Decreto nº 7.030, de 14 de dezembro de 2009</w:t>
      </w:r>
      <w:r>
        <w:t xml:space="preserve">. Promulga a Convenção de Viena sobre o Direito dos Tratados, concluída em 23 de maio de 1969, com reserva aos artigos 25 e 66. </w:t>
      </w:r>
      <w:r>
        <w:rPr>
          <w:lang w:val="en-US"/>
        </w:rPr>
        <w:t xml:space="preserve">Brasília: DF, 2009. </w:t>
      </w:r>
    </w:p>
  </w:footnote>
  <w:footnote w:id="19">
    <w:p w14:paraId="58EDE4D7" w14:textId="77777777" w:rsidR="003042B8" w:rsidRPr="00C43F55" w:rsidRDefault="003042B8" w:rsidP="003042B8">
      <w:pPr>
        <w:spacing w:line="240" w:lineRule="auto"/>
        <w:rPr>
          <w:lang w:val="en-US"/>
        </w:rPr>
      </w:pPr>
      <w:r>
        <w:rPr>
          <w:rStyle w:val="Caracteresdenotaderodap"/>
        </w:rPr>
        <w:footnoteRef/>
      </w:r>
      <w:r>
        <w:rPr>
          <w:rFonts w:eastAsia="Arial"/>
          <w:lang w:val="en-US"/>
        </w:rPr>
        <w:t xml:space="preserve"> </w:t>
      </w:r>
      <w:r>
        <w:rPr>
          <w:sz w:val="20"/>
          <w:szCs w:val="20"/>
          <w:lang w:val="en-US"/>
        </w:rPr>
        <w:t xml:space="preserve">COMBACAU, Jean; SUR, Serge. </w:t>
      </w:r>
      <w:r>
        <w:rPr>
          <w:b/>
          <w:sz w:val="20"/>
          <w:szCs w:val="20"/>
          <w:lang w:val="en-US"/>
        </w:rPr>
        <w:t>Droit International Public</w:t>
      </w:r>
      <w:r>
        <w:rPr>
          <w:sz w:val="20"/>
          <w:szCs w:val="20"/>
          <w:lang w:val="en-US"/>
        </w:rPr>
        <w:t xml:space="preserve">. 8. ed. Paris: </w:t>
      </w:r>
      <w:proofErr w:type="spellStart"/>
      <w:r>
        <w:rPr>
          <w:sz w:val="20"/>
          <w:szCs w:val="20"/>
          <w:lang w:val="en-US"/>
        </w:rPr>
        <w:t>Montchrestien</w:t>
      </w:r>
      <w:proofErr w:type="spellEnd"/>
      <w:r>
        <w:rPr>
          <w:sz w:val="20"/>
          <w:szCs w:val="20"/>
          <w:lang w:val="en-US"/>
        </w:rPr>
        <w:t xml:space="preserve">, </w:t>
      </w:r>
      <w:proofErr w:type="spellStart"/>
      <w:r>
        <w:rPr>
          <w:sz w:val="20"/>
          <w:szCs w:val="20"/>
          <w:lang w:val="en-US"/>
        </w:rPr>
        <w:t>Lextenso</w:t>
      </w:r>
      <w:proofErr w:type="spellEnd"/>
      <w:r>
        <w:rPr>
          <w:sz w:val="20"/>
          <w:szCs w:val="20"/>
          <w:lang w:val="en-US"/>
        </w:rPr>
        <w:t>. 2008. p. 50-53.</w:t>
      </w:r>
    </w:p>
    <w:p w14:paraId="3970F348" w14:textId="77777777" w:rsidR="003042B8" w:rsidRPr="00C43F55" w:rsidRDefault="003042B8" w:rsidP="003042B8">
      <w:pPr>
        <w:pStyle w:val="Textodenotaderodap"/>
        <w:rPr>
          <w:lang w:val="en-US"/>
        </w:rPr>
      </w:pPr>
    </w:p>
  </w:footnote>
  <w:footnote w:id="20">
    <w:p w14:paraId="3D31EF91"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LEMBCKE, Oliver; KLINK, Bart. </w:t>
      </w:r>
      <w:r>
        <w:rPr>
          <w:b/>
          <w:lang w:val="en-US"/>
        </w:rPr>
        <w:t>A fuller understanding of legal validity and soft law</w:t>
      </w:r>
      <w:r>
        <w:rPr>
          <w:lang w:val="en-US"/>
        </w:rPr>
        <w:t xml:space="preserve">. Jaap </w:t>
      </w:r>
      <w:proofErr w:type="spellStart"/>
      <w:r>
        <w:rPr>
          <w:lang w:val="en-US"/>
        </w:rPr>
        <w:t>Hage</w:t>
      </w:r>
      <w:proofErr w:type="spellEnd"/>
      <w:r>
        <w:rPr>
          <w:lang w:val="en-US"/>
        </w:rPr>
        <w:t xml:space="preserve"> - 2018 - In Anne </w:t>
      </w:r>
      <w:proofErr w:type="spellStart"/>
      <w:r>
        <w:rPr>
          <w:lang w:val="en-US"/>
        </w:rPr>
        <w:t>Mackor</w:t>
      </w:r>
      <w:proofErr w:type="spellEnd"/>
      <w:r>
        <w:rPr>
          <w:lang w:val="en-US"/>
        </w:rPr>
        <w:t xml:space="preserve">, Stephan </w:t>
      </w:r>
      <w:proofErr w:type="spellStart"/>
      <w:r>
        <w:rPr>
          <w:lang w:val="en-US"/>
        </w:rPr>
        <w:t>Kirste</w:t>
      </w:r>
      <w:proofErr w:type="spellEnd"/>
      <w:r>
        <w:rPr>
          <w:lang w:val="en-US"/>
        </w:rPr>
        <w:t xml:space="preserve">, Jaap </w:t>
      </w:r>
      <w:proofErr w:type="spellStart"/>
      <w:r>
        <w:rPr>
          <w:lang w:val="en-US"/>
        </w:rPr>
        <w:t>Hage</w:t>
      </w:r>
      <w:proofErr w:type="spellEnd"/>
      <w:r>
        <w:rPr>
          <w:lang w:val="en-US"/>
        </w:rPr>
        <w:t xml:space="preserve"> &amp; Pauline </w:t>
      </w:r>
      <w:proofErr w:type="spellStart"/>
      <w:r>
        <w:rPr>
          <w:lang w:val="en-US"/>
        </w:rPr>
        <w:t>Westerman</w:t>
      </w:r>
      <w:proofErr w:type="spellEnd"/>
      <w:r>
        <w:rPr>
          <w:lang w:val="en-US"/>
        </w:rPr>
        <w:t xml:space="preserve"> (eds.), Legal Validity and Soft Law. Springer Verlag. p. 146. “</w:t>
      </w:r>
      <w:proofErr w:type="gramStart"/>
      <w:r>
        <w:rPr>
          <w:lang w:val="en-US"/>
        </w:rPr>
        <w:t>crucial</w:t>
      </w:r>
      <w:proofErr w:type="gramEnd"/>
      <w:r>
        <w:rPr>
          <w:lang w:val="en-US"/>
        </w:rPr>
        <w:t xml:space="preserve"> for determining legal validity, either as a sufficient condition when it comes to rules internal to a legal system or as a necessary condition in the case of rules imported from another legal system. A rule is a legally valid rule if it can be shown that it belongs to a legal system, consisting of rules that are already recognized as legally valid”.</w:t>
      </w:r>
    </w:p>
  </w:footnote>
  <w:footnote w:id="21">
    <w:p w14:paraId="3FC0626C" w14:textId="77777777" w:rsidR="003042B8" w:rsidRPr="00C43F55" w:rsidRDefault="003042B8" w:rsidP="003042B8">
      <w:pPr>
        <w:pStyle w:val="Textodenotaderodap"/>
        <w:spacing w:line="240" w:lineRule="auto"/>
        <w:rPr>
          <w:lang w:val="en-US"/>
        </w:rPr>
      </w:pPr>
      <w:r w:rsidRPr="005A07DB">
        <w:rPr>
          <w:rStyle w:val="Caracteresdenotaderodap"/>
        </w:rPr>
        <w:footnoteRef/>
      </w:r>
      <w:r w:rsidRPr="005A07DB">
        <w:rPr>
          <w:rFonts w:eastAsia="Arial"/>
        </w:rPr>
        <w:t xml:space="preserve"> </w:t>
      </w:r>
      <w:r w:rsidRPr="005A07DB">
        <w:t xml:space="preserve">BRANT, Leonardo </w:t>
      </w:r>
      <w:proofErr w:type="spellStart"/>
      <w:r w:rsidRPr="005A07DB">
        <w:t>Nemer</w:t>
      </w:r>
      <w:proofErr w:type="spellEnd"/>
      <w:r w:rsidRPr="005A07DB">
        <w:t xml:space="preserve"> Caldeira. </w:t>
      </w:r>
      <w:r w:rsidRPr="005A07DB">
        <w:rPr>
          <w:b/>
        </w:rPr>
        <w:t>A Corte Internacional de justiça e a construção do direito internacional</w:t>
      </w:r>
      <w:r w:rsidRPr="005A07DB">
        <w:t xml:space="preserve">. </w:t>
      </w:r>
      <w:r w:rsidRPr="005A07DB">
        <w:rPr>
          <w:lang w:val="en-US"/>
        </w:rPr>
        <w:t xml:space="preserve">Belo Horizonte: </w:t>
      </w:r>
      <w:proofErr w:type="spellStart"/>
      <w:r w:rsidRPr="005A07DB">
        <w:rPr>
          <w:lang w:val="en-US"/>
        </w:rPr>
        <w:t>Lutador</w:t>
      </w:r>
      <w:proofErr w:type="spellEnd"/>
      <w:r w:rsidRPr="005A07DB">
        <w:rPr>
          <w:lang w:val="en-US"/>
        </w:rPr>
        <w:t>, 2005. p. 612-613.</w:t>
      </w:r>
    </w:p>
  </w:footnote>
  <w:footnote w:id="22">
    <w:p w14:paraId="528C8D6B" w14:textId="77777777" w:rsidR="003042B8" w:rsidRPr="00C43F55" w:rsidRDefault="003042B8" w:rsidP="003042B8">
      <w:pPr>
        <w:pStyle w:val="Textodenotaderodap"/>
        <w:spacing w:line="240" w:lineRule="auto"/>
        <w:rPr>
          <w:lang w:val="en-US"/>
        </w:rPr>
      </w:pPr>
      <w:r w:rsidRPr="005A07DB">
        <w:rPr>
          <w:rStyle w:val="Caracteresdenotaderodap"/>
        </w:rPr>
        <w:footnoteRef/>
      </w:r>
      <w:r w:rsidRPr="005A07DB">
        <w:rPr>
          <w:rFonts w:eastAsia="Arial"/>
          <w:lang w:val="en-US"/>
        </w:rPr>
        <w:t xml:space="preserve"> </w:t>
      </w:r>
      <w:r w:rsidRPr="005A07DB">
        <w:rPr>
          <w:lang w:val="en-US"/>
        </w:rPr>
        <w:t xml:space="preserve">BESSON, Samantha; TASIOULAS. John. </w:t>
      </w:r>
      <w:r w:rsidRPr="005A07DB">
        <w:rPr>
          <w:b/>
          <w:lang w:val="en-US"/>
        </w:rPr>
        <w:t>Moral Philosophy and International Law</w:t>
      </w:r>
      <w:r w:rsidRPr="005A07DB">
        <w:rPr>
          <w:lang w:val="en-US"/>
        </w:rPr>
        <w:t xml:space="preserve">. The Oxford Handbook of the Theory of International Law. New York: Oxford University Press, 2016. p. 433. </w:t>
      </w:r>
    </w:p>
  </w:footnote>
  <w:footnote w:id="23">
    <w:p w14:paraId="751A26F2" w14:textId="77777777" w:rsidR="003042B8" w:rsidRPr="00C43F55" w:rsidRDefault="003042B8" w:rsidP="003042B8">
      <w:pPr>
        <w:pStyle w:val="NormalWeb"/>
        <w:spacing w:before="0" w:after="0" w:line="240" w:lineRule="auto"/>
        <w:rPr>
          <w:lang w:val="en-US"/>
        </w:rPr>
      </w:pPr>
      <w:r w:rsidRPr="005A07DB">
        <w:rPr>
          <w:rStyle w:val="Caracteresdenotaderodap"/>
          <w:rFonts w:ascii="Arial" w:hAnsi="Arial" w:cs="Arial"/>
          <w:sz w:val="20"/>
          <w:szCs w:val="20"/>
        </w:rPr>
        <w:footnoteRef/>
      </w:r>
      <w:r w:rsidRPr="005A07DB">
        <w:rPr>
          <w:rFonts w:ascii="Arial" w:eastAsia="Arial" w:hAnsi="Arial" w:cs="Arial"/>
          <w:sz w:val="20"/>
          <w:szCs w:val="20"/>
          <w:lang w:val="en-US"/>
        </w:rPr>
        <w:t xml:space="preserve"> </w:t>
      </w:r>
      <w:r w:rsidRPr="005A07DB">
        <w:rPr>
          <w:rFonts w:ascii="Arial" w:hAnsi="Arial" w:cs="Arial"/>
          <w:sz w:val="20"/>
          <w:szCs w:val="20"/>
          <w:lang w:val="en-US"/>
        </w:rPr>
        <w:t xml:space="preserve">LYSSY, Ansgar; YEOMANS, Christopher. </w:t>
      </w:r>
      <w:r w:rsidRPr="005A07DB">
        <w:rPr>
          <w:rFonts w:ascii="Arial" w:hAnsi="Arial" w:cs="Arial"/>
          <w:b/>
          <w:bCs/>
          <w:sz w:val="20"/>
          <w:szCs w:val="20"/>
          <w:lang w:val="en-US"/>
        </w:rPr>
        <w:t>Kant on Morality, Humanity and Legality</w:t>
      </w:r>
      <w:r w:rsidRPr="005A07DB">
        <w:rPr>
          <w:rFonts w:ascii="Arial" w:hAnsi="Arial" w:cs="Arial"/>
          <w:sz w:val="20"/>
          <w:szCs w:val="20"/>
          <w:lang w:val="en-US"/>
        </w:rPr>
        <w:t xml:space="preserve">: practical dimensions of normativity. (ed) </w:t>
      </w:r>
      <w:proofErr w:type="spellStart"/>
      <w:r w:rsidRPr="005A07DB">
        <w:rPr>
          <w:rFonts w:ascii="Arial" w:hAnsi="Arial" w:cs="Arial"/>
          <w:sz w:val="20"/>
          <w:szCs w:val="20"/>
          <w:lang w:val="en-US"/>
        </w:rPr>
        <w:t>Lyssy</w:t>
      </w:r>
      <w:proofErr w:type="spellEnd"/>
      <w:r w:rsidRPr="005A07DB">
        <w:rPr>
          <w:rFonts w:ascii="Arial" w:hAnsi="Arial" w:cs="Arial"/>
          <w:sz w:val="20"/>
          <w:szCs w:val="20"/>
          <w:lang w:val="en-US"/>
        </w:rPr>
        <w:t xml:space="preserve">, Ansgar; Yeomans, Christopher. Germany: Palgrave Macmillan, 2021, p. 8. “Is not so much the mere sum of individual wills, as rather the ideal unity connecting all individual </w:t>
      </w:r>
      <w:proofErr w:type="spellStart"/>
      <w:r w:rsidRPr="005A07DB">
        <w:rPr>
          <w:rFonts w:ascii="Arial" w:hAnsi="Arial" w:cs="Arial"/>
          <w:sz w:val="20"/>
          <w:szCs w:val="20"/>
          <w:lang w:val="en-US"/>
        </w:rPr>
        <w:t>willsit</w:t>
      </w:r>
      <w:proofErr w:type="spellEnd"/>
      <w:r w:rsidRPr="005A07DB">
        <w:rPr>
          <w:rFonts w:ascii="Arial" w:hAnsi="Arial" w:cs="Arial"/>
          <w:sz w:val="20"/>
          <w:szCs w:val="20"/>
          <w:lang w:val="en-US"/>
        </w:rPr>
        <w:t xml:space="preserve"> is the </w:t>
      </w:r>
      <w:proofErr w:type="spellStart"/>
      <w:r w:rsidRPr="005A07DB">
        <w:rPr>
          <w:rFonts w:ascii="Arial" w:hAnsi="Arial" w:cs="Arial"/>
          <w:i/>
          <w:iCs/>
          <w:sz w:val="20"/>
          <w:szCs w:val="20"/>
          <w:lang w:val="en-US"/>
        </w:rPr>
        <w:t>omnilateral</w:t>
      </w:r>
      <w:proofErr w:type="spellEnd"/>
      <w:r w:rsidRPr="005A07DB">
        <w:rPr>
          <w:rFonts w:ascii="Arial" w:hAnsi="Arial" w:cs="Arial"/>
          <w:i/>
          <w:iCs/>
          <w:sz w:val="20"/>
          <w:szCs w:val="20"/>
          <w:lang w:val="en-US"/>
        </w:rPr>
        <w:t xml:space="preserve"> </w:t>
      </w:r>
      <w:r w:rsidRPr="005A07DB">
        <w:rPr>
          <w:rFonts w:ascii="Arial" w:hAnsi="Arial" w:cs="Arial"/>
          <w:sz w:val="20"/>
          <w:szCs w:val="20"/>
          <w:lang w:val="en-US"/>
        </w:rPr>
        <w:t>will (</w:t>
      </w:r>
      <w:r w:rsidRPr="005A07DB">
        <w:rPr>
          <w:rFonts w:ascii="Arial" w:hAnsi="Arial" w:cs="Arial"/>
          <w:i/>
          <w:iCs/>
          <w:sz w:val="20"/>
          <w:szCs w:val="20"/>
          <w:lang w:val="en-US"/>
        </w:rPr>
        <w:t xml:space="preserve">MM </w:t>
      </w:r>
      <w:r w:rsidRPr="005A07DB">
        <w:rPr>
          <w:rFonts w:ascii="Arial" w:hAnsi="Arial" w:cs="Arial"/>
          <w:sz w:val="20"/>
          <w:szCs w:val="20"/>
          <w:lang w:val="en-US"/>
        </w:rPr>
        <w:t xml:space="preserve">6:259). This definition allows Kant to define the original contract of </w:t>
      </w:r>
      <w:proofErr w:type="spellStart"/>
      <w:r w:rsidRPr="005A07DB">
        <w:rPr>
          <w:rFonts w:ascii="Arial" w:hAnsi="Arial" w:cs="Arial"/>
          <w:sz w:val="20"/>
          <w:szCs w:val="20"/>
          <w:lang w:val="en-US"/>
        </w:rPr>
        <w:t>sov</w:t>
      </w:r>
      <w:proofErr w:type="spellEnd"/>
      <w:r w:rsidRPr="005A07DB">
        <w:rPr>
          <w:rFonts w:ascii="Arial" w:hAnsi="Arial" w:cs="Arial"/>
          <w:sz w:val="20"/>
          <w:szCs w:val="20"/>
          <w:lang w:val="en-US"/>
        </w:rPr>
        <w:t xml:space="preserve"> </w:t>
      </w:r>
      <w:proofErr w:type="spellStart"/>
      <w:r w:rsidRPr="005A07DB">
        <w:rPr>
          <w:rFonts w:ascii="Arial" w:hAnsi="Arial" w:cs="Arial"/>
          <w:sz w:val="20"/>
          <w:szCs w:val="20"/>
          <w:lang w:val="en-US"/>
        </w:rPr>
        <w:t>ereignty</w:t>
      </w:r>
      <w:proofErr w:type="spellEnd"/>
      <w:r w:rsidRPr="005A07DB">
        <w:rPr>
          <w:rFonts w:ascii="Arial" w:hAnsi="Arial" w:cs="Arial"/>
          <w:sz w:val="20"/>
          <w:szCs w:val="20"/>
          <w:lang w:val="en-US"/>
        </w:rPr>
        <w:t xml:space="preserve"> without referring to any actual sovereign. The authority of the state as a lawgiver, Kant claims, is no other than the unified general will of the people itself”.</w:t>
      </w:r>
      <w:r>
        <w:rPr>
          <w:rFonts w:ascii="Arial" w:hAnsi="Arial" w:cs="Arial"/>
          <w:sz w:val="20"/>
          <w:szCs w:val="20"/>
          <w:lang w:val="en-US"/>
        </w:rPr>
        <w:t xml:space="preserve"> </w:t>
      </w:r>
    </w:p>
  </w:footnote>
  <w:footnote w:id="24">
    <w:p w14:paraId="07551365"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DICIONÁRIO </w:t>
      </w:r>
      <w:r>
        <w:rPr>
          <w:b/>
          <w:lang w:val="en-US"/>
        </w:rPr>
        <w:t>The Oxford English Dictionary</w:t>
      </w:r>
      <w:r>
        <w:rPr>
          <w:lang w:val="en-US"/>
        </w:rPr>
        <w:t>. 2. ed. Vol. VIII. p. 811. “The condition of being in accordance with law or principle’, ‘conformity to rule or principle; lawfulness”.</w:t>
      </w:r>
    </w:p>
  </w:footnote>
  <w:footnote w:id="25">
    <w:p w14:paraId="65D5B85F" w14:textId="77777777" w:rsidR="003042B8" w:rsidRDefault="003042B8" w:rsidP="003042B8">
      <w:pPr>
        <w:pStyle w:val="Textodenotaderodap"/>
        <w:spacing w:line="240" w:lineRule="auto"/>
      </w:pPr>
      <w:r>
        <w:rPr>
          <w:rStyle w:val="Caracteresdenotaderodap"/>
        </w:rPr>
        <w:footnoteRef/>
      </w:r>
      <w:r>
        <w:rPr>
          <w:rFonts w:eastAsia="Arial"/>
        </w:rPr>
        <w:t xml:space="preserve"> </w:t>
      </w:r>
      <w:r>
        <w:t xml:space="preserve">JUBILUT, Liliana Lyra. Os Fundamentos do Direito Internacional Contemporâneo: da coexistência aos valores compartilhados. In: </w:t>
      </w:r>
      <w:r>
        <w:rPr>
          <w:b/>
        </w:rPr>
        <w:t>V Anuário Brasileiro de Direito Internacional</w:t>
      </w:r>
      <w:r>
        <w:t xml:space="preserve">, v. 2. </w:t>
      </w:r>
      <w:proofErr w:type="gramStart"/>
      <w:r>
        <w:t>Julho</w:t>
      </w:r>
      <w:proofErr w:type="gramEnd"/>
      <w:r>
        <w:t>/2010. p. 205-207.</w:t>
      </w:r>
    </w:p>
  </w:footnote>
  <w:footnote w:id="26">
    <w:p w14:paraId="530EF492" w14:textId="77777777" w:rsidR="003042B8" w:rsidRDefault="003042B8" w:rsidP="003042B8">
      <w:pPr>
        <w:pStyle w:val="Textodenotaderodap"/>
        <w:spacing w:line="240" w:lineRule="auto"/>
      </w:pPr>
      <w:r>
        <w:rPr>
          <w:rStyle w:val="Caracteresdenotaderodap"/>
        </w:rPr>
        <w:footnoteRef/>
      </w:r>
      <w:r>
        <w:rPr>
          <w:rFonts w:eastAsia="Arial"/>
        </w:rPr>
        <w:t xml:space="preserve"> </w:t>
      </w:r>
      <w:r>
        <w:t xml:space="preserve">GRAU, Eros. </w:t>
      </w:r>
      <w:r>
        <w:rPr>
          <w:b/>
        </w:rPr>
        <w:t>Direito Posto e Direito Pressuposto</w:t>
      </w:r>
      <w:r>
        <w:t>. 7. ed. São Paulo: Malheiros Editores, 2008. p. 31.</w:t>
      </w:r>
    </w:p>
  </w:footnote>
  <w:footnote w:id="27">
    <w:p w14:paraId="7FC959A1" w14:textId="77777777" w:rsidR="003042B8" w:rsidRDefault="003042B8" w:rsidP="003042B8">
      <w:pPr>
        <w:pStyle w:val="Textodenotaderodap"/>
        <w:spacing w:line="240" w:lineRule="auto"/>
      </w:pPr>
      <w:r>
        <w:rPr>
          <w:rStyle w:val="Caracteresdenotaderodap"/>
        </w:rPr>
        <w:footnoteRef/>
      </w:r>
      <w:r>
        <w:rPr>
          <w:rFonts w:eastAsia="Arial"/>
        </w:rPr>
        <w:t xml:space="preserve"> </w:t>
      </w:r>
      <w:r>
        <w:t xml:space="preserve">DUTRA, </w:t>
      </w:r>
      <w:proofErr w:type="spellStart"/>
      <w:r>
        <w:t>Delamar</w:t>
      </w:r>
      <w:proofErr w:type="spellEnd"/>
      <w:r>
        <w:t xml:space="preserve"> José </w:t>
      </w:r>
      <w:proofErr w:type="spellStart"/>
      <w:r>
        <w:t>Volpato</w:t>
      </w:r>
      <w:proofErr w:type="spellEnd"/>
      <w:r>
        <w:t xml:space="preserve">. A legalidade como forma de Estado de Direito. </w:t>
      </w:r>
      <w:r>
        <w:rPr>
          <w:b/>
        </w:rPr>
        <w:t>Revista de Filosofia</w:t>
      </w:r>
      <w:r>
        <w:t>. v. 45, n. 109, 2004. p. 45.</w:t>
      </w:r>
    </w:p>
  </w:footnote>
  <w:footnote w:id="28">
    <w:p w14:paraId="6A807876" w14:textId="77777777" w:rsidR="003042B8" w:rsidRDefault="003042B8" w:rsidP="003042B8">
      <w:pPr>
        <w:pStyle w:val="Textodenotaderodap"/>
        <w:spacing w:line="240" w:lineRule="auto"/>
      </w:pPr>
      <w:r>
        <w:rPr>
          <w:rStyle w:val="Caracteresdenotaderodap"/>
        </w:rPr>
        <w:footnoteRef/>
      </w:r>
      <w:r>
        <w:rPr>
          <w:rFonts w:eastAsia="Arial"/>
        </w:rPr>
        <w:t xml:space="preserve"> </w:t>
      </w:r>
      <w:r>
        <w:t xml:space="preserve">BRIERLY, James Leslie. </w:t>
      </w:r>
      <w:r>
        <w:rPr>
          <w:b/>
          <w:bCs/>
        </w:rPr>
        <w:t>Direito Internacional</w:t>
      </w:r>
      <w:r>
        <w:t>. 3. ed. Lisboa: Fundação Calouste Gulbenkian, 1963, p. 22.</w:t>
      </w:r>
    </w:p>
  </w:footnote>
  <w:footnote w:id="29">
    <w:p w14:paraId="5D9A3430" w14:textId="77777777" w:rsidR="003042B8" w:rsidRPr="00C43F55" w:rsidRDefault="003042B8" w:rsidP="003042B8">
      <w:pPr>
        <w:spacing w:line="240" w:lineRule="auto"/>
        <w:rPr>
          <w:lang w:val="en-US"/>
        </w:rPr>
      </w:pPr>
      <w:r>
        <w:rPr>
          <w:rStyle w:val="Caracteresdenotaderodap"/>
        </w:rPr>
        <w:footnoteRef/>
      </w:r>
      <w:r>
        <w:rPr>
          <w:rFonts w:eastAsia="Arial"/>
          <w:sz w:val="20"/>
          <w:szCs w:val="20"/>
          <w:lang w:val="en-US"/>
        </w:rPr>
        <w:t xml:space="preserve"> </w:t>
      </w:r>
      <w:r>
        <w:rPr>
          <w:sz w:val="20"/>
          <w:szCs w:val="20"/>
          <w:lang w:val="en-US"/>
        </w:rPr>
        <w:t xml:space="preserve">BÓDIG, </w:t>
      </w:r>
      <w:proofErr w:type="spellStart"/>
      <w:r>
        <w:rPr>
          <w:sz w:val="20"/>
          <w:szCs w:val="20"/>
          <w:lang w:val="en-US"/>
        </w:rPr>
        <w:t>Mátyás</w:t>
      </w:r>
      <w:proofErr w:type="spellEnd"/>
      <w:r>
        <w:rPr>
          <w:sz w:val="20"/>
          <w:szCs w:val="20"/>
          <w:lang w:val="en-US"/>
        </w:rPr>
        <w:t xml:space="preserve">. </w:t>
      </w:r>
      <w:r>
        <w:rPr>
          <w:b/>
          <w:sz w:val="20"/>
          <w:szCs w:val="20"/>
          <w:lang w:val="en-US"/>
        </w:rPr>
        <w:t>Legal Validity, Soft Law, and International Human Rights Law</w:t>
      </w:r>
      <w:r>
        <w:rPr>
          <w:sz w:val="20"/>
          <w:szCs w:val="20"/>
          <w:lang w:val="en-US"/>
        </w:rPr>
        <w:t>. In: Legal Validity and Soft Law. Springer, 2018, p. 222.</w:t>
      </w:r>
    </w:p>
  </w:footnote>
  <w:footnote w:id="30">
    <w:p w14:paraId="7FD0EFCC"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CAPRA, </w:t>
      </w:r>
      <w:proofErr w:type="spellStart"/>
      <w:r>
        <w:rPr>
          <w:lang w:val="en-US"/>
        </w:rPr>
        <w:t>Fritjof</w:t>
      </w:r>
      <w:proofErr w:type="spellEnd"/>
      <w:r>
        <w:rPr>
          <w:lang w:val="en-US"/>
        </w:rPr>
        <w:t xml:space="preserve">; LUISI Pier Luigi. </w:t>
      </w:r>
      <w:r>
        <w:rPr>
          <w:b/>
        </w:rPr>
        <w:t xml:space="preserve">A visão sistêmica da Vida. </w:t>
      </w:r>
      <w:r>
        <w:t xml:space="preserve">Uma concepção unificada e suas implicações filosóficas, políticas, sociais e econômicas. </w:t>
      </w:r>
      <w:r>
        <w:rPr>
          <w:lang w:val="en-US"/>
        </w:rPr>
        <w:t xml:space="preserve">São Paulo: </w:t>
      </w:r>
      <w:proofErr w:type="spellStart"/>
      <w:r>
        <w:rPr>
          <w:lang w:val="en-US"/>
        </w:rPr>
        <w:t>Cultrix</w:t>
      </w:r>
      <w:proofErr w:type="spellEnd"/>
      <w:r>
        <w:rPr>
          <w:lang w:val="en-US"/>
        </w:rPr>
        <w:t>, 2020. p. 74.</w:t>
      </w:r>
    </w:p>
  </w:footnote>
  <w:footnote w:id="31">
    <w:p w14:paraId="0D8C6790"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WALTERMANN, Antonia. </w:t>
      </w:r>
      <w:r>
        <w:rPr>
          <w:b/>
          <w:lang w:val="en-US"/>
        </w:rPr>
        <w:t>Sovereignty and Validity</w:t>
      </w:r>
      <w:r w:rsidRPr="005A07DB">
        <w:rPr>
          <w:lang w:val="en-US"/>
        </w:rPr>
        <w:t>: on the Relation Between the Concepts and the Role of Acceptance</w:t>
      </w:r>
      <w:r>
        <w:rPr>
          <w:lang w:val="en-US"/>
        </w:rPr>
        <w:t>. In: Legal Validity and Soft Law. Springer, 2018, p. 208. “</w:t>
      </w:r>
      <w:proofErr w:type="spellStart"/>
      <w:r>
        <w:rPr>
          <w:lang w:val="en-US"/>
        </w:rPr>
        <w:t>Munzer</w:t>
      </w:r>
      <w:proofErr w:type="spellEnd"/>
      <w:r>
        <w:rPr>
          <w:lang w:val="en-US"/>
        </w:rPr>
        <w:t xml:space="preserve"> (1972), for example, identifies that “validity” has been understood to mean – inter alia – that a norm is “felt to be socially binding” by Ross, implying an “ought” by </w:t>
      </w:r>
      <w:proofErr w:type="spellStart"/>
      <w:r>
        <w:rPr>
          <w:lang w:val="en-US"/>
        </w:rPr>
        <w:t>Kelsen</w:t>
      </w:r>
      <w:proofErr w:type="spellEnd"/>
      <w:r>
        <w:rPr>
          <w:lang w:val="en-US"/>
        </w:rPr>
        <w:t>, or that is “satisfies all the criteria provided by the rule of recognition (Hart)”.</w:t>
      </w:r>
    </w:p>
  </w:footnote>
  <w:footnote w:id="32">
    <w:p w14:paraId="5E6DBBEE"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rPr>
        <w:t xml:space="preserve"> </w:t>
      </w:r>
      <w:r>
        <w:t>SANTOS, Boaventura de Sousa. Para além do pensamento abissal: das linhas globais a uma ecologia de saberes. In</w:t>
      </w:r>
      <w:r>
        <w:rPr>
          <w:i/>
          <w:iCs/>
        </w:rPr>
        <w:t>:</w:t>
      </w:r>
      <w:r>
        <w:t xml:space="preserve"> QUADROS MAGALHÃES, José </w:t>
      </w:r>
      <w:proofErr w:type="spellStart"/>
      <w:r>
        <w:t>Luis</w:t>
      </w:r>
      <w:proofErr w:type="spellEnd"/>
      <w:r>
        <w:t xml:space="preserve">. </w:t>
      </w:r>
      <w:r>
        <w:rPr>
          <w:b/>
        </w:rPr>
        <w:t>O Estado Plurinacional e o Direito Internacional Moderno</w:t>
      </w:r>
      <w:r>
        <w:t xml:space="preserve">. </w:t>
      </w:r>
      <w:r>
        <w:rPr>
          <w:lang w:val="en-US"/>
        </w:rPr>
        <w:t xml:space="preserve">Curitiba: </w:t>
      </w:r>
      <w:proofErr w:type="spellStart"/>
      <w:r>
        <w:rPr>
          <w:lang w:val="en-US"/>
        </w:rPr>
        <w:t>Juruá</w:t>
      </w:r>
      <w:proofErr w:type="spellEnd"/>
      <w:r>
        <w:rPr>
          <w:lang w:val="en-US"/>
        </w:rPr>
        <w:t>, 2012. p. 103.</w:t>
      </w:r>
    </w:p>
  </w:footnote>
  <w:footnote w:id="33">
    <w:p w14:paraId="32CF7147" w14:textId="77777777" w:rsidR="003042B8" w:rsidRPr="00C43F55" w:rsidRDefault="003042B8" w:rsidP="003042B8">
      <w:pPr>
        <w:spacing w:line="240" w:lineRule="auto"/>
        <w:rPr>
          <w:lang w:val="en-US"/>
        </w:rPr>
      </w:pPr>
      <w:r>
        <w:rPr>
          <w:rStyle w:val="Caracteresdenotaderodap"/>
        </w:rPr>
        <w:footnoteRef/>
      </w:r>
      <w:r>
        <w:rPr>
          <w:rFonts w:eastAsia="Arial"/>
          <w:sz w:val="20"/>
          <w:szCs w:val="20"/>
          <w:lang w:val="en-US"/>
        </w:rPr>
        <w:t xml:space="preserve"> </w:t>
      </w:r>
      <w:r>
        <w:rPr>
          <w:sz w:val="20"/>
          <w:szCs w:val="20"/>
          <w:lang w:val="en-US"/>
        </w:rPr>
        <w:t xml:space="preserve">BÓDIG, </w:t>
      </w:r>
      <w:proofErr w:type="spellStart"/>
      <w:r>
        <w:rPr>
          <w:sz w:val="20"/>
          <w:szCs w:val="20"/>
          <w:lang w:val="en-US"/>
        </w:rPr>
        <w:t>Mátyás</w:t>
      </w:r>
      <w:proofErr w:type="spellEnd"/>
      <w:r>
        <w:rPr>
          <w:sz w:val="20"/>
          <w:szCs w:val="20"/>
          <w:lang w:val="en-US"/>
        </w:rPr>
        <w:t xml:space="preserve">. </w:t>
      </w:r>
      <w:r>
        <w:rPr>
          <w:b/>
          <w:sz w:val="20"/>
          <w:szCs w:val="20"/>
          <w:lang w:val="en-US"/>
        </w:rPr>
        <w:t>Legal Validity, Soft Law, and International Human Rights Law</w:t>
      </w:r>
      <w:r>
        <w:rPr>
          <w:sz w:val="20"/>
          <w:szCs w:val="20"/>
          <w:lang w:val="en-US"/>
        </w:rPr>
        <w:t>. In: Legal Validity and Soft Law. Springer, 2018, p. 223. “The contemporary imagery of formal validity (especially in modern state law) resulted from the convergence of the concept of (formally ascertained) law and political concepts (and ideals) such as “sovereignty”, “legitimacy”, and the “rule of law”. This conceptual development has had a comprehensive impact not just on states but on the institutional parameters of other legal orders as well (and international law in particular)”.</w:t>
      </w:r>
    </w:p>
  </w:footnote>
  <w:footnote w:id="34">
    <w:p w14:paraId="5B398623"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WA</w:t>
      </w:r>
      <w:bookmarkStart w:id="6" w:name="_Hlk121084692"/>
      <w:r>
        <w:rPr>
          <w:lang w:val="en-US"/>
        </w:rPr>
        <w:t xml:space="preserve">LTERMANN, Antonia. </w:t>
      </w:r>
      <w:r>
        <w:rPr>
          <w:b/>
          <w:lang w:val="en-US"/>
        </w:rPr>
        <w:t>Sovereignty and Validity</w:t>
      </w:r>
      <w:r>
        <w:rPr>
          <w:lang w:val="en-US"/>
        </w:rPr>
        <w:t>: on the Relation Between the Concepts and the Role of Acceptance. In: Legal Validity and Soft Law. Springer, 2018, p. 203.</w:t>
      </w:r>
      <w:bookmarkEnd w:id="6"/>
    </w:p>
  </w:footnote>
  <w:footnote w:id="35">
    <w:p w14:paraId="48DBC248"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CARPENTIER, Mathieu. </w:t>
      </w:r>
      <w:r>
        <w:rPr>
          <w:b/>
          <w:lang w:val="en-US"/>
        </w:rPr>
        <w:t>Sources and Validity</w:t>
      </w:r>
      <w:r>
        <w:rPr>
          <w:lang w:val="en-US"/>
        </w:rPr>
        <w:t xml:space="preserve">. In: Legal Validity and Soft Law. Springer, 2018. p. 85. “We use the world “valid” or “invalid” as a pretentious way to say “good” or “no good” or, if you will, “lawful” or “unlawful”. When we say that a ticket, a contract, or a statute is invalid, we mean that they are “no good” in the eyes of the law. Notice that “valid” here is predicated of both material things and norms. For something to be “good” in the eyes of the law, </w:t>
      </w:r>
      <w:proofErr w:type="gramStart"/>
      <w:r>
        <w:rPr>
          <w:lang w:val="en-US"/>
        </w:rPr>
        <w:t>i.e.</w:t>
      </w:r>
      <w:proofErr w:type="gramEnd"/>
      <w:r>
        <w:rPr>
          <w:lang w:val="en-US"/>
        </w:rPr>
        <w:t xml:space="preserve"> for something to be lawful, it has to conform to some legal norms. […] let me call this </w:t>
      </w:r>
      <w:r>
        <w:rPr>
          <w:i/>
          <w:iCs/>
          <w:lang w:val="en-US"/>
        </w:rPr>
        <w:t xml:space="preserve">validity </w:t>
      </w:r>
      <w:r>
        <w:rPr>
          <w:lang w:val="en-US"/>
        </w:rPr>
        <w:t xml:space="preserve">as </w:t>
      </w:r>
      <w:r>
        <w:rPr>
          <w:i/>
          <w:iCs/>
          <w:lang w:val="en-US"/>
        </w:rPr>
        <w:t>conformity</w:t>
      </w:r>
      <w:r>
        <w:rPr>
          <w:lang w:val="en-US"/>
        </w:rPr>
        <w:t xml:space="preserve">. </w:t>
      </w:r>
    </w:p>
  </w:footnote>
  <w:footnote w:id="36">
    <w:p w14:paraId="31B92EA1"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WALTERMANN, Antonia. </w:t>
      </w:r>
      <w:r>
        <w:rPr>
          <w:b/>
          <w:lang w:val="en-US"/>
        </w:rPr>
        <w:t>Sovereignty and Validity</w:t>
      </w:r>
      <w:r>
        <w:rPr>
          <w:lang w:val="en-US"/>
        </w:rPr>
        <w:t>: on the Relation Between the Concepts and the Role of Acceptance. In: Legal Validity and Soft Law. Springer, 2018, p. 209. “</w:t>
      </w:r>
      <w:proofErr w:type="gramStart"/>
      <w:r>
        <w:rPr>
          <w:lang w:val="en-US"/>
        </w:rPr>
        <w:t>the</w:t>
      </w:r>
      <w:proofErr w:type="gramEnd"/>
      <w:r>
        <w:rPr>
          <w:lang w:val="en-US"/>
        </w:rPr>
        <w:t xml:space="preserve"> source determines legal validity”.</w:t>
      </w:r>
    </w:p>
  </w:footnote>
  <w:footnote w:id="37">
    <w:p w14:paraId="77949697" w14:textId="77777777" w:rsidR="003042B8" w:rsidRDefault="003042B8" w:rsidP="003042B8">
      <w:pPr>
        <w:spacing w:line="240" w:lineRule="auto"/>
      </w:pPr>
      <w:r>
        <w:rPr>
          <w:rStyle w:val="Caracteresdenotaderodap"/>
        </w:rPr>
        <w:footnoteRef/>
      </w:r>
      <w:r>
        <w:rPr>
          <w:rFonts w:eastAsia="Arial"/>
          <w:sz w:val="20"/>
          <w:szCs w:val="20"/>
          <w:lang w:val="en-US"/>
        </w:rPr>
        <w:t xml:space="preserve"> </w:t>
      </w:r>
      <w:r>
        <w:rPr>
          <w:sz w:val="20"/>
          <w:szCs w:val="20"/>
          <w:lang w:val="en-US"/>
        </w:rPr>
        <w:t xml:space="preserve">HAGE, Jaap. </w:t>
      </w:r>
      <w:r>
        <w:rPr>
          <w:b/>
          <w:sz w:val="20"/>
          <w:szCs w:val="20"/>
          <w:lang w:val="en-US"/>
        </w:rPr>
        <w:t>What is legal validity? Lessons from soft law</w:t>
      </w:r>
      <w:r>
        <w:rPr>
          <w:sz w:val="20"/>
          <w:szCs w:val="20"/>
          <w:lang w:val="en-US"/>
        </w:rPr>
        <w:t xml:space="preserve">. In: Legal Validity and Soft Law. </w:t>
      </w:r>
      <w:r>
        <w:rPr>
          <w:sz w:val="20"/>
          <w:szCs w:val="20"/>
        </w:rPr>
        <w:t>Springer, 2018, p. 39.</w:t>
      </w:r>
    </w:p>
  </w:footnote>
  <w:footnote w:id="38">
    <w:p w14:paraId="1A6228CD" w14:textId="77777777" w:rsidR="003042B8" w:rsidRDefault="003042B8" w:rsidP="003042B8">
      <w:pPr>
        <w:pStyle w:val="Textodenotaderodap"/>
        <w:spacing w:line="240" w:lineRule="auto"/>
      </w:pPr>
      <w:r>
        <w:rPr>
          <w:rStyle w:val="Caracteresdenotaderodap"/>
        </w:rPr>
        <w:footnoteRef/>
      </w:r>
      <w:r>
        <w:rPr>
          <w:rFonts w:eastAsia="Arial"/>
        </w:rPr>
        <w:t xml:space="preserve"> </w:t>
      </w:r>
      <w:r>
        <w:t xml:space="preserve">ACCIOLY, Hildebrando; CASELLA, Paulo Borba; NASCIMENTO e SILVA, G.E do. </w:t>
      </w:r>
      <w:r>
        <w:rPr>
          <w:b/>
        </w:rPr>
        <w:t>Manual de direito internacional</w:t>
      </w:r>
      <w:r>
        <w:t>. São Paulo: Saraiva, 2012. p. 198.</w:t>
      </w:r>
    </w:p>
  </w:footnote>
  <w:footnote w:id="39">
    <w:p w14:paraId="42C40362" w14:textId="77777777" w:rsidR="003042B8" w:rsidRDefault="003042B8" w:rsidP="003042B8">
      <w:pPr>
        <w:pStyle w:val="Textodenotaderodap"/>
        <w:spacing w:line="240" w:lineRule="auto"/>
      </w:pPr>
      <w:r>
        <w:rPr>
          <w:rStyle w:val="Caracteresdenotaderodap"/>
        </w:rPr>
        <w:footnoteRef/>
      </w:r>
      <w:r>
        <w:rPr>
          <w:rFonts w:eastAsia="Arial"/>
        </w:rPr>
        <w:t xml:space="preserve"> </w:t>
      </w:r>
      <w:r>
        <w:t xml:space="preserve">ACCIOLY, Hildebrando; CASELLA, Paulo Borba; NASCIMENTO e SILVA, G.E do. </w:t>
      </w:r>
      <w:r>
        <w:rPr>
          <w:b/>
        </w:rPr>
        <w:t>Manual de direito internaciona</w:t>
      </w:r>
      <w:r>
        <w:t>l. São Paulo: Saraiva, 2012. p. 198-199.</w:t>
      </w:r>
    </w:p>
  </w:footnote>
  <w:footnote w:id="40">
    <w:p w14:paraId="74C2A84E" w14:textId="77777777" w:rsidR="003042B8" w:rsidRPr="00C43F55" w:rsidRDefault="003042B8" w:rsidP="003042B8">
      <w:pPr>
        <w:pStyle w:val="Textodenotaderodap"/>
        <w:spacing w:line="240" w:lineRule="auto"/>
        <w:rPr>
          <w:lang w:val="en-US"/>
        </w:rPr>
      </w:pPr>
      <w:r>
        <w:rPr>
          <w:rStyle w:val="Caracteresdenotaderodap"/>
        </w:rPr>
        <w:footnoteRef/>
      </w:r>
      <w:r w:rsidRPr="00641533">
        <w:rPr>
          <w:rFonts w:eastAsia="Arial"/>
          <w:lang w:val="en-US"/>
        </w:rPr>
        <w:t xml:space="preserve"> ANNAN, Kofi. </w:t>
      </w:r>
      <w:r w:rsidRPr="00C43F55">
        <w:rPr>
          <w:lang w:val="en-US"/>
        </w:rPr>
        <w:t xml:space="preserve">UNITED NATIONS. </w:t>
      </w:r>
      <w:r>
        <w:rPr>
          <w:b/>
          <w:lang w:val="en-US"/>
        </w:rPr>
        <w:t>What tis the Rule of Law?</w:t>
      </w:r>
      <w:r>
        <w:rPr>
          <w:lang w:val="en-US"/>
        </w:rPr>
        <w:t xml:space="preserve"> (New York 2008). “P</w:t>
      </w:r>
      <w:r>
        <w:rPr>
          <w:rFonts w:eastAsia="Times New Roman"/>
          <w:color w:val="000000"/>
          <w:lang w:val="en-US" w:eastAsia="pt-BR"/>
        </w:rPr>
        <w:t xml:space="preserve">rinciple of governance in which all persons, institutions, and entities public and private, including the State itself, are accountable to laws that are publicly promulgated, equally </w:t>
      </w:r>
      <w:proofErr w:type="gramStart"/>
      <w:r>
        <w:rPr>
          <w:rFonts w:eastAsia="Times New Roman"/>
          <w:color w:val="000000"/>
          <w:lang w:val="en-US" w:eastAsia="pt-BR"/>
        </w:rPr>
        <w:t>enforced</w:t>
      </w:r>
      <w:proofErr w:type="gramEnd"/>
      <w:r>
        <w:rPr>
          <w:rFonts w:eastAsia="Times New Roman"/>
          <w:color w:val="000000"/>
          <w:lang w:val="en-US" w:eastAsia="pt-BR"/>
        </w:rPr>
        <w:t xml:space="preserve"> and independently adjudicated, and which are consistent with international human rights norms, and standards. It requires, as well, measures to ensure adherence to the principles of fairness in the application of the law, separation of powers, participation in decision-making, legal certainty, avoidance </w:t>
      </w:r>
      <w:r>
        <w:rPr>
          <w:rFonts w:eastAsia="Times New Roman"/>
          <w:lang w:val="en-US" w:eastAsia="pt-BR"/>
        </w:rPr>
        <w:t>of arbitrariness and procedural and legal transparency”</w:t>
      </w:r>
      <w:r>
        <w:rPr>
          <w:lang w:val="en-US"/>
        </w:rPr>
        <w:t xml:space="preserve">. </w:t>
      </w:r>
    </w:p>
  </w:footnote>
  <w:footnote w:id="41">
    <w:p w14:paraId="6ABFB324" w14:textId="77777777" w:rsidR="003042B8" w:rsidRPr="00C43F55" w:rsidRDefault="003042B8" w:rsidP="003042B8">
      <w:pPr>
        <w:pStyle w:val="Textodenotaderodap"/>
        <w:spacing w:line="240" w:lineRule="auto"/>
        <w:rPr>
          <w:lang w:val="en-US"/>
        </w:rPr>
      </w:pPr>
      <w:r>
        <w:rPr>
          <w:rStyle w:val="Caracteresdenotaderodap"/>
        </w:rPr>
        <w:footnoteRef/>
      </w:r>
      <w:r>
        <w:rPr>
          <w:shd w:val="clear" w:color="auto" w:fill="FFFFFF"/>
          <w:lang w:val="en-US"/>
        </w:rPr>
        <w:t xml:space="preserve"> GUNTHER, Teubner. </w:t>
      </w:r>
      <w:proofErr w:type="spellStart"/>
      <w:r>
        <w:rPr>
          <w:b/>
          <w:shd w:val="clear" w:color="auto" w:fill="FFFFFF"/>
          <w:lang w:val="en-US"/>
        </w:rPr>
        <w:t>Globale</w:t>
      </w:r>
      <w:proofErr w:type="spellEnd"/>
      <w:r>
        <w:rPr>
          <w:b/>
          <w:shd w:val="clear" w:color="auto" w:fill="FFFFFF"/>
          <w:lang w:val="en-US"/>
        </w:rPr>
        <w:t xml:space="preserve"> </w:t>
      </w:r>
      <w:proofErr w:type="spellStart"/>
      <w:r>
        <w:rPr>
          <w:b/>
          <w:shd w:val="clear" w:color="auto" w:fill="FFFFFF"/>
          <w:lang w:val="en-US"/>
        </w:rPr>
        <w:t>Zivilverfassungen</w:t>
      </w:r>
      <w:proofErr w:type="spellEnd"/>
      <w:r w:rsidRPr="005A07DB">
        <w:rPr>
          <w:shd w:val="clear" w:color="auto" w:fill="FFFFFF"/>
          <w:lang w:val="en-US"/>
        </w:rPr>
        <w:t xml:space="preserve">: </w:t>
      </w:r>
      <w:proofErr w:type="spellStart"/>
      <w:r w:rsidRPr="005A07DB">
        <w:rPr>
          <w:shd w:val="clear" w:color="auto" w:fill="FFFFFF"/>
          <w:lang w:val="en-US"/>
        </w:rPr>
        <w:t>Alternativen</w:t>
      </w:r>
      <w:proofErr w:type="spellEnd"/>
      <w:r w:rsidRPr="005A07DB">
        <w:rPr>
          <w:shd w:val="clear" w:color="auto" w:fill="FFFFFF"/>
          <w:lang w:val="en-US"/>
        </w:rPr>
        <w:t xml:space="preserve"> </w:t>
      </w:r>
      <w:proofErr w:type="spellStart"/>
      <w:r w:rsidRPr="005A07DB">
        <w:rPr>
          <w:shd w:val="clear" w:color="auto" w:fill="FFFFFF"/>
          <w:lang w:val="en-US"/>
        </w:rPr>
        <w:t>zur</w:t>
      </w:r>
      <w:proofErr w:type="spellEnd"/>
      <w:r w:rsidRPr="005A07DB">
        <w:rPr>
          <w:shd w:val="clear" w:color="auto" w:fill="FFFFFF"/>
          <w:lang w:val="en-US"/>
        </w:rPr>
        <w:t xml:space="preserve"> </w:t>
      </w:r>
      <w:proofErr w:type="spellStart"/>
      <w:r w:rsidRPr="005A07DB">
        <w:rPr>
          <w:shd w:val="clear" w:color="auto" w:fill="FFFFFF"/>
          <w:lang w:val="en-US"/>
        </w:rPr>
        <w:t>staatszentrierten</w:t>
      </w:r>
      <w:proofErr w:type="spellEnd"/>
      <w:r w:rsidRPr="005A07DB">
        <w:rPr>
          <w:shd w:val="clear" w:color="auto" w:fill="FFFFFF"/>
          <w:lang w:val="en-US"/>
        </w:rPr>
        <w:t xml:space="preserve"> </w:t>
      </w:r>
      <w:proofErr w:type="spellStart"/>
      <w:r w:rsidRPr="005A07DB">
        <w:rPr>
          <w:shd w:val="clear" w:color="auto" w:fill="FFFFFF"/>
          <w:lang w:val="en-US"/>
        </w:rPr>
        <w:t>Verfassungstheorie</w:t>
      </w:r>
      <w:proofErr w:type="spellEnd"/>
      <w:r>
        <w:rPr>
          <w:shd w:val="clear" w:color="auto" w:fill="FFFFFF"/>
          <w:lang w:val="en-US"/>
        </w:rPr>
        <w:t>.</w:t>
      </w:r>
      <w:r>
        <w:rPr>
          <w:rStyle w:val="apple-converted-space"/>
          <w:shd w:val="clear" w:color="auto" w:fill="FFFFFF"/>
          <w:lang w:val="en-US"/>
        </w:rPr>
        <w:t> </w:t>
      </w:r>
      <w:proofErr w:type="spellStart"/>
      <w:r>
        <w:rPr>
          <w:rStyle w:val="italica"/>
          <w:iCs/>
          <w:lang w:val="en-US"/>
        </w:rPr>
        <w:t>Zeitschrift</w:t>
      </w:r>
      <w:proofErr w:type="spellEnd"/>
      <w:r>
        <w:rPr>
          <w:rStyle w:val="italica"/>
          <w:iCs/>
          <w:lang w:val="en-US"/>
        </w:rPr>
        <w:t xml:space="preserve"> für </w:t>
      </w:r>
      <w:proofErr w:type="spellStart"/>
      <w:r>
        <w:rPr>
          <w:rStyle w:val="italica"/>
          <w:iCs/>
          <w:lang w:val="en-US"/>
        </w:rPr>
        <w:t>Ausländisches</w:t>
      </w:r>
      <w:proofErr w:type="spellEnd"/>
      <w:r>
        <w:rPr>
          <w:rStyle w:val="italica"/>
          <w:iCs/>
          <w:lang w:val="en-US"/>
        </w:rPr>
        <w:t xml:space="preserve"> </w:t>
      </w:r>
      <w:proofErr w:type="spellStart"/>
      <w:r>
        <w:rPr>
          <w:rStyle w:val="italica"/>
          <w:iCs/>
          <w:lang w:val="en-US"/>
        </w:rPr>
        <w:t>Öffentliches</w:t>
      </w:r>
      <w:proofErr w:type="spellEnd"/>
      <w:r>
        <w:rPr>
          <w:rStyle w:val="italica"/>
          <w:iCs/>
          <w:lang w:val="en-US"/>
        </w:rPr>
        <w:t xml:space="preserve"> </w:t>
      </w:r>
      <w:proofErr w:type="spellStart"/>
      <w:r>
        <w:rPr>
          <w:rStyle w:val="italica"/>
          <w:iCs/>
          <w:lang w:val="en-US"/>
        </w:rPr>
        <w:t>Recht</w:t>
      </w:r>
      <w:proofErr w:type="spellEnd"/>
      <w:r>
        <w:rPr>
          <w:rStyle w:val="italica"/>
          <w:iCs/>
          <w:lang w:val="en-US"/>
        </w:rPr>
        <w:t xml:space="preserve"> und </w:t>
      </w:r>
      <w:proofErr w:type="spellStart"/>
      <w:r>
        <w:rPr>
          <w:rStyle w:val="italica"/>
          <w:iCs/>
          <w:lang w:val="en-US"/>
        </w:rPr>
        <w:t>Völkerrecht</w:t>
      </w:r>
      <w:proofErr w:type="spellEnd"/>
      <w:r>
        <w:rPr>
          <w:shd w:val="clear" w:color="auto" w:fill="FFFFFF"/>
          <w:lang w:val="en-US"/>
        </w:rPr>
        <w:t xml:space="preserve">, Heidelberg. nº 63, 2003, p. 3. </w:t>
      </w:r>
    </w:p>
  </w:footnote>
  <w:footnote w:id="42">
    <w:p w14:paraId="57486131"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COMBACAU, Jean; SUR, Serge. </w:t>
      </w:r>
      <w:r>
        <w:rPr>
          <w:b/>
          <w:lang w:val="en-US"/>
        </w:rPr>
        <w:t>Droit International Public</w:t>
      </w:r>
      <w:r>
        <w:rPr>
          <w:lang w:val="en-US"/>
        </w:rPr>
        <w:t xml:space="preserve">. 8. ed. Paris: </w:t>
      </w:r>
      <w:proofErr w:type="spellStart"/>
      <w:r>
        <w:rPr>
          <w:lang w:val="en-US"/>
        </w:rPr>
        <w:t>Montchrestien</w:t>
      </w:r>
      <w:proofErr w:type="spellEnd"/>
      <w:r>
        <w:rPr>
          <w:lang w:val="en-US"/>
        </w:rPr>
        <w:t>, 2008. p.101. “</w:t>
      </w:r>
      <w:proofErr w:type="spellStart"/>
      <w:r>
        <w:rPr>
          <w:lang w:val="en-US"/>
        </w:rPr>
        <w:t>Prise</w:t>
      </w:r>
      <w:proofErr w:type="spellEnd"/>
      <w:r>
        <w:rPr>
          <w:lang w:val="en-US"/>
        </w:rPr>
        <w:t xml:space="preserve"> dans le cadre des buts de </w:t>
      </w:r>
      <w:proofErr w:type="spellStart"/>
      <w:r>
        <w:rPr>
          <w:lang w:val="en-US"/>
        </w:rPr>
        <w:t>l’organisation</w:t>
      </w:r>
      <w:proofErr w:type="spellEnd"/>
      <w:r>
        <w:rPr>
          <w:lang w:val="en-US"/>
        </w:rPr>
        <w:t xml:space="preserve">, et </w:t>
      </w:r>
      <w:proofErr w:type="spellStart"/>
      <w:r>
        <w:rPr>
          <w:lang w:val="en-US"/>
        </w:rPr>
        <w:t>adoptée</w:t>
      </w:r>
      <w:proofErr w:type="spellEnd"/>
      <w:r>
        <w:rPr>
          <w:lang w:val="en-US"/>
        </w:rPr>
        <w:t xml:space="preserve"> par um </w:t>
      </w:r>
      <w:proofErr w:type="spellStart"/>
      <w:r>
        <w:rPr>
          <w:lang w:val="en-US"/>
        </w:rPr>
        <w:t>organe</w:t>
      </w:r>
      <w:proofErr w:type="spellEnd"/>
      <w:r>
        <w:rPr>
          <w:lang w:val="en-US"/>
        </w:rPr>
        <w:t xml:space="preserve"> ‘</w:t>
      </w:r>
      <w:proofErr w:type="spellStart"/>
      <w:r>
        <w:rPr>
          <w:lang w:val="en-US"/>
        </w:rPr>
        <w:t>régulièrement</w:t>
      </w:r>
      <w:proofErr w:type="spellEnd"/>
      <w:r>
        <w:rPr>
          <w:lang w:val="en-US"/>
        </w:rPr>
        <w:t xml:space="preserve">, </w:t>
      </w:r>
      <w:proofErr w:type="spellStart"/>
      <w:r>
        <w:rPr>
          <w:lang w:val="en-US"/>
        </w:rPr>
        <w:t>constitué</w:t>
      </w:r>
      <w:proofErr w:type="spellEnd"/>
      <w:r>
        <w:rPr>
          <w:lang w:val="en-US"/>
        </w:rPr>
        <w:t xml:space="preserve">, </w:t>
      </w:r>
      <w:proofErr w:type="spellStart"/>
      <w:r>
        <w:rPr>
          <w:lang w:val="en-US"/>
        </w:rPr>
        <w:t>prise</w:t>
      </w:r>
      <w:proofErr w:type="spellEnd"/>
      <w:r>
        <w:rPr>
          <w:lang w:val="en-US"/>
        </w:rPr>
        <w:t xml:space="preserve"> </w:t>
      </w:r>
      <w:proofErr w:type="spellStart"/>
      <w:r>
        <w:rPr>
          <w:lang w:val="en-US"/>
        </w:rPr>
        <w:t>conformément</w:t>
      </w:r>
      <w:proofErr w:type="spellEnd"/>
      <w:r>
        <w:rPr>
          <w:lang w:val="en-US"/>
        </w:rPr>
        <w:t xml:space="preserve"> à son </w:t>
      </w:r>
      <w:proofErr w:type="spellStart"/>
      <w:r>
        <w:rPr>
          <w:lang w:val="en-US"/>
        </w:rPr>
        <w:t>réglement</w:t>
      </w:r>
      <w:proofErr w:type="spellEnd"/>
      <w:r>
        <w:rPr>
          <w:lang w:val="en-US"/>
        </w:rPr>
        <w:t xml:space="preserve"> et </w:t>
      </w:r>
      <w:proofErr w:type="spellStart"/>
      <w:r>
        <w:rPr>
          <w:lang w:val="en-US"/>
        </w:rPr>
        <w:t>déclarée</w:t>
      </w:r>
      <w:proofErr w:type="spellEnd"/>
      <w:r>
        <w:rPr>
          <w:lang w:val="en-US"/>
        </w:rPr>
        <w:t xml:space="preserve"> </w:t>
      </w:r>
      <w:proofErr w:type="spellStart"/>
      <w:r>
        <w:rPr>
          <w:lang w:val="en-US"/>
        </w:rPr>
        <w:t>adoptée</w:t>
      </w:r>
      <w:proofErr w:type="spellEnd"/>
      <w:r>
        <w:rPr>
          <w:lang w:val="en-US"/>
        </w:rPr>
        <w:t xml:space="preserve"> par son </w:t>
      </w:r>
      <w:proofErr w:type="spellStart"/>
      <w:r>
        <w:rPr>
          <w:lang w:val="en-US"/>
        </w:rPr>
        <w:t>président</w:t>
      </w:r>
      <w:proofErr w:type="spellEnd"/>
      <w:r>
        <w:rPr>
          <w:lang w:val="en-US"/>
        </w:rPr>
        <w:t xml:space="preserve"> doit entre </w:t>
      </w:r>
      <w:proofErr w:type="spellStart"/>
      <w:r>
        <w:rPr>
          <w:lang w:val="en-US"/>
        </w:rPr>
        <w:t>présumée</w:t>
      </w:r>
      <w:proofErr w:type="spellEnd"/>
      <w:r>
        <w:rPr>
          <w:lang w:val="en-US"/>
        </w:rPr>
        <w:t xml:space="preserve"> </w:t>
      </w:r>
      <w:proofErr w:type="spellStart"/>
      <w:r>
        <w:rPr>
          <w:lang w:val="en-US"/>
        </w:rPr>
        <w:t>valable</w:t>
      </w:r>
      <w:proofErr w:type="spellEnd"/>
      <w:r>
        <w:rPr>
          <w:lang w:val="en-US"/>
        </w:rPr>
        <w:t xml:space="preserve">’”. </w:t>
      </w:r>
    </w:p>
  </w:footnote>
  <w:footnote w:id="43">
    <w:p w14:paraId="0EC56AF9"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WALTERMANN, Antonia. </w:t>
      </w:r>
      <w:r>
        <w:rPr>
          <w:b/>
          <w:lang w:val="en-US"/>
        </w:rPr>
        <w:t>Sovereignty and Validity</w:t>
      </w:r>
      <w:r>
        <w:rPr>
          <w:lang w:val="en-US"/>
        </w:rPr>
        <w:t>: on the Relation Between the Concepts and the Role of Acceptance. In: Legal Validity and Soft Law. Springer, 2018, p. 209.</w:t>
      </w:r>
    </w:p>
  </w:footnote>
  <w:footnote w:id="44">
    <w:p w14:paraId="46A58196"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MARMOR, A. </w:t>
      </w:r>
      <w:r>
        <w:rPr>
          <w:b/>
          <w:lang w:val="en-US"/>
        </w:rPr>
        <w:t xml:space="preserve">Positive </w:t>
      </w:r>
      <w:proofErr w:type="gramStart"/>
      <w:r>
        <w:rPr>
          <w:b/>
          <w:lang w:val="en-US"/>
        </w:rPr>
        <w:t>Law</w:t>
      </w:r>
      <w:proofErr w:type="gramEnd"/>
      <w:r>
        <w:rPr>
          <w:b/>
          <w:lang w:val="en-US"/>
        </w:rPr>
        <w:t xml:space="preserve"> and Objective Values</w:t>
      </w:r>
      <w:r>
        <w:rPr>
          <w:lang w:val="en-US"/>
        </w:rPr>
        <w:t xml:space="preserve">. Oxford: Oxford University Press. 2001. In: </w:t>
      </w:r>
      <w:r>
        <w:rPr>
          <w:color w:val="000000"/>
          <w:lang w:val="en-US"/>
        </w:rPr>
        <w:t xml:space="preserve">WESTERMAN, Pauline (Editor); </w:t>
      </w:r>
      <w:proofErr w:type="spellStart"/>
      <w:r>
        <w:rPr>
          <w:color w:val="000000"/>
          <w:lang w:val="en-US"/>
        </w:rPr>
        <w:t>Hage</w:t>
      </w:r>
      <w:proofErr w:type="spellEnd"/>
      <w:r>
        <w:rPr>
          <w:color w:val="000000"/>
          <w:lang w:val="en-US"/>
        </w:rPr>
        <w:t xml:space="preserve">, Jaap (Editor); </w:t>
      </w:r>
      <w:proofErr w:type="spellStart"/>
      <w:r>
        <w:rPr>
          <w:color w:val="000000"/>
          <w:lang w:val="en-US"/>
        </w:rPr>
        <w:t>Kirste</w:t>
      </w:r>
      <w:proofErr w:type="spellEnd"/>
      <w:r>
        <w:rPr>
          <w:color w:val="000000"/>
          <w:lang w:val="en-US"/>
        </w:rPr>
        <w:t xml:space="preserve">, Stephan (Editor) </w:t>
      </w:r>
      <w:r w:rsidRPr="005A07DB">
        <w:rPr>
          <w:i/>
          <w:color w:val="000000"/>
          <w:lang w:val="en-US"/>
        </w:rPr>
        <w:t>et al</w:t>
      </w:r>
      <w:r>
        <w:rPr>
          <w:color w:val="000000"/>
          <w:lang w:val="en-US"/>
        </w:rPr>
        <w:t xml:space="preserve">. </w:t>
      </w:r>
      <w:r w:rsidRPr="005A07DB">
        <w:rPr>
          <w:rStyle w:val="nfaseforte"/>
          <w:b w:val="0"/>
          <w:color w:val="000000"/>
          <w:lang w:val="en-US"/>
        </w:rPr>
        <w:t>Legal Validity and Soft Law</w:t>
      </w:r>
      <w:r>
        <w:rPr>
          <w:color w:val="000000"/>
          <w:lang w:val="en-US"/>
        </w:rPr>
        <w:t>. Cham: Springer, 2018.</w:t>
      </w:r>
      <w:r>
        <w:rPr>
          <w:lang w:val="en-US"/>
        </w:rPr>
        <w:t xml:space="preserve"> “Legal validity is exhausted by reference to the conventional sources of law: all law is source based, and anything which is not source bases is not law”.</w:t>
      </w:r>
    </w:p>
  </w:footnote>
  <w:footnote w:id="45">
    <w:p w14:paraId="56693AFF"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PFORDTEN, Dietmar von der. </w:t>
      </w:r>
      <w:r>
        <w:rPr>
          <w:b/>
          <w:lang w:val="en-US"/>
        </w:rPr>
        <w:t>Validity in Positive Law</w:t>
      </w:r>
      <w:r w:rsidRPr="005A07DB">
        <w:rPr>
          <w:lang w:val="en-US"/>
        </w:rPr>
        <w:t>: a mere summary concept.</w:t>
      </w:r>
      <w:r>
        <w:rPr>
          <w:lang w:val="en-US"/>
        </w:rPr>
        <w:t xml:space="preserve"> In: WESTERMAN, Pauline </w:t>
      </w:r>
      <w:proofErr w:type="spellStart"/>
      <w:r>
        <w:rPr>
          <w:lang w:val="en-US"/>
        </w:rPr>
        <w:t>etal</w:t>
      </w:r>
      <w:proofErr w:type="spellEnd"/>
      <w:r>
        <w:rPr>
          <w:lang w:val="en-US"/>
        </w:rPr>
        <w:t xml:space="preserve">. Legal Validity and Soft Law. Springer, 2018, s/p. “Even non positivists are infected by this virus”. </w:t>
      </w:r>
    </w:p>
  </w:footnote>
  <w:footnote w:id="46">
    <w:p w14:paraId="1E092ADF"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Transaction Publishers. 2006, p. 30. “To say that a norm is valid, is to say that we assume its existence or – what amounts to the same thin – we assume that is has binding force for those whose behavior it regulates”.</w:t>
      </w:r>
    </w:p>
  </w:footnote>
  <w:footnote w:id="47">
    <w:p w14:paraId="60BE6582"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KELSEN, Hans. </w:t>
      </w:r>
      <w:r>
        <w:rPr>
          <w:b/>
          <w:lang w:val="en-US"/>
        </w:rPr>
        <w:t>General theory of Law &amp; State</w:t>
      </w:r>
      <w:r>
        <w:rPr>
          <w:lang w:val="en-US"/>
        </w:rPr>
        <w:t>. Transaction Publishers. 2006, p. 39-40. “The validity is a quality of law”.</w:t>
      </w:r>
    </w:p>
  </w:footnote>
  <w:footnote w:id="48">
    <w:p w14:paraId="3546C3A1"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WESTERMAN, Pauline. </w:t>
      </w:r>
      <w:r>
        <w:rPr>
          <w:b/>
          <w:lang w:val="en-US"/>
        </w:rPr>
        <w:t>Validity: the reputation of rules</w:t>
      </w:r>
      <w:r>
        <w:rPr>
          <w:lang w:val="en-US"/>
        </w:rPr>
        <w:t>. In WESTERMAN, Pauline; HAGE, Jaap; KIRSTE, Stephan; MACKOR, Anne Ruth. Legal Validity and Soft Law. Springer, 2018. p. 167.</w:t>
      </w:r>
    </w:p>
  </w:footnote>
  <w:footnote w:id="49">
    <w:p w14:paraId="66731AC1" w14:textId="77777777" w:rsidR="003042B8" w:rsidRDefault="003042B8" w:rsidP="003042B8">
      <w:pPr>
        <w:pStyle w:val="Textodenotaderodap"/>
        <w:spacing w:line="240" w:lineRule="auto"/>
      </w:pPr>
      <w:r>
        <w:rPr>
          <w:rStyle w:val="Caracteresdenotaderodap"/>
        </w:rPr>
        <w:footnoteRef/>
      </w:r>
      <w:r>
        <w:t xml:space="preserve"> </w:t>
      </w:r>
      <w:r w:rsidRPr="00C43F55">
        <w:rPr>
          <w:rFonts w:eastAsia="Times New Roman"/>
          <w:lang w:eastAsia="pt-BR"/>
        </w:rPr>
        <w:t xml:space="preserve">JUBILUT, Liliana Lyra. Os Fundamentos do Direito Internacional Contemporâneo: da coexistência aos valores compartilhados. In: </w:t>
      </w:r>
      <w:r w:rsidRPr="00C43F55">
        <w:rPr>
          <w:rFonts w:eastAsia="Times New Roman"/>
          <w:b/>
          <w:lang w:eastAsia="pt-BR"/>
        </w:rPr>
        <w:t>V Anuário Brasileiro de Direito Internacional</w:t>
      </w:r>
      <w:r w:rsidRPr="00C43F55">
        <w:rPr>
          <w:rFonts w:eastAsia="Times New Roman"/>
          <w:lang w:eastAsia="pt-BR"/>
        </w:rPr>
        <w:t xml:space="preserve">, v. 2. </w:t>
      </w:r>
      <w:proofErr w:type="gramStart"/>
      <w:r w:rsidRPr="00C43F55">
        <w:rPr>
          <w:rFonts w:eastAsia="Times New Roman"/>
          <w:lang w:eastAsia="pt-BR"/>
        </w:rPr>
        <w:t>Julho</w:t>
      </w:r>
      <w:proofErr w:type="gramEnd"/>
      <w:r w:rsidRPr="00C43F55">
        <w:rPr>
          <w:rFonts w:eastAsia="Times New Roman"/>
          <w:lang w:eastAsia="pt-BR"/>
        </w:rPr>
        <w:t>/2010. p. 205-207.</w:t>
      </w:r>
    </w:p>
  </w:footnote>
  <w:footnote w:id="50">
    <w:p w14:paraId="68D655EC"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GEORGIEV, </w:t>
      </w:r>
      <w:proofErr w:type="spellStart"/>
      <w:r>
        <w:rPr>
          <w:lang w:val="en-US"/>
        </w:rPr>
        <w:t>Dencho</w:t>
      </w:r>
      <w:proofErr w:type="spellEnd"/>
      <w:r>
        <w:rPr>
          <w:lang w:val="en-US"/>
        </w:rPr>
        <w:t xml:space="preserve">. </w:t>
      </w:r>
      <w:r>
        <w:rPr>
          <w:b/>
          <w:lang w:val="en-US"/>
        </w:rPr>
        <w:t>Politics or Rule of Law</w:t>
      </w:r>
      <w:r>
        <w:rPr>
          <w:lang w:val="en-US"/>
        </w:rPr>
        <w:t xml:space="preserve">: Deconstruction and Legitimacy in International Law, 1993. p. 12. “Static, one-dimensional vision of law in which the distinction </w:t>
      </w:r>
      <w:proofErr w:type="gramStart"/>
      <w:r>
        <w:rPr>
          <w:lang w:val="en-US"/>
        </w:rPr>
        <w:t>legal-illegal</w:t>
      </w:r>
      <w:proofErr w:type="gramEnd"/>
      <w:r>
        <w:rPr>
          <w:lang w:val="en-US"/>
        </w:rPr>
        <w:t xml:space="preserve"> is expected to give a definite, determinate answer about whether a given behavior corresponds to it or not. This distinction cannot tolerate indeterminacy and contradiction, and </w:t>
      </w:r>
      <w:proofErr w:type="gramStart"/>
      <w:r>
        <w:rPr>
          <w:lang w:val="en-US"/>
        </w:rPr>
        <w:t>has to</w:t>
      </w:r>
      <w:proofErr w:type="gramEnd"/>
      <w:r>
        <w:rPr>
          <w:lang w:val="en-US"/>
        </w:rPr>
        <w:t xml:space="preserve"> assume that they do not exist, approaching them technically by applying certain rules and procedures in order to be able to present a non-conflictual picture of law”. </w:t>
      </w:r>
    </w:p>
  </w:footnote>
  <w:footnote w:id="51">
    <w:p w14:paraId="01AB2996"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GE</w:t>
      </w:r>
      <w:bookmarkStart w:id="9" w:name="_Hlk121167171"/>
      <w:r>
        <w:rPr>
          <w:lang w:val="en-US"/>
        </w:rPr>
        <w:t xml:space="preserve">ORGIEV, </w:t>
      </w:r>
      <w:proofErr w:type="spellStart"/>
      <w:r>
        <w:rPr>
          <w:lang w:val="en-US"/>
        </w:rPr>
        <w:t>Dencho</w:t>
      </w:r>
      <w:proofErr w:type="spellEnd"/>
      <w:r>
        <w:rPr>
          <w:lang w:val="en-US"/>
        </w:rPr>
        <w:t xml:space="preserve">. </w:t>
      </w:r>
      <w:r>
        <w:rPr>
          <w:b/>
          <w:lang w:val="en-US"/>
        </w:rPr>
        <w:t>Politics or Rule of Law</w:t>
      </w:r>
      <w:r>
        <w:rPr>
          <w:lang w:val="en-US"/>
        </w:rPr>
        <w:t>: Deconstruction and Legitimacy in International Law, 1993. p</w:t>
      </w:r>
      <w:bookmarkEnd w:id="9"/>
      <w:r>
        <w:rPr>
          <w:lang w:val="en-US"/>
        </w:rPr>
        <w:t>. 14. “A possibility of changing and developing law. Unlike the concept of legality, it does not only reflect the consequences of change but provides a theoretical point of departure helping to carry out change. I life involves contradiction and change and if we can say that international law has not only as ‘</w:t>
      </w:r>
      <w:proofErr w:type="spellStart"/>
      <w:r>
        <w:rPr>
          <w:lang w:val="en-US"/>
        </w:rPr>
        <w:t>existence’byt</w:t>
      </w:r>
      <w:proofErr w:type="spellEnd"/>
      <w:r>
        <w:rPr>
          <w:lang w:val="en-US"/>
        </w:rPr>
        <w:t xml:space="preserve"> also a ‘</w:t>
      </w:r>
      <w:proofErr w:type="spellStart"/>
      <w:r>
        <w:rPr>
          <w:lang w:val="en-US"/>
        </w:rPr>
        <w:t>life’of</w:t>
      </w:r>
      <w:proofErr w:type="spellEnd"/>
      <w:r>
        <w:rPr>
          <w:lang w:val="en-US"/>
        </w:rPr>
        <w:t xml:space="preserve"> its own, then the </w:t>
      </w:r>
      <w:proofErr w:type="spellStart"/>
      <w:r>
        <w:rPr>
          <w:lang w:val="en-US"/>
        </w:rPr>
        <w:t>notiocn</w:t>
      </w:r>
      <w:proofErr w:type="spellEnd"/>
      <w:r>
        <w:rPr>
          <w:lang w:val="en-US"/>
        </w:rPr>
        <w:t xml:space="preserve"> of legitimacy can certainly be of significance for it”.  </w:t>
      </w:r>
    </w:p>
  </w:footnote>
  <w:footnote w:id="52">
    <w:p w14:paraId="1E6713B8"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GEORGIEV, </w:t>
      </w:r>
      <w:proofErr w:type="spellStart"/>
      <w:r>
        <w:rPr>
          <w:lang w:val="en-US"/>
        </w:rPr>
        <w:t>Dencho</w:t>
      </w:r>
      <w:proofErr w:type="spellEnd"/>
      <w:r>
        <w:rPr>
          <w:lang w:val="en-US"/>
        </w:rPr>
        <w:t xml:space="preserve">. </w:t>
      </w:r>
      <w:r>
        <w:rPr>
          <w:b/>
          <w:lang w:val="en-US"/>
        </w:rPr>
        <w:t>Politics or Rule of Law</w:t>
      </w:r>
      <w:r>
        <w:rPr>
          <w:lang w:val="en-US"/>
        </w:rPr>
        <w:t>: Deconstruction and Legitimacy in International Law, 1993.</w:t>
      </w:r>
    </w:p>
  </w:footnote>
  <w:footnote w:id="53">
    <w:p w14:paraId="736C4479"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BOYLE, Alan; CHINKIN, Christine. </w:t>
      </w:r>
      <w:r>
        <w:rPr>
          <w:b/>
          <w:lang w:val="en-US"/>
        </w:rPr>
        <w:t>The Making of International Law (Foundations of Public International Law)</w:t>
      </w:r>
      <w:r>
        <w:rPr>
          <w:lang w:val="en-US"/>
        </w:rPr>
        <w:t>. New York: Oxford University Press, 2007. p. 145. “</w:t>
      </w:r>
      <w:proofErr w:type="gramStart"/>
      <w:r>
        <w:rPr>
          <w:lang w:val="en-US"/>
        </w:rPr>
        <w:t>in</w:t>
      </w:r>
      <w:proofErr w:type="gramEnd"/>
      <w:r>
        <w:rPr>
          <w:lang w:val="en-US"/>
        </w:rPr>
        <w:t xml:space="preserve"> this context legitimacy becomes a critical issue once international institutions acquire power to take decisions binding on states without their specific consent, and more especially so when those decisions amount in effect to legislating for all states. Nevertheless, the consent of states is increasingly attenuated by the scale and scope of law-making by multilateral institutions, and by some of the methods they employ”.</w:t>
      </w:r>
    </w:p>
  </w:footnote>
  <w:footnote w:id="54">
    <w:p w14:paraId="1B8BC381"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BOYLE, Alan; CHINKIN, Christine. </w:t>
      </w:r>
      <w:r>
        <w:rPr>
          <w:b/>
          <w:lang w:val="en-US"/>
        </w:rPr>
        <w:t>The Making of International Law (Foundations of Public International Law)</w:t>
      </w:r>
      <w:r>
        <w:rPr>
          <w:lang w:val="en-US"/>
        </w:rPr>
        <w:t>. New York: Oxford University Press, 2007. p. 68.</w:t>
      </w:r>
    </w:p>
  </w:footnote>
  <w:footnote w:id="55">
    <w:p w14:paraId="5BD7F4EB"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BOYLE, Alan; CHINKIN, Christine. </w:t>
      </w:r>
      <w:r>
        <w:rPr>
          <w:b/>
          <w:lang w:val="en-US"/>
        </w:rPr>
        <w:t>The Making of International Law (Foundations of Public International Law)</w:t>
      </w:r>
      <w:r>
        <w:rPr>
          <w:lang w:val="en-US"/>
        </w:rPr>
        <w:t>. New York: Oxford University Press, 2007. p.68.</w:t>
      </w:r>
    </w:p>
  </w:footnote>
  <w:footnote w:id="56">
    <w:p w14:paraId="06DBB909"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MARTÍ, José Luis. </w:t>
      </w:r>
      <w:r>
        <w:rPr>
          <w:b/>
          <w:lang w:val="en-US"/>
        </w:rPr>
        <w:t>Sources and the Legitimate Authority of International Law</w:t>
      </w:r>
      <w:r>
        <w:rPr>
          <w:lang w:val="en-US"/>
        </w:rPr>
        <w:t xml:space="preserve">: democratic Legitimacy and the Sources of International Law. Edited By: Jean </w:t>
      </w:r>
      <w:proofErr w:type="spellStart"/>
      <w:r>
        <w:rPr>
          <w:lang w:val="en-US"/>
        </w:rPr>
        <w:t>d'Aspremont</w:t>
      </w:r>
      <w:proofErr w:type="spellEnd"/>
      <w:r>
        <w:rPr>
          <w:lang w:val="en-US"/>
        </w:rPr>
        <w:t xml:space="preserve">, Samantha Besson, 2018. p. 762. “The ideal standard of legitimacy is conceived as a scale that can be used to assess the different degrees of legitimacy that real institutions, decisions, or law-making mechanisms have in the real world. Real legitimacy, for those who adopt this view, comes in degrees”.  </w:t>
      </w:r>
    </w:p>
  </w:footnote>
  <w:footnote w:id="57">
    <w:p w14:paraId="51A3C8BD" w14:textId="065559CC" w:rsidR="00FD0BF6" w:rsidRDefault="00FD0BF6" w:rsidP="00902FA6">
      <w:pPr>
        <w:pStyle w:val="Textodenotaderodap"/>
        <w:spacing w:line="240" w:lineRule="auto"/>
      </w:pPr>
      <w:r>
        <w:rPr>
          <w:rStyle w:val="Refdenotaderodap"/>
        </w:rPr>
        <w:footnoteRef/>
      </w:r>
      <w:r>
        <w:t xml:space="preserve"> Para aprofundar neste sentido ver</w:t>
      </w:r>
      <w:r w:rsidR="00902FA6">
        <w:t>:</w:t>
      </w:r>
      <w:r>
        <w:t xml:space="preserve"> </w:t>
      </w:r>
      <w:r w:rsidR="00902FA6">
        <w:t xml:space="preserve">LEISTER, Margareth Anne; SOUZA (de), Leonardo da Rocha. A influência da soft </w:t>
      </w:r>
      <w:proofErr w:type="spellStart"/>
      <w:r w:rsidR="00902FA6">
        <w:t>law</w:t>
      </w:r>
      <w:proofErr w:type="spellEnd"/>
      <w:r w:rsidR="00902FA6">
        <w:t xml:space="preserve"> na formação do direito ambiental. </w:t>
      </w:r>
      <w:proofErr w:type="spellStart"/>
      <w:r w:rsidR="00902FA6">
        <w:t>In:</w:t>
      </w:r>
      <w:r w:rsidR="00902FA6" w:rsidRPr="00902FA6">
        <w:rPr>
          <w:b/>
          <w:bCs/>
        </w:rPr>
        <w:t>Revista</w:t>
      </w:r>
      <w:proofErr w:type="spellEnd"/>
      <w:r w:rsidR="00902FA6" w:rsidRPr="00902FA6">
        <w:rPr>
          <w:b/>
          <w:bCs/>
        </w:rPr>
        <w:t xml:space="preserve"> de Direito Internacional</w:t>
      </w:r>
      <w:r w:rsidR="00902FA6">
        <w:t>, v.12, n.2 (2015), p.767-784</w:t>
      </w:r>
    </w:p>
  </w:footnote>
  <w:footnote w:id="58">
    <w:p w14:paraId="365643B2" w14:textId="77777777" w:rsidR="003042B8" w:rsidRPr="00C43F55" w:rsidRDefault="003042B8" w:rsidP="00902FA6">
      <w:pPr>
        <w:pStyle w:val="Textodenotaderodap"/>
        <w:spacing w:line="240" w:lineRule="auto"/>
        <w:rPr>
          <w:lang w:val="en-US"/>
        </w:rPr>
      </w:pPr>
      <w:r>
        <w:rPr>
          <w:rStyle w:val="Caracteresdenotaderodap"/>
        </w:rPr>
        <w:footnoteRef/>
      </w:r>
      <w:r w:rsidRPr="00FD0BF6">
        <w:rPr>
          <w:rFonts w:eastAsia="Arial"/>
        </w:rPr>
        <w:t xml:space="preserve"> </w:t>
      </w:r>
      <w:r w:rsidRPr="00FD0BF6">
        <w:t xml:space="preserve"> MARTÍ, José </w:t>
      </w:r>
      <w:proofErr w:type="spellStart"/>
      <w:r w:rsidRPr="00FD0BF6">
        <w:t>Luis</w:t>
      </w:r>
      <w:proofErr w:type="spellEnd"/>
      <w:r w:rsidRPr="00FD0BF6">
        <w:t xml:space="preserve">. </w:t>
      </w:r>
      <w:r>
        <w:rPr>
          <w:b/>
          <w:lang w:val="en-US"/>
        </w:rPr>
        <w:t>Sources and the Legitimate Authority of International Law</w:t>
      </w:r>
      <w:r>
        <w:rPr>
          <w:lang w:val="en-US"/>
        </w:rPr>
        <w:t xml:space="preserve">: democratic Legitimacy and the Sources of International Law. Edited By: Jean </w:t>
      </w:r>
      <w:proofErr w:type="spellStart"/>
      <w:r>
        <w:rPr>
          <w:lang w:val="en-US"/>
        </w:rPr>
        <w:t>d'Aspremont</w:t>
      </w:r>
      <w:proofErr w:type="spellEnd"/>
      <w:r>
        <w:rPr>
          <w:lang w:val="en-US"/>
        </w:rPr>
        <w:t>, Samantha Besson, 2018. p. 764-767. “Exercise an effective control over international institutions and the international law making”.</w:t>
      </w:r>
    </w:p>
  </w:footnote>
  <w:footnote w:id="59">
    <w:p w14:paraId="266FCAB3" w14:textId="77777777" w:rsidR="003042B8" w:rsidRDefault="003042B8" w:rsidP="003042B8">
      <w:pPr>
        <w:pStyle w:val="Textodenotaderodap"/>
        <w:spacing w:line="240" w:lineRule="auto"/>
      </w:pPr>
      <w:r>
        <w:rPr>
          <w:rStyle w:val="Caracteresdenotaderodap"/>
        </w:rPr>
        <w:footnoteRef/>
      </w:r>
      <w:r>
        <w:rPr>
          <w:rFonts w:eastAsia="Arial"/>
          <w:lang w:val="en-US"/>
        </w:rPr>
        <w:t xml:space="preserve"> </w:t>
      </w:r>
      <w:r>
        <w:rPr>
          <w:lang w:val="en-US"/>
        </w:rPr>
        <w:t xml:space="preserve">MARTÍ, José Luis. </w:t>
      </w:r>
      <w:r>
        <w:rPr>
          <w:b/>
          <w:lang w:val="en-US"/>
        </w:rPr>
        <w:t>Sources and the Legitimate Authority of International Law</w:t>
      </w:r>
      <w:r>
        <w:rPr>
          <w:lang w:val="en-US"/>
        </w:rPr>
        <w:t xml:space="preserve">: democratic Legitimacy and the Sources of International Law. </w:t>
      </w:r>
      <w:proofErr w:type="spellStart"/>
      <w:r>
        <w:t>Edited</w:t>
      </w:r>
      <w:proofErr w:type="spellEnd"/>
      <w:r>
        <w:t xml:space="preserve"> </w:t>
      </w:r>
      <w:proofErr w:type="spellStart"/>
      <w:r>
        <w:t>By</w:t>
      </w:r>
      <w:proofErr w:type="spellEnd"/>
      <w:r>
        <w:t>: Jean d'</w:t>
      </w:r>
      <w:proofErr w:type="spellStart"/>
      <w:r>
        <w:t>Aspremont</w:t>
      </w:r>
      <w:proofErr w:type="spellEnd"/>
      <w:r>
        <w:t xml:space="preserve">, Samantha Besson, 2018. p. 764-767. </w:t>
      </w:r>
    </w:p>
  </w:footnote>
  <w:footnote w:id="60">
    <w:p w14:paraId="29BFEFFF"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rPr>
        <w:t xml:space="preserve"> </w:t>
      </w:r>
      <w:r>
        <w:t xml:space="preserve">BRASIL, </w:t>
      </w:r>
      <w:r>
        <w:rPr>
          <w:b/>
        </w:rPr>
        <w:t>Decreto nº 7.030, de 14 de dezembro de 2009</w:t>
      </w:r>
      <w:r>
        <w:t xml:space="preserve">. Promulga a Convenção de Viena sobre o Direito dos Tratados, concluída em 23 de maio de 1969, com reserva aos artigos 25 e 66. </w:t>
      </w:r>
      <w:r>
        <w:rPr>
          <w:lang w:val="en-US"/>
        </w:rPr>
        <w:t>Brasília: DF, 2009.</w:t>
      </w:r>
    </w:p>
  </w:footnote>
  <w:footnote w:id="61">
    <w:p w14:paraId="4366E19A"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AB</w:t>
      </w:r>
      <w:bookmarkStart w:id="12" w:name="_Hlk121173327"/>
      <w:r>
        <w:rPr>
          <w:lang w:val="en-US"/>
        </w:rPr>
        <w:t xml:space="preserve">BOTT, Kenneth W. </w:t>
      </w:r>
      <w:r w:rsidRPr="005A07DB">
        <w:rPr>
          <w:i/>
          <w:lang w:val="en-US"/>
        </w:rPr>
        <w:t>et al</w:t>
      </w:r>
      <w:r>
        <w:rPr>
          <w:lang w:val="en-US"/>
        </w:rPr>
        <w:t xml:space="preserve">. </w:t>
      </w:r>
      <w:r>
        <w:rPr>
          <w:b/>
          <w:lang w:val="en-US"/>
        </w:rPr>
        <w:t>The concept of legalization</w:t>
      </w:r>
      <w:r>
        <w:rPr>
          <w:lang w:val="en-US"/>
        </w:rPr>
        <w:t>. In: International Organization 54, 3, Summer 2000. p. 401.</w:t>
      </w:r>
      <w:bookmarkEnd w:id="12"/>
    </w:p>
  </w:footnote>
  <w:footnote w:id="62">
    <w:p w14:paraId="5CE9B439" w14:textId="1818546B"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AB</w:t>
      </w:r>
      <w:bookmarkStart w:id="13" w:name="_Hlk121172243"/>
      <w:r>
        <w:rPr>
          <w:lang w:val="en-US"/>
        </w:rPr>
        <w:t xml:space="preserve">BOTT, Kenneth W. </w:t>
      </w:r>
      <w:r>
        <w:rPr>
          <w:i/>
          <w:lang w:val="en-US"/>
        </w:rPr>
        <w:t>et al</w:t>
      </w:r>
      <w:r w:rsidRPr="005A07DB">
        <w:rPr>
          <w:i/>
          <w:lang w:val="en-US"/>
        </w:rPr>
        <w:t>.</w:t>
      </w:r>
      <w:r>
        <w:rPr>
          <w:lang w:val="en-US"/>
        </w:rPr>
        <w:t xml:space="preserve"> </w:t>
      </w:r>
      <w:r>
        <w:rPr>
          <w:b/>
          <w:lang w:val="en-US"/>
        </w:rPr>
        <w:t>The concept of legalization</w:t>
      </w:r>
      <w:r>
        <w:rPr>
          <w:lang w:val="en-US"/>
        </w:rPr>
        <w:t xml:space="preserve">. In: International Organization 54, 3, Summer 2000. p. </w:t>
      </w:r>
      <w:proofErr w:type="gramStart"/>
      <w:r>
        <w:rPr>
          <w:lang w:val="en-US"/>
        </w:rPr>
        <w:t>401.‘</w:t>
      </w:r>
      <w:proofErr w:type="gramEnd"/>
      <w:r>
        <w:rPr>
          <w:lang w:val="en-US"/>
        </w:rPr>
        <w:t>‘Legalization’’ refers to a particular set of characteristics that institutions may (or may not) possess. These characteristics are defined along three dimensions: obligation, precision, and delegation. Obligation</w:t>
      </w:r>
      <w:r w:rsidR="0052231F">
        <w:rPr>
          <w:lang w:val="en-US"/>
        </w:rPr>
        <w:t xml:space="preserve"> </w:t>
      </w:r>
      <w:r>
        <w:rPr>
          <w:lang w:val="en-US"/>
        </w:rPr>
        <w:t>means that</w:t>
      </w:r>
      <w:r w:rsidR="0052231F">
        <w:rPr>
          <w:lang w:val="en-US"/>
        </w:rPr>
        <w:t xml:space="preserve"> </w:t>
      </w:r>
      <w:r>
        <w:rPr>
          <w:lang w:val="en-US"/>
        </w:rPr>
        <w:t>states or other actors are bound by a rule or commitment or by a set of rules or commitments. Specially, it means that they are legally bound by a rule or commitment in the sense that their behavior</w:t>
      </w:r>
      <w:r w:rsidR="00744164">
        <w:rPr>
          <w:lang w:val="en-US"/>
        </w:rPr>
        <w:t xml:space="preserve"> thereunder</w:t>
      </w:r>
      <w:r>
        <w:rPr>
          <w:lang w:val="en-US"/>
        </w:rPr>
        <w:t xml:space="preserve"> is</w:t>
      </w:r>
      <w:r w:rsidR="0052231F">
        <w:rPr>
          <w:lang w:val="en-US"/>
        </w:rPr>
        <w:t xml:space="preserve"> </w:t>
      </w:r>
      <w:r>
        <w:rPr>
          <w:lang w:val="en-US"/>
        </w:rPr>
        <w:t xml:space="preserve">subject to scrutiny under the general rules, procedures, and discourse of international law, and often of domestic law as well. Precision means that rules unambiguously </w:t>
      </w:r>
      <w:r w:rsidR="00426A01">
        <w:rPr>
          <w:lang w:val="en-US"/>
        </w:rPr>
        <w:t>define</w:t>
      </w:r>
      <w:r w:rsidR="0052231F">
        <w:rPr>
          <w:lang w:val="en-US"/>
        </w:rPr>
        <w:t xml:space="preserve"> </w:t>
      </w:r>
      <w:r>
        <w:rPr>
          <w:lang w:val="en-US"/>
        </w:rPr>
        <w:t>the conduct they require, authorize, or proscribe. Delegation means that third parties have been granted authority to implement, interpret, and apply the rules; to resolve disputes; and (possibly) to make further rules. Each of these dimensions is a matter of degree and gradation, not a rigid dichotomy, and each can vary independently</w:t>
      </w:r>
      <w:bookmarkEnd w:id="13"/>
      <w:r w:rsidR="0052231F">
        <w:rPr>
          <w:lang w:val="en-US"/>
        </w:rPr>
        <w:t>.</w:t>
      </w:r>
    </w:p>
  </w:footnote>
  <w:footnote w:id="63">
    <w:p w14:paraId="0CB3E266"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lang w:val="en-US"/>
        </w:rPr>
        <w:t xml:space="preserve"> </w:t>
      </w:r>
      <w:r>
        <w:rPr>
          <w:lang w:val="en-US"/>
        </w:rPr>
        <w:t xml:space="preserve">ABBOTT, Kenneth W. </w:t>
      </w:r>
      <w:r>
        <w:rPr>
          <w:i/>
          <w:iCs/>
          <w:lang w:val="en-US"/>
        </w:rPr>
        <w:t>et al</w:t>
      </w:r>
      <w:r>
        <w:rPr>
          <w:lang w:val="en-US"/>
        </w:rPr>
        <w:t xml:space="preserve">. </w:t>
      </w:r>
      <w:r>
        <w:rPr>
          <w:b/>
          <w:lang w:val="en-US"/>
        </w:rPr>
        <w:t>The concept of legalization</w:t>
      </w:r>
      <w:r>
        <w:rPr>
          <w:lang w:val="en-US"/>
        </w:rPr>
        <w:t>. In: International Organization 54, 3, Summer 2000. p. 401-419.</w:t>
      </w:r>
    </w:p>
  </w:footnote>
  <w:footnote w:id="64">
    <w:p w14:paraId="6C0127E9" w14:textId="77777777" w:rsidR="003042B8" w:rsidRPr="00C43F55" w:rsidRDefault="003042B8" w:rsidP="003042B8">
      <w:pPr>
        <w:pStyle w:val="Textodenotaderodap"/>
        <w:spacing w:line="240" w:lineRule="auto"/>
        <w:rPr>
          <w:lang w:val="en-US"/>
        </w:rPr>
      </w:pPr>
      <w:r>
        <w:rPr>
          <w:rStyle w:val="Caracteresdenotaderodap"/>
        </w:rPr>
        <w:footnoteRef/>
      </w:r>
      <w:r>
        <w:rPr>
          <w:rFonts w:eastAsia="Arial"/>
        </w:rPr>
        <w:t xml:space="preserve"> </w:t>
      </w:r>
      <w:r>
        <w:t xml:space="preserve">BRASIL, </w:t>
      </w:r>
      <w:r>
        <w:rPr>
          <w:b/>
        </w:rPr>
        <w:t>Decreto nº 7.030, de 14 de dezembro de 2009</w:t>
      </w:r>
      <w:r>
        <w:t xml:space="preserve">. Promulga a Convenção de Viena sobre o Direito dos Tratados, concluída em 23 de maio de 1969, com reserva aos artigos 25 e 66. </w:t>
      </w:r>
      <w:r>
        <w:rPr>
          <w:lang w:val="en-US"/>
        </w:rPr>
        <w:t>Brasília: DF,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075B4"/>
    <w:multiLevelType w:val="multilevel"/>
    <w:tmpl w:val="7472D3DC"/>
    <w:lvl w:ilvl="0">
      <w:start w:val="1"/>
      <w:numFmt w:val="none"/>
      <w:pStyle w:val="Ttulo1"/>
      <w:suff w:val="nothing"/>
      <w:lvlText w:val=""/>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4672AEA"/>
    <w:multiLevelType w:val="multilevel"/>
    <w:tmpl w:val="FCE46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A5D35B0"/>
    <w:multiLevelType w:val="hybridMultilevel"/>
    <w:tmpl w:val="DD6070F6"/>
    <w:lvl w:ilvl="0" w:tplc="F422877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1261371771">
    <w:abstractNumId w:val="0"/>
  </w:num>
  <w:num w:numId="2" w16cid:durableId="1777939866">
    <w:abstractNumId w:val="1"/>
  </w:num>
  <w:num w:numId="3" w16cid:durableId="1667241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B8"/>
    <w:rsid w:val="0000773F"/>
    <w:rsid w:val="00032555"/>
    <w:rsid w:val="000509AC"/>
    <w:rsid w:val="00130909"/>
    <w:rsid w:val="001C15A1"/>
    <w:rsid w:val="0020401E"/>
    <w:rsid w:val="002867A2"/>
    <w:rsid w:val="002A5DC9"/>
    <w:rsid w:val="002B00C0"/>
    <w:rsid w:val="002C0A96"/>
    <w:rsid w:val="002E476B"/>
    <w:rsid w:val="002E6223"/>
    <w:rsid w:val="003013FF"/>
    <w:rsid w:val="003042B8"/>
    <w:rsid w:val="00313CB8"/>
    <w:rsid w:val="00335EFE"/>
    <w:rsid w:val="00351030"/>
    <w:rsid w:val="00353255"/>
    <w:rsid w:val="003A5D13"/>
    <w:rsid w:val="003A68E4"/>
    <w:rsid w:val="00426A01"/>
    <w:rsid w:val="004602B0"/>
    <w:rsid w:val="004A0DD3"/>
    <w:rsid w:val="004E12BE"/>
    <w:rsid w:val="00500333"/>
    <w:rsid w:val="0052231F"/>
    <w:rsid w:val="00544925"/>
    <w:rsid w:val="00587343"/>
    <w:rsid w:val="005B77AE"/>
    <w:rsid w:val="005C3F24"/>
    <w:rsid w:val="005C4576"/>
    <w:rsid w:val="005C6EC5"/>
    <w:rsid w:val="00613CB0"/>
    <w:rsid w:val="00634A58"/>
    <w:rsid w:val="00641533"/>
    <w:rsid w:val="006D3F5B"/>
    <w:rsid w:val="006D4925"/>
    <w:rsid w:val="00720489"/>
    <w:rsid w:val="00723D0E"/>
    <w:rsid w:val="0072584F"/>
    <w:rsid w:val="00744164"/>
    <w:rsid w:val="007D55ED"/>
    <w:rsid w:val="007E7454"/>
    <w:rsid w:val="007F5050"/>
    <w:rsid w:val="00835389"/>
    <w:rsid w:val="00861131"/>
    <w:rsid w:val="00902FA6"/>
    <w:rsid w:val="0094388D"/>
    <w:rsid w:val="00A219CC"/>
    <w:rsid w:val="00A351D7"/>
    <w:rsid w:val="00A364AC"/>
    <w:rsid w:val="00A42A0E"/>
    <w:rsid w:val="00A8651B"/>
    <w:rsid w:val="00AD10F6"/>
    <w:rsid w:val="00AF0008"/>
    <w:rsid w:val="00B0207B"/>
    <w:rsid w:val="00B02808"/>
    <w:rsid w:val="00B17D98"/>
    <w:rsid w:val="00B80E75"/>
    <w:rsid w:val="00B944B9"/>
    <w:rsid w:val="00BA3C5A"/>
    <w:rsid w:val="00BA5692"/>
    <w:rsid w:val="00BC20B4"/>
    <w:rsid w:val="00C04702"/>
    <w:rsid w:val="00C43D04"/>
    <w:rsid w:val="00C665F0"/>
    <w:rsid w:val="00C668C6"/>
    <w:rsid w:val="00CB4BEC"/>
    <w:rsid w:val="00CF1DB9"/>
    <w:rsid w:val="00D42783"/>
    <w:rsid w:val="00D45870"/>
    <w:rsid w:val="00D854C7"/>
    <w:rsid w:val="00DA07D5"/>
    <w:rsid w:val="00E02E9E"/>
    <w:rsid w:val="00E806E9"/>
    <w:rsid w:val="00FC5713"/>
    <w:rsid w:val="00FD0BF6"/>
    <w:rsid w:val="00FF2C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7A7DE"/>
  <w15:chartTrackingRefBased/>
  <w15:docId w15:val="{877668C8-DEB7-834C-8D61-375D44CA4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B8"/>
    <w:pPr>
      <w:suppressAutoHyphens/>
      <w:spacing w:line="360" w:lineRule="auto"/>
      <w:jc w:val="both"/>
    </w:pPr>
    <w:rPr>
      <w:rFonts w:ascii="Arial" w:eastAsia="Calibri" w:hAnsi="Arial" w:cs="Arial"/>
      <w:kern w:val="0"/>
      <w:lang w:eastAsia="zh-CN"/>
      <w14:ligatures w14:val="none"/>
    </w:rPr>
  </w:style>
  <w:style w:type="paragraph" w:styleId="Ttulo1">
    <w:name w:val="heading 1"/>
    <w:basedOn w:val="Normal"/>
    <w:next w:val="Normal"/>
    <w:link w:val="Ttulo1Char"/>
    <w:uiPriority w:val="9"/>
    <w:qFormat/>
    <w:rsid w:val="003042B8"/>
    <w:pPr>
      <w:widowControl w:val="0"/>
      <w:numPr>
        <w:numId w:val="1"/>
      </w:numPr>
      <w:jc w:val="left"/>
      <w:outlineLvl w:val="0"/>
    </w:pPr>
    <w:rPr>
      <w:rFonts w:eastAsia="Calibri Light" w:cs="Calibri Light"/>
      <w:b/>
      <w:szCs w:val="32"/>
    </w:rPr>
  </w:style>
  <w:style w:type="paragraph" w:styleId="Ttulo2">
    <w:name w:val="heading 2"/>
    <w:basedOn w:val="Normal"/>
    <w:next w:val="Normal"/>
    <w:link w:val="Ttulo2Char"/>
    <w:uiPriority w:val="9"/>
    <w:qFormat/>
    <w:rsid w:val="003042B8"/>
    <w:pPr>
      <w:widowControl w:val="0"/>
      <w:numPr>
        <w:ilvl w:val="1"/>
        <w:numId w:val="1"/>
      </w:numPr>
      <w:jc w:val="left"/>
      <w:outlineLvl w:val="1"/>
    </w:pPr>
    <w:rPr>
      <w:rFonts w:eastAsia="Calibri Light" w:cs="Calibri Light"/>
      <w:b/>
      <w:szCs w:val="26"/>
    </w:rPr>
  </w:style>
  <w:style w:type="paragraph" w:styleId="Ttulo3">
    <w:name w:val="heading 3"/>
    <w:basedOn w:val="Normal"/>
    <w:next w:val="Normal"/>
    <w:link w:val="Ttulo3Char"/>
    <w:uiPriority w:val="9"/>
    <w:qFormat/>
    <w:rsid w:val="003042B8"/>
    <w:pPr>
      <w:widowControl w:val="0"/>
      <w:numPr>
        <w:ilvl w:val="2"/>
        <w:numId w:val="1"/>
      </w:numPr>
      <w:jc w:val="left"/>
      <w:outlineLvl w:val="2"/>
    </w:pPr>
    <w:rPr>
      <w:rFonts w:eastAsia="Calibri Light" w:cs="Calibri Light"/>
      <w:i/>
    </w:rPr>
  </w:style>
  <w:style w:type="paragraph" w:styleId="Ttulo4">
    <w:name w:val="heading 4"/>
    <w:basedOn w:val="Normal"/>
    <w:next w:val="Normal"/>
    <w:link w:val="Ttulo4Char"/>
    <w:uiPriority w:val="9"/>
    <w:qFormat/>
    <w:rsid w:val="003042B8"/>
    <w:pPr>
      <w:widowControl w:val="0"/>
      <w:numPr>
        <w:ilvl w:val="3"/>
        <w:numId w:val="1"/>
      </w:numPr>
      <w:jc w:val="left"/>
      <w:outlineLvl w:val="3"/>
    </w:pPr>
    <w:rPr>
      <w:rFonts w:eastAsia="Calibri Light" w:cs="Calibri Light"/>
      <w:b/>
      <w:i/>
      <w:iCs/>
    </w:rPr>
  </w:style>
  <w:style w:type="paragraph" w:styleId="Ttulo5">
    <w:name w:val="heading 5"/>
    <w:basedOn w:val="Normal"/>
    <w:next w:val="Normal"/>
    <w:link w:val="Ttulo5Char"/>
    <w:uiPriority w:val="9"/>
    <w:qFormat/>
    <w:rsid w:val="003042B8"/>
    <w:pPr>
      <w:widowControl w:val="0"/>
      <w:numPr>
        <w:ilvl w:val="4"/>
        <w:numId w:val="1"/>
      </w:numPr>
      <w:jc w:val="left"/>
      <w:outlineLvl w:val="4"/>
    </w:pPr>
    <w:rPr>
      <w:rFonts w:cs="Calibri"/>
      <w:bCs/>
      <w:i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042B8"/>
    <w:rPr>
      <w:rFonts w:ascii="Arial" w:eastAsia="Calibri Light" w:hAnsi="Arial" w:cs="Calibri Light"/>
      <w:b/>
      <w:kern w:val="0"/>
      <w:szCs w:val="32"/>
      <w:lang w:eastAsia="zh-CN"/>
      <w14:ligatures w14:val="none"/>
    </w:rPr>
  </w:style>
  <w:style w:type="character" w:customStyle="1" w:styleId="Ttulo2Char">
    <w:name w:val="Título 2 Char"/>
    <w:basedOn w:val="Fontepargpadro"/>
    <w:link w:val="Ttulo2"/>
    <w:uiPriority w:val="9"/>
    <w:rsid w:val="003042B8"/>
    <w:rPr>
      <w:rFonts w:ascii="Arial" w:eastAsia="Calibri Light" w:hAnsi="Arial" w:cs="Calibri Light"/>
      <w:b/>
      <w:kern w:val="0"/>
      <w:szCs w:val="26"/>
      <w:lang w:eastAsia="zh-CN"/>
      <w14:ligatures w14:val="none"/>
    </w:rPr>
  </w:style>
  <w:style w:type="character" w:customStyle="1" w:styleId="Ttulo3Char">
    <w:name w:val="Título 3 Char"/>
    <w:basedOn w:val="Fontepargpadro"/>
    <w:link w:val="Ttulo3"/>
    <w:uiPriority w:val="9"/>
    <w:rsid w:val="003042B8"/>
    <w:rPr>
      <w:rFonts w:ascii="Arial" w:eastAsia="Calibri Light" w:hAnsi="Arial" w:cs="Calibri Light"/>
      <w:i/>
      <w:kern w:val="0"/>
      <w:lang w:eastAsia="zh-CN"/>
      <w14:ligatures w14:val="none"/>
    </w:rPr>
  </w:style>
  <w:style w:type="character" w:customStyle="1" w:styleId="Ttulo4Char">
    <w:name w:val="Título 4 Char"/>
    <w:basedOn w:val="Fontepargpadro"/>
    <w:link w:val="Ttulo4"/>
    <w:uiPriority w:val="9"/>
    <w:rsid w:val="003042B8"/>
    <w:rPr>
      <w:rFonts w:ascii="Arial" w:eastAsia="Calibri Light" w:hAnsi="Arial" w:cs="Calibri Light"/>
      <w:b/>
      <w:i/>
      <w:iCs/>
      <w:kern w:val="0"/>
      <w:lang w:eastAsia="zh-CN"/>
      <w14:ligatures w14:val="none"/>
    </w:rPr>
  </w:style>
  <w:style w:type="character" w:customStyle="1" w:styleId="Ttulo5Char">
    <w:name w:val="Título 5 Char"/>
    <w:basedOn w:val="Fontepargpadro"/>
    <w:link w:val="Ttulo5"/>
    <w:uiPriority w:val="9"/>
    <w:rsid w:val="003042B8"/>
    <w:rPr>
      <w:rFonts w:ascii="Arial" w:eastAsia="Calibri" w:hAnsi="Arial" w:cs="Calibri"/>
      <w:bCs/>
      <w:iCs/>
      <w:kern w:val="0"/>
      <w:szCs w:val="26"/>
      <w:lang w:eastAsia="zh-CN"/>
      <w14:ligatures w14:val="none"/>
    </w:rPr>
  </w:style>
  <w:style w:type="character" w:customStyle="1" w:styleId="Caracteresdenotaderodap">
    <w:name w:val="Caracteres de nota de rodapé"/>
    <w:qFormat/>
    <w:rsid w:val="003042B8"/>
    <w:rPr>
      <w:vertAlign w:val="superscript"/>
    </w:rPr>
  </w:style>
  <w:style w:type="character" w:customStyle="1" w:styleId="apple-converted-space">
    <w:name w:val="apple-converted-space"/>
    <w:basedOn w:val="Fontepargpadro"/>
    <w:qFormat/>
    <w:rsid w:val="003042B8"/>
  </w:style>
  <w:style w:type="character" w:customStyle="1" w:styleId="nfaseforte">
    <w:name w:val="Ênfase forte"/>
    <w:qFormat/>
    <w:rsid w:val="003042B8"/>
    <w:rPr>
      <w:b/>
      <w:bCs/>
    </w:rPr>
  </w:style>
  <w:style w:type="character" w:customStyle="1" w:styleId="italica">
    <w:name w:val="italica"/>
    <w:basedOn w:val="Fontepargpadro"/>
    <w:qFormat/>
    <w:rsid w:val="003042B8"/>
  </w:style>
  <w:style w:type="character" w:customStyle="1" w:styleId="ncoradanotaderodap">
    <w:name w:val="Âncora da nota de rodapé"/>
    <w:rsid w:val="003042B8"/>
    <w:rPr>
      <w:vertAlign w:val="superscript"/>
    </w:rPr>
  </w:style>
  <w:style w:type="paragraph" w:styleId="Legenda">
    <w:name w:val="caption"/>
    <w:basedOn w:val="Normal"/>
    <w:qFormat/>
    <w:rsid w:val="003042B8"/>
    <w:pPr>
      <w:suppressLineNumbers/>
      <w:spacing w:before="120" w:after="120"/>
    </w:pPr>
    <w:rPr>
      <w:i/>
      <w:iCs/>
    </w:rPr>
  </w:style>
  <w:style w:type="paragraph" w:styleId="Textodenotaderodap">
    <w:name w:val="footnote text"/>
    <w:basedOn w:val="Normal"/>
    <w:link w:val="TextodenotaderodapChar"/>
    <w:uiPriority w:val="99"/>
    <w:rsid w:val="003042B8"/>
    <w:rPr>
      <w:sz w:val="20"/>
      <w:szCs w:val="20"/>
    </w:rPr>
  </w:style>
  <w:style w:type="character" w:customStyle="1" w:styleId="TextodenotaderodapChar">
    <w:name w:val="Texto de nota de rodapé Char"/>
    <w:basedOn w:val="Fontepargpadro"/>
    <w:link w:val="Textodenotaderodap"/>
    <w:uiPriority w:val="99"/>
    <w:rsid w:val="003042B8"/>
    <w:rPr>
      <w:rFonts w:ascii="Arial" w:eastAsia="Calibri" w:hAnsi="Arial" w:cs="Arial"/>
      <w:kern w:val="0"/>
      <w:sz w:val="20"/>
      <w:szCs w:val="20"/>
      <w:lang w:eastAsia="zh-CN"/>
      <w14:ligatures w14:val="none"/>
    </w:rPr>
  </w:style>
  <w:style w:type="paragraph" w:styleId="NormalWeb">
    <w:name w:val="Normal (Web)"/>
    <w:basedOn w:val="Normal"/>
    <w:qFormat/>
    <w:rsid w:val="003042B8"/>
    <w:pPr>
      <w:spacing w:before="280" w:after="280"/>
    </w:pPr>
    <w:rPr>
      <w:rFonts w:ascii="Times New Roman" w:eastAsia="Times New Roman" w:hAnsi="Times New Roman" w:cs="Times New Roman"/>
    </w:rPr>
  </w:style>
  <w:style w:type="paragraph" w:styleId="PargrafodaLista">
    <w:name w:val="List Paragraph"/>
    <w:basedOn w:val="Normal"/>
    <w:uiPriority w:val="34"/>
    <w:qFormat/>
    <w:rsid w:val="003042B8"/>
    <w:pPr>
      <w:ind w:left="720"/>
      <w:contextualSpacing/>
    </w:pPr>
  </w:style>
  <w:style w:type="character" w:styleId="Refdenotaderodap">
    <w:name w:val="footnote reference"/>
    <w:basedOn w:val="Fontepargpadro"/>
    <w:uiPriority w:val="99"/>
    <w:semiHidden/>
    <w:unhideWhenUsed/>
    <w:rsid w:val="003042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8BF7C-B150-6A45-A0B4-55897017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29</Pages>
  <Words>8231</Words>
  <Characters>44449</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Welten Guerra</dc:creator>
  <cp:keywords/>
  <dc:description/>
  <cp:lastModifiedBy>Amina Welten Guerra</cp:lastModifiedBy>
  <cp:revision>40</cp:revision>
  <dcterms:created xsi:type="dcterms:W3CDTF">2023-10-07T19:25:00Z</dcterms:created>
  <dcterms:modified xsi:type="dcterms:W3CDTF">2023-10-12T15:23:00Z</dcterms:modified>
</cp:coreProperties>
</file>